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U.S. Securities and Exchange Commission on October 8, 2021.</w:t>
      </w:r>
    </w:p>
    <w:p>
      <w:pPr>
        <w:spacing w:after="0" w:line="17"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52070</wp:posOffset>
            </wp:positionV>
            <wp:extent cx="13112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S-1</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REGISTRATION STATEMENT</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UNDER</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52070</wp:posOffset>
            </wp:positionV>
            <wp:extent cx="13112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NERDWALLET,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56515</wp:posOffset>
            </wp:positionV>
            <wp:extent cx="1311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168" w:lineRule="exact"/>
        <w:rPr>
          <w:sz w:val="24"/>
          <w:szCs w:val="24"/>
          <w:color w:val="auto"/>
        </w:rPr>
      </w:pPr>
    </w:p>
    <w:tbl>
      <w:tblPr>
        <w:tblLayout w:type="fixed"/>
        <w:tblInd w:w="900" w:type="dxa"/>
        <w:tblCellMar>
          <w:top w:w="0" w:type="dxa"/>
          <w:left w:w="0" w:type="dxa"/>
          <w:bottom w:w="0" w:type="dxa"/>
          <w:right w:w="0" w:type="dxa"/>
        </w:tblCellMar>
      </w:tblPr>
      <w:tr>
        <w:trPr>
          <w:trHeight w:val="186"/>
        </w:trPr>
        <w:tc>
          <w:tcPr>
            <w:tcW w:w="3700" w:type="dxa"/>
            <w:vAlign w:val="bottom"/>
          </w:tcPr>
          <w:p>
            <w:pPr>
              <w:jc w:val="center"/>
              <w:ind w:right="1728"/>
              <w:spacing w:after="0"/>
              <w:rPr>
                <w:sz w:val="20"/>
                <w:szCs w:val="20"/>
                <w:color w:val="auto"/>
              </w:rPr>
            </w:pPr>
            <w:r>
              <w:rPr>
                <w:rFonts w:ascii="Arial" w:cs="Arial" w:eastAsia="Arial" w:hAnsi="Arial"/>
                <w:sz w:val="14"/>
                <w:szCs w:val="14"/>
                <w:b w:val="1"/>
                <w:bCs w:val="1"/>
                <w:color w:val="auto"/>
                <w:w w:val="94"/>
              </w:rPr>
              <w:t>Delaware</w:t>
            </w:r>
          </w:p>
        </w:tc>
        <w:tc>
          <w:tcPr>
            <w:tcW w:w="1800" w:type="dxa"/>
            <w:vAlign w:val="bottom"/>
            <w:gridSpan w:val="2"/>
          </w:tcPr>
          <w:p>
            <w:pPr>
              <w:jc w:val="right"/>
              <w:ind w:right="588"/>
              <w:spacing w:after="0"/>
              <w:rPr>
                <w:sz w:val="20"/>
                <w:szCs w:val="20"/>
                <w:color w:val="auto"/>
              </w:rPr>
            </w:pPr>
            <w:r>
              <w:rPr>
                <w:rFonts w:ascii="Arial" w:cs="Arial" w:eastAsia="Arial" w:hAnsi="Arial"/>
                <w:sz w:val="14"/>
                <w:szCs w:val="14"/>
                <w:b w:val="1"/>
                <w:bCs w:val="1"/>
                <w:color w:val="auto"/>
              </w:rPr>
              <w:t>7375</w:t>
            </w:r>
          </w:p>
        </w:tc>
        <w:tc>
          <w:tcPr>
            <w:tcW w:w="260" w:type="dxa"/>
            <w:vAlign w:val="bottom"/>
          </w:tcPr>
          <w:p>
            <w:pPr>
              <w:spacing w:after="0"/>
              <w:rPr>
                <w:sz w:val="16"/>
                <w:szCs w:val="16"/>
                <w:color w:val="auto"/>
              </w:rPr>
            </w:pPr>
          </w:p>
        </w:tc>
        <w:tc>
          <w:tcPr>
            <w:tcW w:w="3460" w:type="dxa"/>
            <w:vAlign w:val="bottom"/>
          </w:tcPr>
          <w:p>
            <w:pPr>
              <w:jc w:val="right"/>
              <w:ind w:right="328"/>
              <w:spacing w:after="0"/>
              <w:rPr>
                <w:sz w:val="20"/>
                <w:szCs w:val="20"/>
                <w:color w:val="auto"/>
              </w:rPr>
            </w:pPr>
            <w:r>
              <w:rPr>
                <w:rFonts w:ascii="Arial" w:cs="Arial" w:eastAsia="Arial" w:hAnsi="Arial"/>
                <w:sz w:val="14"/>
                <w:szCs w:val="14"/>
                <w:b w:val="1"/>
                <w:bCs w:val="1"/>
                <w:color w:val="auto"/>
              </w:rPr>
              <w:t>45-4180440</w:t>
            </w:r>
          </w:p>
        </w:tc>
      </w:tr>
      <w:tr>
        <w:trPr>
          <w:trHeight w:val="192"/>
        </w:trPr>
        <w:tc>
          <w:tcPr>
            <w:tcW w:w="3700" w:type="dxa"/>
            <w:vAlign w:val="bottom"/>
          </w:tcPr>
          <w:p>
            <w:pPr>
              <w:jc w:val="center"/>
              <w:ind w:right="1748"/>
              <w:spacing w:after="0"/>
              <w:rPr>
                <w:sz w:val="20"/>
                <w:szCs w:val="20"/>
                <w:color w:val="auto"/>
              </w:rPr>
            </w:pPr>
            <w:r>
              <w:rPr>
                <w:rFonts w:ascii="Arial" w:cs="Arial" w:eastAsia="Arial" w:hAnsi="Arial"/>
                <w:sz w:val="14"/>
                <w:szCs w:val="14"/>
                <w:b w:val="1"/>
                <w:bCs w:val="1"/>
                <w:color w:val="auto"/>
                <w:w w:val="93"/>
              </w:rPr>
              <w:t>(State or other jurisdiction of</w:t>
            </w:r>
          </w:p>
        </w:tc>
        <w:tc>
          <w:tcPr>
            <w:tcW w:w="20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7"/>
              </w:rPr>
              <w:t>(Primary Standard Industrial</w:t>
            </w:r>
          </w:p>
        </w:tc>
        <w:tc>
          <w:tcPr>
            <w:tcW w:w="3460" w:type="dxa"/>
            <w:vAlign w:val="bottom"/>
          </w:tcPr>
          <w:p>
            <w:pPr>
              <w:jc w:val="center"/>
              <w:ind w:left="1888"/>
              <w:spacing w:after="0"/>
              <w:rPr>
                <w:sz w:val="20"/>
                <w:szCs w:val="20"/>
                <w:color w:val="auto"/>
              </w:rPr>
            </w:pPr>
            <w:r>
              <w:rPr>
                <w:rFonts w:ascii="Arial" w:cs="Arial" w:eastAsia="Arial" w:hAnsi="Arial"/>
                <w:sz w:val="14"/>
                <w:szCs w:val="14"/>
                <w:b w:val="1"/>
                <w:bCs w:val="1"/>
                <w:color w:val="auto"/>
                <w:w w:val="94"/>
              </w:rPr>
              <w:t>(I.R.S. Employer</w:t>
            </w:r>
          </w:p>
        </w:tc>
      </w:tr>
      <w:tr>
        <w:trPr>
          <w:trHeight w:val="186"/>
        </w:trPr>
        <w:tc>
          <w:tcPr>
            <w:tcW w:w="3700" w:type="dxa"/>
            <w:vAlign w:val="bottom"/>
          </w:tcPr>
          <w:p>
            <w:pPr>
              <w:jc w:val="center"/>
              <w:ind w:right="1748"/>
              <w:spacing w:after="0"/>
              <w:rPr>
                <w:sz w:val="20"/>
                <w:szCs w:val="20"/>
                <w:color w:val="auto"/>
              </w:rPr>
            </w:pPr>
            <w:r>
              <w:rPr>
                <w:rFonts w:ascii="Arial" w:cs="Arial" w:eastAsia="Arial" w:hAnsi="Arial"/>
                <w:sz w:val="14"/>
                <w:szCs w:val="14"/>
                <w:b w:val="1"/>
                <w:bCs w:val="1"/>
                <w:color w:val="auto"/>
                <w:w w:val="94"/>
              </w:rPr>
              <w:t>incorporation or organization)</w:t>
            </w:r>
          </w:p>
        </w:tc>
        <w:tc>
          <w:tcPr>
            <w:tcW w:w="20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Classification Code Number)</w:t>
            </w:r>
          </w:p>
        </w:tc>
        <w:tc>
          <w:tcPr>
            <w:tcW w:w="3460" w:type="dxa"/>
            <w:vAlign w:val="bottom"/>
          </w:tcPr>
          <w:p>
            <w:pPr>
              <w:jc w:val="center"/>
              <w:ind w:left="1888"/>
              <w:spacing w:after="0"/>
              <w:rPr>
                <w:sz w:val="20"/>
                <w:szCs w:val="20"/>
                <w:color w:val="auto"/>
              </w:rPr>
            </w:pPr>
            <w:r>
              <w:rPr>
                <w:rFonts w:ascii="Arial" w:cs="Arial" w:eastAsia="Arial" w:hAnsi="Arial"/>
                <w:sz w:val="14"/>
                <w:szCs w:val="14"/>
                <w:b w:val="1"/>
                <w:bCs w:val="1"/>
                <w:color w:val="auto"/>
                <w:w w:val="95"/>
              </w:rPr>
              <w:t>Identification Number)</w:t>
            </w:r>
          </w:p>
        </w:tc>
      </w:tr>
      <w:tr>
        <w:trPr>
          <w:trHeight w:val="489"/>
        </w:trPr>
        <w:tc>
          <w:tcPr>
            <w:tcW w:w="3700" w:type="dxa"/>
            <w:vAlign w:val="bottom"/>
          </w:tcPr>
          <w:p>
            <w:pPr>
              <w:spacing w:after="0"/>
              <w:rPr>
                <w:sz w:val="24"/>
                <w:szCs w:val="24"/>
                <w:color w:val="auto"/>
              </w:rPr>
            </w:pPr>
          </w:p>
        </w:tc>
        <w:tc>
          <w:tcPr>
            <w:tcW w:w="2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875 Stevenson St., 5th Floor</w:t>
            </w:r>
          </w:p>
        </w:tc>
        <w:tc>
          <w:tcPr>
            <w:tcW w:w="3460" w:type="dxa"/>
            <w:vAlign w:val="bottom"/>
          </w:tcPr>
          <w:p>
            <w:pPr>
              <w:spacing w:after="0"/>
              <w:rPr>
                <w:sz w:val="24"/>
                <w:szCs w:val="24"/>
                <w:color w:val="auto"/>
              </w:rPr>
            </w:pPr>
          </w:p>
        </w:tc>
      </w:tr>
      <w:tr>
        <w:trPr>
          <w:trHeight w:val="162"/>
        </w:trPr>
        <w:tc>
          <w:tcPr>
            <w:tcW w:w="3700" w:type="dxa"/>
            <w:vAlign w:val="bottom"/>
          </w:tcPr>
          <w:p>
            <w:pPr>
              <w:spacing w:after="0"/>
              <w:rPr>
                <w:sz w:val="14"/>
                <w:szCs w:val="14"/>
                <w:color w:val="auto"/>
              </w:rPr>
            </w:pPr>
          </w:p>
        </w:tc>
        <w:tc>
          <w:tcPr>
            <w:tcW w:w="2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San Francisco, CA 94103</w:t>
            </w:r>
          </w:p>
        </w:tc>
        <w:tc>
          <w:tcPr>
            <w:tcW w:w="3460" w:type="dxa"/>
            <w:vAlign w:val="bottom"/>
          </w:tcPr>
          <w:p>
            <w:pPr>
              <w:spacing w:after="0"/>
              <w:rPr>
                <w:sz w:val="14"/>
                <w:szCs w:val="14"/>
                <w:color w:val="auto"/>
              </w:rPr>
            </w:pPr>
          </w:p>
        </w:tc>
      </w:tr>
      <w:tr>
        <w:trPr>
          <w:trHeight w:val="170"/>
        </w:trPr>
        <w:tc>
          <w:tcPr>
            <w:tcW w:w="3700" w:type="dxa"/>
            <w:vAlign w:val="bottom"/>
          </w:tcPr>
          <w:p>
            <w:pPr>
              <w:spacing w:after="0"/>
              <w:rPr>
                <w:sz w:val="14"/>
                <w:szCs w:val="14"/>
                <w:color w:val="auto"/>
              </w:rPr>
            </w:pPr>
          </w:p>
        </w:tc>
        <w:tc>
          <w:tcPr>
            <w:tcW w:w="1800" w:type="dxa"/>
            <w:vAlign w:val="bottom"/>
            <w:gridSpan w:val="2"/>
          </w:tcPr>
          <w:p>
            <w:pPr>
              <w:jc w:val="center"/>
              <w:ind w:left="188"/>
              <w:spacing w:after="0"/>
              <w:rPr>
                <w:sz w:val="20"/>
                <w:szCs w:val="20"/>
                <w:color w:val="auto"/>
              </w:rPr>
            </w:pPr>
            <w:r>
              <w:rPr>
                <w:rFonts w:ascii="Arial" w:cs="Arial" w:eastAsia="Arial" w:hAnsi="Arial"/>
                <w:sz w:val="14"/>
                <w:szCs w:val="14"/>
                <w:b w:val="1"/>
                <w:bCs w:val="1"/>
                <w:color w:val="auto"/>
                <w:w w:val="93"/>
              </w:rPr>
              <w:t>(415) 549-8913</w:t>
            </w:r>
          </w:p>
        </w:tc>
        <w:tc>
          <w:tcPr>
            <w:tcW w:w="260" w:type="dxa"/>
            <w:vAlign w:val="bottom"/>
          </w:tcPr>
          <w:p>
            <w:pPr>
              <w:spacing w:after="0"/>
              <w:rPr>
                <w:sz w:val="14"/>
                <w:szCs w:val="14"/>
                <w:color w:val="auto"/>
              </w:rPr>
            </w:pPr>
          </w:p>
        </w:tc>
        <w:tc>
          <w:tcPr>
            <w:tcW w:w="3460" w:type="dxa"/>
            <w:vAlign w:val="bottom"/>
          </w:tcPr>
          <w:p>
            <w:pPr>
              <w:spacing w:after="0"/>
              <w:rPr>
                <w:sz w:val="14"/>
                <w:szCs w:val="14"/>
                <w:color w:val="auto"/>
              </w:rPr>
            </w:pPr>
          </w:p>
        </w:tc>
      </w:tr>
      <w:tr>
        <w:trPr>
          <w:trHeight w:val="230"/>
        </w:trPr>
        <w:tc>
          <w:tcPr>
            <w:tcW w:w="9220" w:type="dxa"/>
            <w:vAlign w:val="bottom"/>
            <w:gridSpan w:val="5"/>
          </w:tcPr>
          <w:p>
            <w:pPr>
              <w:jc w:val="center"/>
              <w:ind w:left="168"/>
              <w:spacing w:after="0"/>
              <w:rPr>
                <w:sz w:val="20"/>
                <w:szCs w:val="20"/>
                <w:color w:val="auto"/>
              </w:rPr>
            </w:pPr>
            <w:r>
              <w:rPr>
                <w:rFonts w:ascii="Arial" w:cs="Arial" w:eastAsia="Arial" w:hAnsi="Arial"/>
                <w:sz w:val="14"/>
                <w:szCs w:val="14"/>
                <w:b w:val="1"/>
                <w:bCs w:val="1"/>
                <w:color w:val="auto"/>
                <w:w w:val="91"/>
              </w:rPr>
              <w:t>(Address, including zip code, and telephone number, including area code, of Registrant’s principal executive offices</w:t>
            </w:r>
            <w:r>
              <w:rPr>
                <w:rFonts w:ascii="Arial" w:cs="Arial" w:eastAsia="Arial" w:hAnsi="Arial"/>
                <w:sz w:val="17"/>
                <w:szCs w:val="17"/>
                <w:color w:val="auto"/>
                <w:w w:val="91"/>
              </w:rPr>
              <w:t>)</w:t>
            </w:r>
          </w:p>
        </w:tc>
      </w:tr>
      <w:tr>
        <w:trPr>
          <w:trHeight w:val="81"/>
        </w:trPr>
        <w:tc>
          <w:tcPr>
            <w:tcW w:w="3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3460" w:type="dxa"/>
            <w:vAlign w:val="bottom"/>
          </w:tcPr>
          <w:p>
            <w:pPr>
              <w:spacing w:after="0"/>
              <w:rPr>
                <w:sz w:val="7"/>
                <w:szCs w:val="7"/>
                <w:color w:val="auto"/>
              </w:rPr>
            </w:pPr>
          </w:p>
        </w:tc>
      </w:tr>
      <w:tr>
        <w:trPr>
          <w:trHeight w:val="227"/>
        </w:trPr>
        <w:tc>
          <w:tcPr>
            <w:tcW w:w="3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Tim Chen</w:t>
            </w:r>
          </w:p>
        </w:tc>
        <w:tc>
          <w:tcPr>
            <w:tcW w:w="3460" w:type="dxa"/>
            <w:vAlign w:val="bottom"/>
          </w:tcPr>
          <w:p>
            <w:pPr>
              <w:spacing w:after="0"/>
              <w:rPr>
                <w:sz w:val="19"/>
                <w:szCs w:val="19"/>
                <w:color w:val="auto"/>
              </w:rPr>
            </w:pPr>
          </w:p>
        </w:tc>
      </w:tr>
      <w:tr>
        <w:trPr>
          <w:trHeight w:val="162"/>
        </w:trPr>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Chief Executive Officer</w:t>
            </w:r>
          </w:p>
        </w:tc>
        <w:tc>
          <w:tcPr>
            <w:tcW w:w="3460" w:type="dxa"/>
            <w:vAlign w:val="bottom"/>
          </w:tcPr>
          <w:p>
            <w:pPr>
              <w:spacing w:after="0"/>
              <w:rPr>
                <w:sz w:val="14"/>
                <w:szCs w:val="14"/>
                <w:color w:val="auto"/>
              </w:rPr>
            </w:pPr>
          </w:p>
        </w:tc>
      </w:tr>
      <w:tr>
        <w:trPr>
          <w:trHeight w:val="162"/>
        </w:trPr>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NerdWallet, Inc.</w:t>
            </w:r>
          </w:p>
        </w:tc>
        <w:tc>
          <w:tcPr>
            <w:tcW w:w="3460" w:type="dxa"/>
            <w:vAlign w:val="bottom"/>
          </w:tcPr>
          <w:p>
            <w:pPr>
              <w:spacing w:after="0"/>
              <w:rPr>
                <w:sz w:val="14"/>
                <w:szCs w:val="14"/>
                <w:color w:val="auto"/>
              </w:rPr>
            </w:pPr>
          </w:p>
        </w:tc>
      </w:tr>
      <w:tr>
        <w:trPr>
          <w:trHeight w:val="162"/>
        </w:trPr>
        <w:tc>
          <w:tcPr>
            <w:tcW w:w="3700" w:type="dxa"/>
            <w:vAlign w:val="bottom"/>
          </w:tcPr>
          <w:p>
            <w:pPr>
              <w:spacing w:after="0"/>
              <w:rPr>
                <w:sz w:val="14"/>
                <w:szCs w:val="14"/>
                <w:color w:val="auto"/>
              </w:rPr>
            </w:pPr>
          </w:p>
        </w:tc>
        <w:tc>
          <w:tcPr>
            <w:tcW w:w="2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875 Stevenson St., 5th Floor</w:t>
            </w:r>
          </w:p>
        </w:tc>
        <w:tc>
          <w:tcPr>
            <w:tcW w:w="3460" w:type="dxa"/>
            <w:vAlign w:val="bottom"/>
          </w:tcPr>
          <w:p>
            <w:pPr>
              <w:spacing w:after="0"/>
              <w:rPr>
                <w:sz w:val="14"/>
                <w:szCs w:val="14"/>
                <w:color w:val="auto"/>
              </w:rPr>
            </w:pPr>
          </w:p>
        </w:tc>
      </w:tr>
      <w:tr>
        <w:trPr>
          <w:trHeight w:val="162"/>
        </w:trPr>
        <w:tc>
          <w:tcPr>
            <w:tcW w:w="3700" w:type="dxa"/>
            <w:vAlign w:val="bottom"/>
          </w:tcPr>
          <w:p>
            <w:pPr>
              <w:spacing w:after="0"/>
              <w:rPr>
                <w:sz w:val="14"/>
                <w:szCs w:val="14"/>
                <w:color w:val="auto"/>
              </w:rPr>
            </w:pPr>
          </w:p>
        </w:tc>
        <w:tc>
          <w:tcPr>
            <w:tcW w:w="2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San Francisco, CA 94103</w:t>
            </w:r>
          </w:p>
        </w:tc>
        <w:tc>
          <w:tcPr>
            <w:tcW w:w="3460" w:type="dxa"/>
            <w:vAlign w:val="bottom"/>
          </w:tcPr>
          <w:p>
            <w:pPr>
              <w:spacing w:after="0"/>
              <w:rPr>
                <w:sz w:val="14"/>
                <w:szCs w:val="14"/>
                <w:color w:val="auto"/>
              </w:rPr>
            </w:pPr>
          </w:p>
        </w:tc>
      </w:tr>
      <w:tr>
        <w:trPr>
          <w:trHeight w:val="162"/>
        </w:trPr>
        <w:tc>
          <w:tcPr>
            <w:tcW w:w="3700" w:type="dxa"/>
            <w:vAlign w:val="bottom"/>
          </w:tcPr>
          <w:p>
            <w:pPr>
              <w:spacing w:after="0"/>
              <w:rPr>
                <w:sz w:val="14"/>
                <w:szCs w:val="14"/>
                <w:color w:val="auto"/>
              </w:rPr>
            </w:pPr>
          </w:p>
        </w:tc>
        <w:tc>
          <w:tcPr>
            <w:tcW w:w="1800" w:type="dxa"/>
            <w:vAlign w:val="bottom"/>
            <w:gridSpan w:val="2"/>
          </w:tcPr>
          <w:p>
            <w:pPr>
              <w:jc w:val="center"/>
              <w:ind w:left="188"/>
              <w:spacing w:after="0"/>
              <w:rPr>
                <w:sz w:val="20"/>
                <w:szCs w:val="20"/>
                <w:color w:val="auto"/>
              </w:rPr>
            </w:pPr>
            <w:r>
              <w:rPr>
                <w:rFonts w:ascii="Arial" w:cs="Arial" w:eastAsia="Arial" w:hAnsi="Arial"/>
                <w:sz w:val="14"/>
                <w:szCs w:val="14"/>
                <w:b w:val="1"/>
                <w:bCs w:val="1"/>
                <w:color w:val="auto"/>
                <w:w w:val="93"/>
              </w:rPr>
              <w:t>(415) 549-8913</w:t>
            </w:r>
          </w:p>
        </w:tc>
        <w:tc>
          <w:tcPr>
            <w:tcW w:w="260" w:type="dxa"/>
            <w:vAlign w:val="bottom"/>
          </w:tcPr>
          <w:p>
            <w:pPr>
              <w:spacing w:after="0"/>
              <w:rPr>
                <w:sz w:val="14"/>
                <w:szCs w:val="14"/>
                <w:color w:val="auto"/>
              </w:rPr>
            </w:pPr>
          </w:p>
        </w:tc>
        <w:tc>
          <w:tcPr>
            <w:tcW w:w="3460" w:type="dxa"/>
            <w:vAlign w:val="bottom"/>
          </w:tcPr>
          <w:p>
            <w:pPr>
              <w:spacing w:after="0"/>
              <w:rPr>
                <w:sz w:val="14"/>
                <w:szCs w:val="14"/>
                <w:color w:val="auto"/>
              </w:rPr>
            </w:pPr>
          </w:p>
        </w:tc>
      </w:tr>
      <w:tr>
        <w:trPr>
          <w:trHeight w:val="186"/>
        </w:trPr>
        <w:tc>
          <w:tcPr>
            <w:tcW w:w="9220" w:type="dxa"/>
            <w:vAlign w:val="bottom"/>
            <w:gridSpan w:val="5"/>
          </w:tcPr>
          <w:p>
            <w:pPr>
              <w:jc w:val="center"/>
              <w:ind w:left="148"/>
              <w:spacing w:after="0"/>
              <w:rPr>
                <w:sz w:val="20"/>
                <w:szCs w:val="20"/>
                <w:color w:val="auto"/>
              </w:rPr>
            </w:pPr>
            <w:r>
              <w:rPr>
                <w:rFonts w:ascii="Arial" w:cs="Arial" w:eastAsia="Arial" w:hAnsi="Arial"/>
                <w:sz w:val="14"/>
                <w:szCs w:val="14"/>
                <w:b w:val="1"/>
                <w:bCs w:val="1"/>
                <w:color w:val="auto"/>
                <w:w w:val="90"/>
              </w:rPr>
              <w:t>(Name, address, including zip code, and telephone number, including area code, of agent for service)</w:t>
            </w:r>
          </w:p>
        </w:tc>
      </w:tr>
      <w:tr>
        <w:trPr>
          <w:trHeight w:val="80"/>
        </w:trPr>
        <w:tc>
          <w:tcPr>
            <w:tcW w:w="370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gridSpan w:val="2"/>
          </w:tcPr>
          <w:p>
            <w:pPr>
              <w:spacing w:after="0"/>
              <w:rPr>
                <w:sz w:val="6"/>
                <w:szCs w:val="6"/>
                <w:color w:val="auto"/>
              </w:rPr>
            </w:pPr>
          </w:p>
        </w:tc>
        <w:tc>
          <w:tcPr>
            <w:tcW w:w="3460" w:type="dxa"/>
            <w:vAlign w:val="bottom"/>
          </w:tcPr>
          <w:p>
            <w:pPr>
              <w:spacing w:after="0"/>
              <w:rPr>
                <w:sz w:val="6"/>
                <w:szCs w:val="6"/>
                <w:color w:val="auto"/>
              </w:rPr>
            </w:pPr>
          </w:p>
        </w:tc>
      </w:tr>
      <w:tr>
        <w:trPr>
          <w:trHeight w:val="211"/>
        </w:trPr>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5"/>
              </w:rPr>
              <w:t>Copies to:</w:t>
            </w:r>
          </w:p>
        </w:tc>
        <w:tc>
          <w:tcPr>
            <w:tcW w:w="3460" w:type="dxa"/>
            <w:vAlign w:val="bottom"/>
          </w:tcPr>
          <w:p>
            <w:pPr>
              <w:spacing w:after="0"/>
              <w:rPr>
                <w:sz w:val="18"/>
                <w:szCs w:val="18"/>
                <w:color w:val="auto"/>
              </w:rPr>
            </w:pPr>
          </w:p>
        </w:tc>
      </w:tr>
      <w:tr>
        <w:trPr>
          <w:trHeight w:val="215"/>
        </w:trPr>
        <w:tc>
          <w:tcPr>
            <w:tcW w:w="3700" w:type="dxa"/>
            <w:vAlign w:val="bottom"/>
          </w:tcPr>
          <w:p>
            <w:pPr>
              <w:jc w:val="center"/>
              <w:ind w:right="1728"/>
              <w:spacing w:after="0"/>
              <w:rPr>
                <w:sz w:val="20"/>
                <w:szCs w:val="20"/>
                <w:color w:val="auto"/>
              </w:rPr>
            </w:pPr>
            <w:r>
              <w:rPr>
                <w:rFonts w:ascii="Arial" w:cs="Arial" w:eastAsia="Arial" w:hAnsi="Arial"/>
                <w:sz w:val="14"/>
                <w:szCs w:val="14"/>
                <w:b w:val="1"/>
                <w:bCs w:val="1"/>
                <w:color w:val="auto"/>
                <w:w w:val="88"/>
              </w:rPr>
              <w:t>John Sellers</w:t>
            </w:r>
          </w:p>
        </w:tc>
        <w:tc>
          <w:tcPr>
            <w:tcW w:w="26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Ekumene Lysonge</w:t>
            </w:r>
          </w:p>
        </w:tc>
        <w:tc>
          <w:tcPr>
            <w:tcW w:w="3460" w:type="dxa"/>
            <w:vAlign w:val="bottom"/>
          </w:tcPr>
          <w:p>
            <w:pPr>
              <w:jc w:val="center"/>
              <w:ind w:left="1888"/>
              <w:spacing w:after="0"/>
              <w:rPr>
                <w:sz w:val="20"/>
                <w:szCs w:val="20"/>
                <w:color w:val="auto"/>
              </w:rPr>
            </w:pPr>
            <w:r>
              <w:rPr>
                <w:rFonts w:ascii="Arial" w:cs="Arial" w:eastAsia="Arial" w:hAnsi="Arial"/>
                <w:sz w:val="14"/>
                <w:szCs w:val="14"/>
                <w:b w:val="1"/>
                <w:bCs w:val="1"/>
                <w:color w:val="auto"/>
                <w:w w:val="95"/>
              </w:rPr>
              <w:t>Richard Kline</w:t>
            </w:r>
          </w:p>
        </w:tc>
      </w:tr>
      <w:tr>
        <w:trPr>
          <w:trHeight w:val="135"/>
        </w:trPr>
        <w:tc>
          <w:tcPr>
            <w:tcW w:w="3700" w:type="dxa"/>
            <w:vAlign w:val="bottom"/>
          </w:tcPr>
          <w:p>
            <w:pPr>
              <w:jc w:val="center"/>
              <w:ind w:right="1748"/>
              <w:spacing w:after="0" w:line="135" w:lineRule="exact"/>
              <w:rPr>
                <w:sz w:val="20"/>
                <w:szCs w:val="20"/>
                <w:color w:val="auto"/>
              </w:rPr>
            </w:pPr>
            <w:r>
              <w:rPr>
                <w:rFonts w:ascii="Arial" w:cs="Arial" w:eastAsia="Arial" w:hAnsi="Arial"/>
                <w:sz w:val="14"/>
                <w:szCs w:val="14"/>
                <w:b w:val="1"/>
                <w:bCs w:val="1"/>
                <w:color w:val="auto"/>
                <w:w w:val="91"/>
              </w:rPr>
              <w:t>David Peinsipp</w:t>
            </w:r>
          </w:p>
        </w:tc>
        <w:tc>
          <w:tcPr>
            <w:tcW w:w="260" w:type="dxa"/>
            <w:vAlign w:val="bottom"/>
          </w:tcPr>
          <w:p>
            <w:pPr>
              <w:spacing w:after="0"/>
              <w:rPr>
                <w:sz w:val="11"/>
                <w:szCs w:val="11"/>
                <w:color w:val="auto"/>
              </w:rPr>
            </w:pPr>
          </w:p>
        </w:tc>
        <w:tc>
          <w:tcPr>
            <w:tcW w:w="18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Aby Castro</w:t>
            </w:r>
          </w:p>
        </w:tc>
        <w:tc>
          <w:tcPr>
            <w:tcW w:w="3460" w:type="dxa"/>
            <w:vAlign w:val="bottom"/>
          </w:tcPr>
          <w:p>
            <w:pPr>
              <w:jc w:val="center"/>
              <w:ind w:left="1888"/>
              <w:spacing w:after="0" w:line="135" w:lineRule="exact"/>
              <w:rPr>
                <w:sz w:val="20"/>
                <w:szCs w:val="20"/>
                <w:color w:val="auto"/>
              </w:rPr>
            </w:pPr>
            <w:r>
              <w:rPr>
                <w:rFonts w:ascii="Arial" w:cs="Arial" w:eastAsia="Arial" w:hAnsi="Arial"/>
                <w:sz w:val="14"/>
                <w:szCs w:val="14"/>
                <w:b w:val="1"/>
                <w:bCs w:val="1"/>
                <w:color w:val="auto"/>
                <w:w w:val="96"/>
              </w:rPr>
              <w:t>Sarah Axtell</w:t>
            </w:r>
          </w:p>
        </w:tc>
      </w:tr>
      <w:tr>
        <w:trPr>
          <w:trHeight w:val="135"/>
        </w:trPr>
        <w:tc>
          <w:tcPr>
            <w:tcW w:w="3700" w:type="dxa"/>
            <w:vAlign w:val="bottom"/>
          </w:tcPr>
          <w:p>
            <w:pPr>
              <w:jc w:val="center"/>
              <w:ind w:right="1728"/>
              <w:spacing w:after="0" w:line="135" w:lineRule="exact"/>
              <w:rPr>
                <w:sz w:val="20"/>
                <w:szCs w:val="20"/>
                <w:color w:val="auto"/>
              </w:rPr>
            </w:pPr>
            <w:r>
              <w:rPr>
                <w:rFonts w:ascii="Arial" w:cs="Arial" w:eastAsia="Arial" w:hAnsi="Arial"/>
                <w:sz w:val="14"/>
                <w:szCs w:val="14"/>
                <w:b w:val="1"/>
                <w:bCs w:val="1"/>
                <w:color w:val="auto"/>
                <w:w w:val="93"/>
              </w:rPr>
              <w:t>Nicole Orders</w:t>
            </w:r>
          </w:p>
        </w:tc>
        <w:tc>
          <w:tcPr>
            <w:tcW w:w="2060" w:type="dxa"/>
            <w:vAlign w:val="bottom"/>
            <w:gridSpan w:val="3"/>
          </w:tcPr>
          <w:p>
            <w:pPr>
              <w:jc w:val="center"/>
              <w:ind w:right="40"/>
              <w:spacing w:after="0" w:line="135" w:lineRule="exact"/>
              <w:rPr>
                <w:sz w:val="20"/>
                <w:szCs w:val="20"/>
                <w:color w:val="auto"/>
              </w:rPr>
            </w:pPr>
            <w:r>
              <w:rPr>
                <w:rFonts w:ascii="Arial" w:cs="Arial" w:eastAsia="Arial" w:hAnsi="Arial"/>
                <w:sz w:val="14"/>
                <w:szCs w:val="14"/>
                <w:b w:val="1"/>
                <w:bCs w:val="1"/>
                <w:color w:val="auto"/>
                <w:w w:val="92"/>
              </w:rPr>
              <w:t>Office of the General Counsel</w:t>
            </w:r>
          </w:p>
        </w:tc>
        <w:tc>
          <w:tcPr>
            <w:tcW w:w="3460" w:type="dxa"/>
            <w:vAlign w:val="bottom"/>
          </w:tcPr>
          <w:p>
            <w:pPr>
              <w:jc w:val="center"/>
              <w:ind w:left="1888"/>
              <w:spacing w:after="0" w:line="135" w:lineRule="exact"/>
              <w:rPr>
                <w:sz w:val="20"/>
                <w:szCs w:val="20"/>
                <w:color w:val="auto"/>
              </w:rPr>
            </w:pPr>
            <w:r>
              <w:rPr>
                <w:rFonts w:ascii="Arial" w:cs="Arial" w:eastAsia="Arial" w:hAnsi="Arial"/>
                <w:sz w:val="14"/>
                <w:szCs w:val="14"/>
                <w:b w:val="1"/>
                <w:bCs w:val="1"/>
                <w:color w:val="auto"/>
                <w:w w:val="98"/>
              </w:rPr>
              <w:t>Latham &amp; Watkins LLP</w:t>
            </w:r>
          </w:p>
        </w:tc>
      </w:tr>
      <w:tr>
        <w:trPr>
          <w:trHeight w:val="135"/>
        </w:trPr>
        <w:tc>
          <w:tcPr>
            <w:tcW w:w="3700" w:type="dxa"/>
            <w:vAlign w:val="bottom"/>
          </w:tcPr>
          <w:p>
            <w:pPr>
              <w:jc w:val="center"/>
              <w:ind w:right="1728"/>
              <w:spacing w:after="0" w:line="135" w:lineRule="exact"/>
              <w:rPr>
                <w:sz w:val="20"/>
                <w:szCs w:val="20"/>
                <w:color w:val="auto"/>
              </w:rPr>
            </w:pPr>
            <w:r>
              <w:rPr>
                <w:rFonts w:ascii="Arial" w:cs="Arial" w:eastAsia="Arial" w:hAnsi="Arial"/>
                <w:sz w:val="14"/>
                <w:szCs w:val="14"/>
                <w:b w:val="1"/>
                <w:bCs w:val="1"/>
                <w:color w:val="auto"/>
                <w:w w:val="96"/>
              </w:rPr>
              <w:t>Cooley LLP</w:t>
            </w:r>
          </w:p>
        </w:tc>
        <w:tc>
          <w:tcPr>
            <w:tcW w:w="260" w:type="dxa"/>
            <w:vAlign w:val="bottom"/>
          </w:tcPr>
          <w:p>
            <w:pPr>
              <w:spacing w:after="0"/>
              <w:rPr>
                <w:sz w:val="11"/>
                <w:szCs w:val="11"/>
                <w:color w:val="auto"/>
              </w:rPr>
            </w:pPr>
          </w:p>
        </w:tc>
        <w:tc>
          <w:tcPr>
            <w:tcW w:w="18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7"/>
              </w:rPr>
              <w:t>NerdWallet, Inc.</w:t>
            </w:r>
          </w:p>
        </w:tc>
        <w:tc>
          <w:tcPr>
            <w:tcW w:w="3460" w:type="dxa"/>
            <w:vAlign w:val="bottom"/>
          </w:tcPr>
          <w:p>
            <w:pPr>
              <w:jc w:val="center"/>
              <w:ind w:left="1888"/>
              <w:spacing w:after="0" w:line="135" w:lineRule="exact"/>
              <w:rPr>
                <w:sz w:val="20"/>
                <w:szCs w:val="20"/>
                <w:color w:val="auto"/>
              </w:rPr>
            </w:pPr>
            <w:r>
              <w:rPr>
                <w:rFonts w:ascii="Arial" w:cs="Arial" w:eastAsia="Arial" w:hAnsi="Arial"/>
                <w:sz w:val="14"/>
                <w:szCs w:val="14"/>
                <w:b w:val="1"/>
                <w:bCs w:val="1"/>
                <w:color w:val="auto"/>
                <w:w w:val="92"/>
              </w:rPr>
              <w:t>140 Scott Drive</w:t>
            </w:r>
          </w:p>
        </w:tc>
      </w:tr>
      <w:tr>
        <w:trPr>
          <w:trHeight w:val="135"/>
        </w:trPr>
        <w:tc>
          <w:tcPr>
            <w:tcW w:w="3700" w:type="dxa"/>
            <w:vAlign w:val="bottom"/>
          </w:tcPr>
          <w:p>
            <w:pPr>
              <w:jc w:val="center"/>
              <w:ind w:right="1728"/>
              <w:spacing w:after="0" w:line="135" w:lineRule="exact"/>
              <w:rPr>
                <w:sz w:val="20"/>
                <w:szCs w:val="20"/>
                <w:color w:val="auto"/>
              </w:rPr>
            </w:pPr>
            <w:r>
              <w:rPr>
                <w:rFonts w:ascii="Arial" w:cs="Arial" w:eastAsia="Arial" w:hAnsi="Arial"/>
                <w:sz w:val="14"/>
                <w:szCs w:val="14"/>
                <w:b w:val="1"/>
                <w:bCs w:val="1"/>
                <w:color w:val="auto"/>
                <w:w w:val="93"/>
              </w:rPr>
              <w:t>3175 Hanover Street</w:t>
            </w:r>
          </w:p>
        </w:tc>
        <w:tc>
          <w:tcPr>
            <w:tcW w:w="206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91"/>
              </w:rPr>
              <w:t>875 Stevenson St., 5th Floor</w:t>
            </w:r>
          </w:p>
        </w:tc>
        <w:tc>
          <w:tcPr>
            <w:tcW w:w="3460" w:type="dxa"/>
            <w:vAlign w:val="bottom"/>
          </w:tcPr>
          <w:p>
            <w:pPr>
              <w:jc w:val="center"/>
              <w:ind w:left="1888"/>
              <w:spacing w:after="0" w:line="135" w:lineRule="exact"/>
              <w:rPr>
                <w:sz w:val="20"/>
                <w:szCs w:val="20"/>
                <w:color w:val="auto"/>
              </w:rPr>
            </w:pPr>
            <w:r>
              <w:rPr>
                <w:rFonts w:ascii="Arial" w:cs="Arial" w:eastAsia="Arial" w:hAnsi="Arial"/>
                <w:sz w:val="14"/>
                <w:szCs w:val="14"/>
                <w:b w:val="1"/>
                <w:bCs w:val="1"/>
                <w:color w:val="auto"/>
                <w:w w:val="97"/>
              </w:rPr>
              <w:t>Menlo Park, CA 94025</w:t>
            </w:r>
          </w:p>
        </w:tc>
      </w:tr>
      <w:tr>
        <w:trPr>
          <w:trHeight w:val="135"/>
        </w:trPr>
        <w:tc>
          <w:tcPr>
            <w:tcW w:w="3700" w:type="dxa"/>
            <w:vAlign w:val="bottom"/>
          </w:tcPr>
          <w:p>
            <w:pPr>
              <w:jc w:val="center"/>
              <w:ind w:right="1748"/>
              <w:spacing w:after="0" w:line="135" w:lineRule="exact"/>
              <w:rPr>
                <w:sz w:val="20"/>
                <w:szCs w:val="20"/>
                <w:color w:val="auto"/>
              </w:rPr>
            </w:pPr>
            <w:r>
              <w:rPr>
                <w:rFonts w:ascii="Arial" w:cs="Arial" w:eastAsia="Arial" w:hAnsi="Arial"/>
                <w:sz w:val="14"/>
                <w:szCs w:val="14"/>
                <w:b w:val="1"/>
                <w:bCs w:val="1"/>
                <w:color w:val="auto"/>
                <w:w w:val="94"/>
              </w:rPr>
              <w:t>Palo Alto, CA 94304</w:t>
            </w:r>
          </w:p>
        </w:tc>
        <w:tc>
          <w:tcPr>
            <w:tcW w:w="2060" w:type="dxa"/>
            <w:vAlign w:val="bottom"/>
            <w:gridSpan w:val="3"/>
          </w:tcPr>
          <w:p>
            <w:pPr>
              <w:jc w:val="center"/>
              <w:ind w:right="40"/>
              <w:spacing w:after="0" w:line="135" w:lineRule="exact"/>
              <w:rPr>
                <w:sz w:val="20"/>
                <w:szCs w:val="20"/>
                <w:color w:val="auto"/>
              </w:rPr>
            </w:pPr>
            <w:r>
              <w:rPr>
                <w:rFonts w:ascii="Arial" w:cs="Arial" w:eastAsia="Arial" w:hAnsi="Arial"/>
                <w:sz w:val="14"/>
                <w:szCs w:val="14"/>
                <w:b w:val="1"/>
                <w:bCs w:val="1"/>
                <w:color w:val="auto"/>
                <w:w w:val="92"/>
              </w:rPr>
              <w:t>San Francisco, CA 94103</w:t>
            </w:r>
          </w:p>
        </w:tc>
        <w:tc>
          <w:tcPr>
            <w:tcW w:w="3460" w:type="dxa"/>
            <w:vAlign w:val="bottom"/>
          </w:tcPr>
          <w:p>
            <w:pPr>
              <w:jc w:val="right"/>
              <w:ind w:right="228"/>
              <w:spacing w:after="0" w:line="135" w:lineRule="exact"/>
              <w:rPr>
                <w:sz w:val="20"/>
                <w:szCs w:val="20"/>
                <w:color w:val="auto"/>
              </w:rPr>
            </w:pPr>
            <w:r>
              <w:rPr>
                <w:rFonts w:ascii="Arial" w:cs="Arial" w:eastAsia="Arial" w:hAnsi="Arial"/>
                <w:sz w:val="14"/>
                <w:szCs w:val="14"/>
                <w:b w:val="1"/>
                <w:bCs w:val="1"/>
                <w:color w:val="auto"/>
              </w:rPr>
              <w:t>(650) 328-4600</w:t>
            </w:r>
          </w:p>
        </w:tc>
      </w:tr>
      <w:tr>
        <w:trPr>
          <w:trHeight w:val="186"/>
        </w:trPr>
        <w:tc>
          <w:tcPr>
            <w:tcW w:w="3700" w:type="dxa"/>
            <w:vAlign w:val="bottom"/>
          </w:tcPr>
          <w:p>
            <w:pPr>
              <w:jc w:val="center"/>
              <w:ind w:right="1728"/>
              <w:spacing w:after="0"/>
              <w:rPr>
                <w:sz w:val="20"/>
                <w:szCs w:val="20"/>
                <w:color w:val="auto"/>
              </w:rPr>
            </w:pPr>
            <w:r>
              <w:rPr>
                <w:rFonts w:ascii="Arial" w:cs="Arial" w:eastAsia="Arial" w:hAnsi="Arial"/>
                <w:sz w:val="14"/>
                <w:szCs w:val="14"/>
                <w:b w:val="1"/>
                <w:bCs w:val="1"/>
                <w:color w:val="auto"/>
                <w:w w:val="93"/>
              </w:rPr>
              <w:t>(650) 843-5000</w:t>
            </w:r>
          </w:p>
        </w:tc>
        <w:tc>
          <w:tcPr>
            <w:tcW w:w="180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(415) 549-8913</w:t>
            </w:r>
          </w:p>
        </w:tc>
        <w:tc>
          <w:tcPr>
            <w:tcW w:w="260" w:type="dxa"/>
            <w:vAlign w:val="bottom"/>
          </w:tcPr>
          <w:p>
            <w:pPr>
              <w:spacing w:after="0"/>
              <w:rPr>
                <w:sz w:val="16"/>
                <w:szCs w:val="16"/>
                <w:color w:val="auto"/>
              </w:rPr>
            </w:pPr>
          </w:p>
        </w:tc>
        <w:tc>
          <w:tcPr>
            <w:tcW w:w="34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156210</wp:posOffset>
            </wp:positionV>
            <wp:extent cx="13112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325" w:lineRule="exact"/>
        <w:rPr>
          <w:sz w:val="24"/>
          <w:szCs w:val="24"/>
          <w:color w:val="auto"/>
        </w:rPr>
      </w:pPr>
    </w:p>
    <w:p>
      <w:pPr>
        <w:ind w:left="340"/>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 As soon as practicable after this Registration Statement is declared effective.</w:t>
      </w:r>
    </w:p>
    <w:p>
      <w:pPr>
        <w:ind w:left="340"/>
        <w:spacing w:after="0" w:line="222" w:lineRule="auto"/>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check the following box.</w:t>
      </w:r>
    </w:p>
    <w:p>
      <w:pPr>
        <w:ind w:firstLine="324"/>
        <w:spacing w:after="0" w:line="135"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ind w:right="20" w:firstLine="324"/>
        <w:spacing w:after="0" w:line="135"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ind w:firstLine="324"/>
        <w:spacing w:after="0" w:line="135"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ind w:firstLine="324"/>
        <w:spacing w:after="0" w:line="22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68" w:right="339" w:bottom="1440" w:gutter="0" w:footer="0" w:header="0"/>
        </w:sectPr>
      </w:pPr>
    </w:p>
    <w:p>
      <w:pPr>
        <w:spacing w:after="0" w:line="7" w:lineRule="exact"/>
        <w:rPr>
          <w:sz w:val="24"/>
          <w:szCs w:val="24"/>
          <w:color w:val="auto"/>
        </w:rPr>
      </w:pPr>
    </w:p>
    <w:p>
      <w:pPr>
        <w:ind w:left="20"/>
        <w:spacing w:after="0" w:line="355" w:lineRule="auto"/>
        <w:rPr>
          <w:sz w:val="20"/>
          <w:szCs w:val="20"/>
          <w:color w:val="auto"/>
        </w:rPr>
      </w:pPr>
      <w:r>
        <w:rPr>
          <w:rFonts w:ascii="Arial" w:cs="Arial" w:eastAsia="Arial" w:hAnsi="Arial"/>
          <w:sz w:val="13"/>
          <w:szCs w:val="13"/>
          <w:color w:val="auto"/>
        </w:rPr>
        <w:t>Large accelerated filer Non-accelerated filer</w:t>
      </w:r>
    </w:p>
    <w:p>
      <w:pPr>
        <w:spacing w:after="0" w:line="20" w:lineRule="exact"/>
        <w:rPr>
          <w:sz w:val="24"/>
          <w:szCs w:val="24"/>
          <w:color w:val="auto"/>
        </w:rPr>
      </w:pPr>
      <w:r>
        <w:rPr>
          <w:sz w:val="24"/>
          <w:szCs w:val="24"/>
          <w:color w:val="auto"/>
        </w:rPr>
        <w:br w:type="column"/>
      </w:r>
    </w:p>
    <w:p>
      <w:pPr>
        <w:ind w:left="80"/>
        <w:spacing w:after="0" w:line="102" w:lineRule="exact"/>
        <w:rPr>
          <w:sz w:val="20"/>
          <w:szCs w:val="20"/>
          <w:color w:val="auto"/>
        </w:rPr>
      </w:pPr>
      <w:r>
        <w:rPr>
          <w:rFonts w:ascii="MS PGothic" w:cs="MS PGothic" w:eastAsia="MS PGothic" w:hAnsi="MS PGothic"/>
          <w:sz w:val="12"/>
          <w:szCs w:val="12"/>
          <w:color w:val="auto"/>
        </w:rPr>
        <w:t>☐</w:t>
      </w:r>
    </w:p>
    <w:p>
      <w:pPr>
        <w:spacing w:after="0" w:line="8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2" w:lineRule="exact"/>
        <w:tabs>
          <w:tab w:leader="none" w:pos="1120" w:val="left"/>
        </w:tabs>
        <w:rPr>
          <w:sz w:val="20"/>
          <w:szCs w:val="20"/>
          <w:color w:val="auto"/>
        </w:rPr>
      </w:pP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p>
    <w:p>
      <w:pPr>
        <w:spacing w:after="0" w:line="44"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30"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10" w:lineRule="exact"/>
        <w:rPr>
          <w:sz w:val="24"/>
          <w:szCs w:val="24"/>
          <w:color w:val="auto"/>
        </w:rPr>
      </w:pPr>
    </w:p>
    <w:p>
      <w:pPr>
        <w:sectPr>
          <w:pgSz w:w="11900" w:h="16838" w:orient="portrait"/>
          <w:cols w:equalWidth="0" w:num="4">
            <w:col w:w="1320" w:space="100"/>
            <w:col w:w="3500" w:space="720"/>
            <w:col w:w="1580" w:space="180"/>
            <w:col w:w="3840"/>
          </w:cols>
          <w:pgMar w:left="320" w:top="468" w:right="339" w:bottom="1440" w:gutter="0" w:footer="0" w:header="0"/>
          <w:type w:val="continuous"/>
        </w:sectPr>
      </w:pPr>
    </w:p>
    <w:p>
      <w:pPr>
        <w:ind w:firstLine="324"/>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36195</wp:posOffset>
            </wp:positionV>
            <wp:extent cx="13112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8040" w:type="dxa"/>
            <w:vAlign w:val="bottom"/>
            <w:tcBorders>
              <w:top w:val="single" w:sz="8" w:color="auto"/>
              <w:right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80" w:type="dxa"/>
            <w:vAlign w:val="bottom"/>
            <w:tcBorders>
              <w:top w:val="single" w:sz="8" w:color="auto"/>
              <w:right w:val="single" w:sz="8" w:color="auto"/>
            </w:tcBorders>
          </w:tcPr>
          <w:p>
            <w:pPr>
              <w:jc w:val="center"/>
              <w:ind w:right="191"/>
              <w:spacing w:after="0"/>
              <w:rPr>
                <w:sz w:val="20"/>
                <w:szCs w:val="20"/>
                <w:color w:val="auto"/>
              </w:rPr>
            </w:pPr>
            <w:r>
              <w:rPr>
                <w:rFonts w:ascii="Arial" w:cs="Arial" w:eastAsia="Arial" w:hAnsi="Arial"/>
                <w:sz w:val="14"/>
                <w:szCs w:val="14"/>
                <w:b w:val="1"/>
                <w:bCs w:val="1"/>
                <w:color w:val="auto"/>
                <w:w w:val="93"/>
              </w:rPr>
              <w:t>Proposed Maximum</w:t>
            </w: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r>
      <w:tr>
        <w:trPr>
          <w:trHeight w:val="159"/>
        </w:trPr>
        <w:tc>
          <w:tcPr>
            <w:tcW w:w="804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w w:val="93"/>
              </w:rPr>
              <w:t>Title of Each Class of</w:t>
            </w:r>
          </w:p>
        </w:tc>
        <w:tc>
          <w:tcPr>
            <w:tcW w:w="160" w:type="dxa"/>
            <w:vAlign w:val="bottom"/>
          </w:tcPr>
          <w:p>
            <w:pPr>
              <w:spacing w:after="0"/>
              <w:rPr>
                <w:sz w:val="13"/>
                <w:szCs w:val="13"/>
                <w:color w:val="auto"/>
              </w:rPr>
            </w:pPr>
          </w:p>
        </w:tc>
        <w:tc>
          <w:tcPr>
            <w:tcW w:w="1580" w:type="dxa"/>
            <w:vAlign w:val="bottom"/>
            <w:tcBorders>
              <w:right w:val="single" w:sz="8" w:color="auto"/>
            </w:tcBorders>
          </w:tcPr>
          <w:p>
            <w:pPr>
              <w:jc w:val="center"/>
              <w:ind w:right="191"/>
              <w:spacing w:after="0" w:line="159" w:lineRule="exact"/>
              <w:rPr>
                <w:sz w:val="20"/>
                <w:szCs w:val="20"/>
                <w:color w:val="auto"/>
              </w:rPr>
            </w:pPr>
            <w:r>
              <w:rPr>
                <w:rFonts w:ascii="Arial" w:cs="Arial" w:eastAsia="Arial" w:hAnsi="Arial"/>
                <w:sz w:val="14"/>
                <w:szCs w:val="14"/>
                <w:b w:val="1"/>
                <w:bCs w:val="1"/>
                <w:color w:val="auto"/>
                <w:w w:val="94"/>
              </w:rPr>
              <w:t>Aggregate Offering</w:t>
            </w:r>
          </w:p>
        </w:tc>
        <w:tc>
          <w:tcPr>
            <w:tcW w:w="160" w:type="dxa"/>
            <w:vAlign w:val="bottom"/>
          </w:tcPr>
          <w:p>
            <w:pPr>
              <w:spacing w:after="0"/>
              <w:rPr>
                <w:sz w:val="13"/>
                <w:szCs w:val="13"/>
                <w:color w:val="auto"/>
              </w:rPr>
            </w:pPr>
          </w:p>
        </w:tc>
        <w:tc>
          <w:tcPr>
            <w:tcW w:w="1300" w:type="dxa"/>
            <w:vAlign w:val="bottom"/>
          </w:tcPr>
          <w:p>
            <w:pPr>
              <w:jc w:val="center"/>
              <w:ind w:right="82"/>
              <w:spacing w:after="0" w:line="159" w:lineRule="exact"/>
              <w:rPr>
                <w:sz w:val="20"/>
                <w:szCs w:val="20"/>
                <w:color w:val="auto"/>
              </w:rPr>
            </w:pPr>
            <w:r>
              <w:rPr>
                <w:rFonts w:ascii="Arial" w:cs="Arial" w:eastAsia="Arial" w:hAnsi="Arial"/>
                <w:sz w:val="14"/>
                <w:szCs w:val="14"/>
                <w:b w:val="1"/>
                <w:bCs w:val="1"/>
                <w:color w:val="auto"/>
                <w:w w:val="94"/>
              </w:rPr>
              <w:t>Amount of</w:t>
            </w:r>
          </w:p>
        </w:tc>
      </w:tr>
      <w:tr>
        <w:trPr>
          <w:trHeight w:val="215"/>
        </w:trPr>
        <w:tc>
          <w:tcPr>
            <w:tcW w:w="8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jc w:val="center"/>
              <w:ind w:right="171"/>
              <w:spacing w:after="0" w:line="214" w:lineRule="exact"/>
              <w:rPr>
                <w:sz w:val="20"/>
                <w:szCs w:val="20"/>
                <w:color w:val="auto"/>
              </w:rPr>
            </w:pPr>
            <w:r>
              <w:rPr>
                <w:rFonts w:ascii="Arial" w:cs="Arial" w:eastAsia="Arial" w:hAnsi="Arial"/>
                <w:sz w:val="24"/>
                <w:szCs w:val="24"/>
                <w:b w:val="1"/>
                <w:bCs w:val="1"/>
                <w:color w:val="auto"/>
                <w:w w:val="88"/>
                <w:vertAlign w:val="subscript"/>
              </w:rPr>
              <w:t>Price</w:t>
            </w:r>
            <w:r>
              <w:rPr>
                <w:rFonts w:ascii="Arial" w:cs="Arial" w:eastAsia="Arial" w:hAnsi="Arial"/>
                <w:sz w:val="9"/>
                <w:szCs w:val="9"/>
                <w:b w:val="1"/>
                <w:bCs w:val="1"/>
                <w:color w:val="auto"/>
                <w:w w:val="88"/>
              </w:rPr>
              <w:t>(1)(2)</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2"/>
              </w:rPr>
              <w:t>Registration Fee</w:t>
            </w:r>
          </w:p>
        </w:tc>
      </w:tr>
      <w:tr>
        <w:trPr>
          <w:trHeight w:val="236"/>
        </w:trPr>
        <w:tc>
          <w:tcPr>
            <w:tcW w:w="8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Class A common stock, $0.0001 par value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right w:val="single" w:sz="8" w:color="auto"/>
            </w:tcBorders>
          </w:tcPr>
          <w:p>
            <w:pPr>
              <w:jc w:val="right"/>
              <w:ind w:right="91"/>
              <w:spacing w:after="0"/>
              <w:rPr>
                <w:sz w:val="20"/>
                <w:szCs w:val="20"/>
                <w:color w:val="auto"/>
              </w:rPr>
            </w:pPr>
            <w:r>
              <w:rPr>
                <w:rFonts w:ascii="Arial" w:cs="Arial" w:eastAsia="Arial" w:hAnsi="Arial"/>
                <w:sz w:val="18"/>
                <w:szCs w:val="18"/>
                <w:color w:val="auto"/>
              </w:rPr>
              <w:t>100,000,000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2"/>
              <w:spacing w:after="0"/>
              <w:rPr>
                <w:sz w:val="20"/>
                <w:szCs w:val="20"/>
                <w:color w:val="auto"/>
              </w:rPr>
            </w:pPr>
            <w:r>
              <w:rPr>
                <w:rFonts w:ascii="Arial" w:cs="Arial" w:eastAsia="Arial" w:hAnsi="Arial"/>
                <w:sz w:val="18"/>
                <w:szCs w:val="18"/>
                <w:color w:val="auto"/>
              </w:rPr>
              <w:t>9,270</w:t>
            </w:r>
          </w:p>
        </w:tc>
      </w:tr>
      <w:tr>
        <w:trPr>
          <w:trHeight w:val="27"/>
        </w:trPr>
        <w:tc>
          <w:tcPr>
            <w:tcW w:w="80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35"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aggregate offering price of additional shares that the underwriters have the option to purchase.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56515</wp:posOffset>
            </wp:positionV>
            <wp:extent cx="13112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22" w:lineRule="exact"/>
        <w:rPr>
          <w:sz w:val="24"/>
          <w:szCs w:val="24"/>
          <w:color w:val="auto"/>
        </w:rPr>
      </w:pPr>
    </w:p>
    <w:p>
      <w:pPr>
        <w:jc w:val="both"/>
        <w:spacing w:after="0" w:line="260"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ectPr>
          <w:pgSz w:w="11900" w:h="16838" w:orient="portrait"/>
          <w:cols w:equalWidth="0" w:num="1">
            <w:col w:w="11240"/>
          </w:cols>
          <w:pgMar w:left="320" w:top="468" w:right="339" w:bottom="1440" w:gutter="0" w:footer="0" w:header="0"/>
          <w:type w:val="continuous"/>
        </w:sectPr>
      </w:pPr>
    </w:p>
    <w:bookmarkStart w:id="1" w:name="page2"/>
    <w:bookmarkEnd w:id="1"/>
    <w:p>
      <w:pPr>
        <w:jc w:val="both"/>
        <w:spacing w:after="0" w:line="261" w:lineRule="auto"/>
        <w:rPr>
          <w:sz w:val="20"/>
          <w:szCs w:val="20"/>
          <w:color w:val="auto"/>
        </w:rPr>
      </w:pPr>
      <w:r>
        <w:rPr>
          <w:rFonts w:ascii="Arial" w:cs="Arial" w:eastAsia="Arial" w:hAnsi="Arial"/>
          <w:sz w:val="14"/>
          <w:szCs w:val="14"/>
          <w:b w:val="1"/>
          <w:bCs w:val="1"/>
          <w:i w:val="1"/>
          <w:iCs w:val="1"/>
          <w:color w:val="F1665F"/>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440" w:type="dxa"/>
            <w:vAlign w:val="bottom"/>
          </w:tcPr>
          <w:p>
            <w:pPr>
              <w:spacing w:after="0"/>
              <w:rPr>
                <w:sz w:val="20"/>
                <w:szCs w:val="20"/>
                <w:color w:val="auto"/>
              </w:rPr>
            </w:pPr>
            <w:r>
              <w:rPr>
                <w:rFonts w:ascii="Arial" w:cs="Arial" w:eastAsia="Arial" w:hAnsi="Arial"/>
                <w:sz w:val="22"/>
                <w:szCs w:val="22"/>
                <w:b w:val="1"/>
                <w:bCs w:val="1"/>
                <w:color w:val="F1665F"/>
              </w:rPr>
              <w:t>Subject to Completion, dated</w:t>
            </w:r>
          </w:p>
        </w:tc>
        <w:tc>
          <w:tcPr>
            <w:tcW w:w="940" w:type="dxa"/>
            <w:vAlign w:val="bottom"/>
          </w:tcPr>
          <w:p>
            <w:pPr>
              <w:jc w:val="right"/>
              <w:spacing w:after="0"/>
              <w:rPr>
                <w:sz w:val="20"/>
                <w:szCs w:val="20"/>
                <w:color w:val="auto"/>
              </w:rPr>
            </w:pPr>
            <w:r>
              <w:rPr>
                <w:rFonts w:ascii="Arial" w:cs="Arial" w:eastAsia="Arial" w:hAnsi="Arial"/>
                <w:sz w:val="22"/>
                <w:szCs w:val="22"/>
                <w:b w:val="1"/>
                <w:bCs w:val="1"/>
                <w:color w:val="F1665F"/>
              </w:rPr>
              <w:t>, 2021</w:t>
            </w:r>
          </w:p>
        </w:tc>
      </w:tr>
      <w:tr>
        <w:trPr>
          <w:trHeight w:val="280"/>
        </w:trPr>
        <w:tc>
          <w:tcPr>
            <w:tcW w:w="3440" w:type="dxa"/>
            <w:vAlign w:val="bottom"/>
          </w:tcPr>
          <w:p>
            <w:pPr>
              <w:spacing w:after="0"/>
              <w:rPr>
                <w:sz w:val="20"/>
                <w:szCs w:val="20"/>
                <w:color w:val="auto"/>
              </w:rPr>
            </w:pPr>
            <w:r>
              <w:rPr>
                <w:rFonts w:ascii="Arial" w:cs="Arial" w:eastAsia="Arial" w:hAnsi="Arial"/>
                <w:sz w:val="22"/>
                <w:szCs w:val="22"/>
                <w:b w:val="1"/>
                <w:bCs w:val="1"/>
                <w:color w:val="F1665F"/>
              </w:rPr>
              <w:t>PRELIMINARY PROSPECTUS</w:t>
            </w:r>
          </w:p>
        </w:tc>
        <w:tc>
          <w:tcPr>
            <w:tcW w:w="9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302260</wp:posOffset>
            </wp:positionV>
            <wp:extent cx="3857625" cy="8572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85762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300"/>
        <w:spacing w:after="0"/>
        <w:rPr>
          <w:sz w:val="20"/>
          <w:szCs w:val="20"/>
          <w:color w:val="auto"/>
        </w:rPr>
      </w:pPr>
      <w:r>
        <w:rPr>
          <w:rFonts w:ascii="Arial" w:cs="Arial" w:eastAsia="Arial" w:hAnsi="Arial"/>
          <w:sz w:val="32"/>
          <w:szCs w:val="32"/>
          <w:b w:val="1"/>
          <w:bCs w:val="1"/>
          <w:color w:val="auto"/>
        </w:rPr>
        <w:t>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75565</wp:posOffset>
            </wp:positionV>
            <wp:extent cx="16459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This is an initial public offering of shares of Class A common stock of NerdWallet,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to this offering, there has been no public market for our Class A common stock. It is currently estimated that the initial public</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offering price will be between $ and $ per share. We have applied to list our Class A common stock on the Nasdaq Stock Market under the symbol “NRDS.”</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are an “emerging growth company” as defined under the federal securities laws and, as such, we have elected to comply with certain reduced reporting requirements for this prospectus and may elect to do so in future filings.</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Following this offering, we will have two classes of common stock: Class A common stock and Class B common stock. The rights of the holders of Class A common stock and Class B common stock are identical, except with respect to voting, conversion and transfer rights. Each share of Class A common stock is entitled to one vote. Each share of Class B common stock is entitled to ten votes and is convertible at any time into one share of Class A common stock. The beneficial owners of our Class B common stock are Tim Chen, our co-founder and chief executive officer, and his affiliated trusts. As the holders of our outstanding Class B common stock, Mr. Chen and his affiliated trusts will hold approximately % of the voting power of our outstanding capital stock immediately following this offering. As a result, we will be a “controlled company” within the meaning of the Nasdaq Listing Rules and Nasdaq corporate governance standards. This ownership means that, for the foreseeable future, holders of our Class A common stock will not have a meaningful voice in our corporate affairs and that the control of our company will be concentrated with Mr. Chen. For additional information, see the sections titled “Risk Factors—Risks Related to this Offering and Ownership of Our Class A Common Stock" and “Management—Controlled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78740</wp:posOffset>
            </wp:positionV>
            <wp:extent cx="16459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See the section titled “Risk Factors” beginning on page 13 to read about factors you should consider before buying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60325</wp:posOffset>
            </wp:positionV>
            <wp:extent cx="16459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31750</wp:posOffset>
            </wp:positionV>
            <wp:extent cx="16459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440" w:type="dxa"/>
            <w:vAlign w:val="bottom"/>
          </w:tcPr>
          <w:p>
            <w:pPr>
              <w:spacing w:after="0"/>
              <w:rPr>
                <w:sz w:val="15"/>
                <w:szCs w:val="15"/>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i w:val="1"/>
                <w:iCs w:val="1"/>
                <w:color w:val="auto"/>
                <w:w w:val="91"/>
              </w:rPr>
              <w:t>Per Share</w:t>
            </w:r>
          </w:p>
        </w:tc>
        <w:tc>
          <w:tcPr>
            <w:tcW w:w="13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9"/>
              </w:rPr>
              <w:t>Total</w:t>
            </w:r>
          </w:p>
        </w:tc>
      </w:tr>
      <w:tr>
        <w:trPr>
          <w:trHeight w:val="25"/>
        </w:trPr>
        <w:tc>
          <w:tcPr>
            <w:tcW w:w="84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ind w:left="20"/>
              <w:spacing w:after="0"/>
              <w:rPr>
                <w:sz w:val="20"/>
                <w:szCs w:val="20"/>
                <w:color w:val="auto"/>
              </w:rPr>
            </w:pPr>
            <w:r>
              <w:rPr>
                <w:rFonts w:ascii="Arial" w:cs="Arial" w:eastAsia="Arial" w:hAnsi="Arial"/>
                <w:sz w:val="18"/>
                <w:szCs w:val="18"/>
                <w:i w:val="1"/>
                <w:iCs w:val="1"/>
                <w:color w:val="auto"/>
              </w:rPr>
              <w:t>Initial public offering price</w:t>
            </w:r>
          </w:p>
        </w:tc>
        <w:tc>
          <w:tcPr>
            <w:tcW w:w="1360" w:type="dxa"/>
            <w:vAlign w:val="bottom"/>
          </w:tcPr>
          <w:p>
            <w:pPr>
              <w:jc w:val="center"/>
              <w:spacing w:after="0"/>
              <w:rPr>
                <w:sz w:val="20"/>
                <w:szCs w:val="20"/>
                <w:color w:val="auto"/>
              </w:rPr>
            </w:pPr>
            <w:r>
              <w:rPr>
                <w:rFonts w:ascii="Arial" w:cs="Arial" w:eastAsia="Arial" w:hAnsi="Arial"/>
                <w:sz w:val="18"/>
                <w:szCs w:val="18"/>
                <w:i w:val="1"/>
                <w:iCs w:val="1"/>
                <w:color w:val="auto"/>
                <w:w w:val="99"/>
              </w:rPr>
              <w:t>$</w:t>
            </w:r>
          </w:p>
        </w:tc>
        <w:tc>
          <w:tcPr>
            <w:tcW w:w="8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i w:val="1"/>
                <w:iCs w:val="1"/>
                <w:color w:val="auto"/>
                <w:w w:val="79"/>
              </w:rPr>
              <w:t>$</w:t>
            </w:r>
          </w:p>
        </w:tc>
      </w:tr>
      <w:tr>
        <w:trPr>
          <w:trHeight w:val="310"/>
        </w:trPr>
        <w:tc>
          <w:tcPr>
            <w:tcW w:w="8440" w:type="dxa"/>
            <w:vAlign w:val="bottom"/>
          </w:tcPr>
          <w:p>
            <w:pPr>
              <w:ind w:left="20"/>
              <w:spacing w:after="0"/>
              <w:rPr>
                <w:sz w:val="20"/>
                <w:szCs w:val="20"/>
                <w:color w:val="auto"/>
              </w:rPr>
            </w:pPr>
            <w:r>
              <w:rPr>
                <w:rFonts w:ascii="Arial" w:cs="Arial" w:eastAsia="Arial" w:hAnsi="Arial"/>
                <w:sz w:val="18"/>
                <w:szCs w:val="18"/>
                <w:i w:val="1"/>
                <w:iCs w:val="1"/>
                <w:color w:val="auto"/>
              </w:rPr>
              <w:t>Underwriting discount</w:t>
            </w:r>
            <w:r>
              <w:rPr>
                <w:rFonts w:ascii="Arial" w:cs="Arial" w:eastAsia="Arial" w:hAnsi="Arial"/>
                <w:sz w:val="23"/>
                <w:szCs w:val="23"/>
                <w:i w:val="1"/>
                <w:iCs w:val="1"/>
                <w:color w:val="auto"/>
                <w:vertAlign w:val="superscript"/>
              </w:rPr>
              <w:t>(1)</w:t>
            </w:r>
          </w:p>
        </w:tc>
        <w:tc>
          <w:tcPr>
            <w:tcW w:w="1360" w:type="dxa"/>
            <w:vAlign w:val="bottom"/>
          </w:tcPr>
          <w:p>
            <w:pPr>
              <w:jc w:val="center"/>
              <w:spacing w:after="0"/>
              <w:rPr>
                <w:sz w:val="20"/>
                <w:szCs w:val="20"/>
                <w:color w:val="auto"/>
              </w:rPr>
            </w:pPr>
            <w:r>
              <w:rPr>
                <w:rFonts w:ascii="Arial" w:cs="Arial" w:eastAsia="Arial" w:hAnsi="Arial"/>
                <w:sz w:val="18"/>
                <w:szCs w:val="18"/>
                <w:i w:val="1"/>
                <w:iCs w:val="1"/>
                <w:color w:val="auto"/>
                <w:w w:val="99"/>
              </w:rPr>
              <w:t>$</w:t>
            </w:r>
          </w:p>
        </w:tc>
        <w:tc>
          <w:tcPr>
            <w:tcW w:w="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i w:val="1"/>
                <w:iCs w:val="1"/>
                <w:color w:val="auto"/>
                <w:w w:val="79"/>
              </w:rPr>
              <w:t>$</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i w:val="1"/>
                <w:iCs w:val="1"/>
                <w:color w:val="auto"/>
              </w:rPr>
              <w:t>Proceeds, before expenses, to us</w:t>
            </w:r>
          </w:p>
        </w:tc>
        <w:tc>
          <w:tcPr>
            <w:tcW w:w="1360" w:type="dxa"/>
            <w:vAlign w:val="bottom"/>
          </w:tcPr>
          <w:p>
            <w:pPr>
              <w:jc w:val="center"/>
              <w:spacing w:after="0"/>
              <w:rPr>
                <w:sz w:val="20"/>
                <w:szCs w:val="20"/>
                <w:color w:val="auto"/>
              </w:rPr>
            </w:pPr>
            <w:r>
              <w:rPr>
                <w:rFonts w:ascii="Arial" w:cs="Arial" w:eastAsia="Arial" w:hAnsi="Arial"/>
                <w:sz w:val="18"/>
                <w:szCs w:val="18"/>
                <w:i w:val="1"/>
                <w:iCs w:val="1"/>
                <w:color w:val="auto"/>
                <w:w w:val="99"/>
              </w:rPr>
              <w:t>$</w:t>
            </w:r>
          </w:p>
        </w:tc>
        <w:tc>
          <w:tcPr>
            <w:tcW w:w="8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i w:val="1"/>
                <w:iCs w:val="1"/>
                <w:color w:val="auto"/>
                <w:w w:val="79"/>
              </w:rPr>
              <w:t>$</w:t>
            </w:r>
          </w:p>
        </w:tc>
      </w:tr>
      <w:tr>
        <w:trPr>
          <w:trHeight w:val="236"/>
        </w:trPr>
        <w:tc>
          <w:tcPr>
            <w:tcW w:w="8440" w:type="dxa"/>
            <w:vAlign w:val="bottom"/>
          </w:tcPr>
          <w:p>
            <w:pPr>
              <w:spacing w:after="0"/>
              <w:rPr>
                <w:sz w:val="20"/>
                <w:szCs w:val="20"/>
                <w:color w:val="auto"/>
              </w:rPr>
            </w:pPr>
            <w:r>
              <w:rPr>
                <w:rFonts w:ascii="Arial" w:cs="Arial" w:eastAsia="Arial" w:hAnsi="Arial"/>
                <w:sz w:val="18"/>
                <w:szCs w:val="18"/>
                <w:color w:val="auto"/>
              </w:rPr>
              <w:t>_______________</w:t>
            </w: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ind w:left="320" w:hanging="312"/>
        <w:spacing w:after="0"/>
        <w:tabs>
          <w:tab w:leader="none" w:pos="320" w:val="left"/>
        </w:tabs>
        <w:numPr>
          <w:ilvl w:val="0"/>
          <w:numId w:val="2"/>
        </w:numPr>
        <w:rPr>
          <w:rFonts w:ascii="Arial" w:cs="Arial" w:eastAsia="Arial" w:hAnsi="Arial"/>
          <w:sz w:val="14"/>
          <w:szCs w:val="14"/>
          <w:i w:val="1"/>
          <w:iCs w:val="1"/>
          <w:color w:val="auto"/>
        </w:rPr>
      </w:pPr>
      <w:r>
        <w:rPr>
          <w:rFonts w:ascii="Arial" w:cs="Arial" w:eastAsia="Arial" w:hAnsi="Arial"/>
          <w:sz w:val="14"/>
          <w:szCs w:val="14"/>
          <w:i w:val="1"/>
          <w:iCs w:val="1"/>
          <w:color w:val="auto"/>
        </w:rPr>
        <w:t>See the section titled “Underwriters” for additional information regarding compensation payable to the underwriters.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w w:val="97"/>
              </w:rPr>
              <w:t>To the extent that the underwriters sell more than</w:t>
            </w:r>
          </w:p>
        </w:tc>
        <w:tc>
          <w:tcPr>
            <w:tcW w:w="7380" w:type="dxa"/>
            <w:vAlign w:val="bottom"/>
            <w:gridSpan w:val="6"/>
          </w:tcPr>
          <w:p>
            <w:pPr>
              <w:ind w:left="260"/>
              <w:spacing w:after="0"/>
              <w:rPr>
                <w:sz w:val="20"/>
                <w:szCs w:val="20"/>
                <w:color w:val="auto"/>
              </w:rPr>
            </w:pPr>
            <w:r>
              <w:rPr>
                <w:rFonts w:ascii="Arial" w:cs="Arial" w:eastAsia="Arial" w:hAnsi="Arial"/>
                <w:sz w:val="18"/>
                <w:szCs w:val="18"/>
                <w:color w:val="auto"/>
                <w:w w:val="90"/>
              </w:rPr>
              <w:t>shares of Class A common stock, the underwriters have the option to purchase up to an additional</w:t>
            </w:r>
          </w:p>
        </w:tc>
        <w:tc>
          <w:tcPr>
            <w:tcW w:w="0" w:type="dxa"/>
            <w:vAlign w:val="bottom"/>
          </w:tcPr>
          <w:p>
            <w:pPr>
              <w:spacing w:after="0"/>
              <w:rPr>
                <w:sz w:val="1"/>
                <w:szCs w:val="1"/>
                <w:color w:val="auto"/>
              </w:rPr>
            </w:pPr>
          </w:p>
        </w:tc>
      </w:tr>
      <w:tr>
        <w:trPr>
          <w:trHeight w:val="230"/>
        </w:trPr>
        <w:tc>
          <w:tcPr>
            <w:tcW w:w="9720" w:type="dxa"/>
            <w:vAlign w:val="bottom"/>
            <w:gridSpan w:val="8"/>
          </w:tcPr>
          <w:p>
            <w:pPr>
              <w:ind w:left="1040"/>
              <w:spacing w:after="0"/>
              <w:rPr>
                <w:sz w:val="20"/>
                <w:szCs w:val="20"/>
                <w:color w:val="auto"/>
              </w:rPr>
            </w:pPr>
            <w:r>
              <w:rPr>
                <w:rFonts w:ascii="Arial" w:cs="Arial" w:eastAsia="Arial" w:hAnsi="Arial"/>
                <w:sz w:val="18"/>
                <w:szCs w:val="18"/>
                <w:color w:val="auto"/>
              </w:rPr>
              <w:t>shares of Class A common stock from us at the initial public offering price less the underwriting discount.</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4320" w:type="dxa"/>
            <w:vAlign w:val="bottom"/>
            <w:gridSpan w:val="4"/>
          </w:tcPr>
          <w:p>
            <w:pPr>
              <w:spacing w:after="0"/>
              <w:rPr>
                <w:sz w:val="11"/>
                <w:szCs w:val="11"/>
                <w:color w:val="auto"/>
              </w:rPr>
            </w:pPr>
          </w:p>
        </w:tc>
        <w:tc>
          <w:tcPr>
            <w:tcW w:w="2600" w:type="dxa"/>
            <w:vAlign w:val="bottom"/>
            <w:tcBorders>
              <w:bottom w:val="single" w:sz="8" w:color="auto"/>
            </w:tcBorders>
            <w:gridSpan w:val="2"/>
          </w:tcPr>
          <w:p>
            <w:pPr>
              <w:spacing w:after="0"/>
              <w:rPr>
                <w:sz w:val="11"/>
                <w:szCs w:val="11"/>
                <w:color w:val="auto"/>
              </w:rPr>
            </w:pPr>
          </w:p>
        </w:tc>
        <w:tc>
          <w:tcPr>
            <w:tcW w:w="9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7860" w:type="dxa"/>
            <w:vAlign w:val="bottom"/>
            <w:gridSpan w:val="7"/>
          </w:tcPr>
          <w:p>
            <w:pPr>
              <w:spacing w:after="0"/>
              <w:rPr>
                <w:sz w:val="20"/>
                <w:szCs w:val="20"/>
                <w:color w:val="auto"/>
              </w:rPr>
            </w:pPr>
            <w:r>
              <w:rPr>
                <w:rFonts w:ascii="Arial" w:cs="Arial" w:eastAsia="Arial" w:hAnsi="Arial"/>
                <w:sz w:val="18"/>
                <w:szCs w:val="18"/>
                <w:color w:val="auto"/>
              </w:rPr>
              <w:t>The underwriters expect to deliver the shares against payment in New York, New York on</w:t>
            </w:r>
          </w:p>
        </w:tc>
        <w:tc>
          <w:tcPr>
            <w:tcW w:w="1860" w:type="dxa"/>
            <w:vAlign w:val="bottom"/>
          </w:tcPr>
          <w:p>
            <w:pPr>
              <w:jc w:val="right"/>
              <w:ind w:right="1255"/>
              <w:spacing w:after="0"/>
              <w:rPr>
                <w:sz w:val="20"/>
                <w:szCs w:val="20"/>
                <w:color w:val="auto"/>
              </w:rPr>
            </w:pPr>
            <w:r>
              <w:rPr>
                <w:rFonts w:ascii="Arial" w:cs="Arial" w:eastAsia="Arial" w:hAnsi="Arial"/>
                <w:sz w:val="18"/>
                <w:szCs w:val="18"/>
                <w:color w:val="auto"/>
                <w:w w:val="99"/>
              </w:rPr>
              <w:t>,2021.</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60" w:type="dxa"/>
            <w:vAlign w:val="bottom"/>
          </w:tcPr>
          <w:p>
            <w:pPr>
              <w:ind w:left="400"/>
              <w:spacing w:after="0"/>
              <w:rPr>
                <w:sz w:val="20"/>
                <w:szCs w:val="20"/>
                <w:color w:val="auto"/>
              </w:rPr>
            </w:pPr>
            <w:r>
              <w:rPr>
                <w:rFonts w:ascii="Arial" w:cs="Arial" w:eastAsia="Arial" w:hAnsi="Arial"/>
                <w:sz w:val="16"/>
                <w:szCs w:val="16"/>
                <w:b w:val="1"/>
                <w:bCs w:val="1"/>
                <w:color w:val="auto"/>
              </w:rPr>
              <w:t>MORGAN STANLEY</w:t>
            </w:r>
          </w:p>
        </w:tc>
        <w:tc>
          <w:tcPr>
            <w:tcW w:w="740" w:type="dxa"/>
            <w:vAlign w:val="bottom"/>
          </w:tcPr>
          <w:p>
            <w:pPr>
              <w:spacing w:after="0"/>
              <w:rPr>
                <w:sz w:val="24"/>
                <w:szCs w:val="24"/>
                <w:color w:val="auto"/>
              </w:rPr>
            </w:pPr>
          </w:p>
        </w:tc>
        <w:tc>
          <w:tcPr>
            <w:tcW w:w="3520" w:type="dxa"/>
            <w:vAlign w:val="bottom"/>
            <w:gridSpan w:val="3"/>
          </w:tcPr>
          <w:p>
            <w:pPr>
              <w:ind w:left="120"/>
              <w:spacing w:after="0"/>
              <w:rPr>
                <w:sz w:val="20"/>
                <w:szCs w:val="20"/>
                <w:color w:val="auto"/>
              </w:rPr>
            </w:pPr>
            <w:r>
              <w:rPr>
                <w:rFonts w:ascii="Arial" w:cs="Arial" w:eastAsia="Arial" w:hAnsi="Arial"/>
                <w:sz w:val="16"/>
                <w:szCs w:val="16"/>
                <w:b w:val="1"/>
                <w:bCs w:val="1"/>
                <w:color w:val="auto"/>
              </w:rPr>
              <w:t>KEYBANC CAPITAL MARKETS</w:t>
            </w:r>
          </w:p>
        </w:tc>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BOFA SECURITIES</w:t>
            </w:r>
          </w:p>
        </w:tc>
        <w:tc>
          <w:tcPr>
            <w:tcW w:w="1860" w:type="dxa"/>
            <w:vAlign w:val="bottom"/>
          </w:tcPr>
          <w:p>
            <w:pPr>
              <w:jc w:val="right"/>
              <w:ind w:right="215"/>
              <w:spacing w:after="0"/>
              <w:rPr>
                <w:sz w:val="20"/>
                <w:szCs w:val="20"/>
                <w:color w:val="auto"/>
              </w:rPr>
            </w:pPr>
            <w:r>
              <w:rPr>
                <w:rFonts w:ascii="Arial" w:cs="Arial" w:eastAsia="Arial" w:hAnsi="Arial"/>
                <w:sz w:val="16"/>
                <w:szCs w:val="16"/>
                <w:b w:val="1"/>
                <w:bCs w:val="1"/>
                <w:color w:val="auto"/>
              </w:rPr>
              <w:t>BARCLAYS</w:t>
            </w:r>
          </w:p>
        </w:tc>
        <w:tc>
          <w:tcPr>
            <w:tcW w:w="1520" w:type="dxa"/>
            <w:vAlign w:val="bottom"/>
          </w:tcPr>
          <w:p>
            <w:pPr>
              <w:ind w:left="280"/>
              <w:spacing w:after="0"/>
              <w:rPr>
                <w:sz w:val="20"/>
                <w:szCs w:val="20"/>
                <w:color w:val="auto"/>
              </w:rPr>
            </w:pPr>
            <w:r>
              <w:rPr>
                <w:rFonts w:ascii="Arial" w:cs="Arial" w:eastAsia="Arial" w:hAnsi="Arial"/>
                <w:sz w:val="16"/>
                <w:szCs w:val="16"/>
                <w:b w:val="1"/>
                <w:bCs w:val="1"/>
                <w:color w:val="auto"/>
              </w:rPr>
              <w:t>CITIGROUP</w:t>
            </w:r>
          </w:p>
        </w:tc>
        <w:tc>
          <w:tcPr>
            <w:tcW w:w="0" w:type="dxa"/>
            <w:vAlign w:val="bottom"/>
          </w:tcPr>
          <w:p>
            <w:pPr>
              <w:spacing w:after="0"/>
              <w:rPr>
                <w:sz w:val="1"/>
                <w:szCs w:val="1"/>
                <w:color w:val="auto"/>
              </w:rPr>
            </w:pPr>
          </w:p>
        </w:tc>
      </w:tr>
      <w:tr>
        <w:trPr>
          <w:trHeight w:val="326"/>
        </w:trPr>
        <w:tc>
          <w:tcPr>
            <w:tcW w:w="2800" w:type="dxa"/>
            <w:vAlign w:val="bottom"/>
            <w:gridSpan w:val="2"/>
          </w:tcPr>
          <w:p>
            <w:pPr>
              <w:ind w:left="980"/>
              <w:spacing w:after="0"/>
              <w:rPr>
                <w:sz w:val="20"/>
                <w:szCs w:val="20"/>
                <w:color w:val="auto"/>
              </w:rPr>
            </w:pPr>
            <w:r>
              <w:rPr>
                <w:rFonts w:ascii="Arial" w:cs="Arial" w:eastAsia="Arial" w:hAnsi="Arial"/>
                <w:sz w:val="17"/>
                <w:szCs w:val="17"/>
                <w:b w:val="1"/>
                <w:bCs w:val="1"/>
                <w:color w:val="auto"/>
              </w:rPr>
              <w:t>TRUIST SECURITIES</w:t>
            </w: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0" w:type="dxa"/>
            <w:vAlign w:val="bottom"/>
          </w:tcPr>
          <w:p>
            <w:pPr>
              <w:ind w:left="580"/>
              <w:spacing w:after="0"/>
              <w:rPr>
                <w:sz w:val="20"/>
                <w:szCs w:val="20"/>
                <w:color w:val="auto"/>
              </w:rPr>
            </w:pPr>
            <w:r>
              <w:rPr>
                <w:rFonts w:ascii="Arial" w:cs="Arial" w:eastAsia="Arial" w:hAnsi="Arial"/>
                <w:sz w:val="17"/>
                <w:szCs w:val="17"/>
                <w:b w:val="1"/>
                <w:bCs w:val="1"/>
                <w:color w:val="auto"/>
              </w:rPr>
              <w:t>WILLIAM BLAIR</w:t>
            </w: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380" w:type="dxa"/>
            <w:vAlign w:val="bottom"/>
            <w:gridSpan w:val="2"/>
          </w:tcPr>
          <w:p>
            <w:pPr>
              <w:ind w:left="600"/>
              <w:spacing w:after="0"/>
              <w:rPr>
                <w:sz w:val="20"/>
                <w:szCs w:val="20"/>
                <w:color w:val="auto"/>
              </w:rPr>
            </w:pPr>
            <w:r>
              <w:rPr>
                <w:rFonts w:ascii="Arial" w:cs="Arial" w:eastAsia="Arial" w:hAnsi="Arial"/>
                <w:sz w:val="17"/>
                <w:szCs w:val="17"/>
                <w:b w:val="1"/>
                <w:bCs w:val="1"/>
                <w:color w:val="auto"/>
              </w:rPr>
              <w:t>OPPENHEIMER &amp; CO.</w:t>
            </w:r>
          </w:p>
        </w:tc>
        <w:tc>
          <w:tcPr>
            <w:tcW w:w="0" w:type="dxa"/>
            <w:vAlign w:val="bottom"/>
          </w:tcPr>
          <w:p>
            <w:pPr>
              <w:spacing w:after="0"/>
              <w:rPr>
                <w:sz w:val="1"/>
                <w:szCs w:val="1"/>
                <w:color w:val="auto"/>
              </w:rPr>
            </w:pPr>
          </w:p>
        </w:tc>
      </w:tr>
      <w:tr>
        <w:trPr>
          <w:trHeight w:val="274"/>
        </w:trPr>
        <w:tc>
          <w:tcPr>
            <w:tcW w:w="2060" w:type="dxa"/>
            <w:vAlign w:val="bottom"/>
            <w:vMerge w:val="restart"/>
          </w:tcPr>
          <w:p>
            <w:pPr>
              <w:spacing w:after="0"/>
              <w:rPr>
                <w:sz w:val="20"/>
                <w:szCs w:val="20"/>
                <w:color w:val="auto"/>
              </w:rPr>
            </w:pPr>
            <w:r>
              <w:rPr>
                <w:rFonts w:ascii="Arial" w:cs="Arial" w:eastAsia="Arial" w:hAnsi="Arial"/>
                <w:sz w:val="18"/>
                <w:szCs w:val="18"/>
                <w:color w:val="auto"/>
              </w:rPr>
              <w:t>Prospectus dated</w:t>
            </w:r>
          </w:p>
        </w:tc>
        <w:tc>
          <w:tcPr>
            <w:tcW w:w="740" w:type="dxa"/>
            <w:vAlign w:val="bottom"/>
            <w:vMerge w:val="restart"/>
          </w:tcPr>
          <w:p>
            <w:pPr>
              <w:jc w:val="right"/>
              <w:ind w:right="90"/>
              <w:spacing w:after="0"/>
              <w:rPr>
                <w:sz w:val="20"/>
                <w:szCs w:val="20"/>
                <w:color w:val="auto"/>
              </w:rPr>
            </w:pPr>
            <w:r>
              <w:rPr>
                <w:rFonts w:ascii="Arial" w:cs="Arial" w:eastAsia="Arial" w:hAnsi="Arial"/>
                <w:sz w:val="18"/>
                <w:szCs w:val="18"/>
                <w:color w:val="auto"/>
              </w:rPr>
              <w:t>, 2021</w:t>
            </w:r>
          </w:p>
        </w:tc>
        <w:tc>
          <w:tcPr>
            <w:tcW w:w="10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9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06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14" w:right="33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86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86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86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86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346075</wp:posOffset>
            </wp:positionV>
            <wp:extent cx="7071995" cy="9086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071995" cy="9086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8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86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GLOSSARY OF TERMS</w:t>
      </w:r>
    </w:p>
    <w:p>
      <w:pPr>
        <w:sectPr>
          <w:pgSz w:w="11900" w:h="16838" w:orient="portrait"/>
          <w:cols w:equalWidth="0" w:num="1">
            <w:col w:w="11160"/>
          </w:cols>
          <w:pgMar w:left="340" w:top="1440" w:right="399" w:bottom="1440" w:gutter="0" w:footer="0" w:header="0"/>
        </w:sectPr>
      </w:pP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Adjusted EBITDA</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define Adjusted EBITDA as net income (loss) from continuing operations adjusted to exclude depreciation and amortization, interest expense, net, provision (benefit) for income taxes, and further exclude (1) loss (gain) on impairment and on disposal of assets, (2) remeasurement of the embedded derivative in long-term debt, (3) change in fair value of contingent consideration related to earnouts, (4) deferred compensation related to earnouts, (5) stock-based compensation, and (6) acquisition-related costs.</w:t>
      </w:r>
    </w:p>
    <w:p>
      <w:pPr>
        <w:spacing w:after="0" w:line="26" w:lineRule="exact"/>
        <w:rPr>
          <w:sz w:val="20"/>
          <w:szCs w:val="20"/>
          <w:color w:val="auto"/>
        </w:rPr>
      </w:pPr>
    </w:p>
    <w:p>
      <w:pPr>
        <w:sectPr>
          <w:pgSz w:w="11900" w:h="16838" w:orient="portrait"/>
          <w:cols w:equalWidth="0" w:num="2">
            <w:col w:w="2760" w:space="720"/>
            <w:col w:w="7680"/>
          </w:cols>
          <w:pgMar w:left="340" w:top="1440" w:right="39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KYM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Notice Media Ltd., doing business as Know Your Money</w:t>
      </w:r>
    </w:p>
    <w:p>
      <w:pPr>
        <w:spacing w:after="0" w:line="81" w:lineRule="exact"/>
        <w:rPr>
          <w:sz w:val="20"/>
          <w:szCs w:val="20"/>
          <w:color w:val="auto"/>
        </w:rPr>
      </w:pPr>
    </w:p>
    <w:p>
      <w:pPr>
        <w:sectPr>
          <w:pgSz w:w="11900" w:h="16838" w:orient="portrait"/>
          <w:cols w:equalWidth="0" w:num="2">
            <w:col w:w="2760" w:space="720"/>
            <w:col w:w="7680"/>
          </w:cols>
          <w:pgMar w:left="340" w:top="1440" w:right="3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Monthly Unique Users (“MUUs”)</w:t>
      </w:r>
    </w:p>
    <w:p>
      <w:pPr>
        <w:spacing w:after="0" w:line="20" w:lineRule="exact"/>
        <w:rPr>
          <w:sz w:val="20"/>
          <w:szCs w:val="20"/>
          <w:color w:val="auto"/>
        </w:rPr>
      </w:pPr>
      <w:r>
        <w:rPr>
          <w:sz w:val="20"/>
          <w:szCs w:val="20"/>
          <w:color w:val="auto"/>
        </w:rPr>
        <w:br w:type="column"/>
      </w:r>
    </w:p>
    <w:p>
      <w:pPr>
        <w:spacing w:after="0" w:line="285" w:lineRule="auto"/>
        <w:rPr>
          <w:sz w:val="20"/>
          <w:szCs w:val="20"/>
          <w:color w:val="auto"/>
        </w:rPr>
      </w:pPr>
      <w:r>
        <w:rPr>
          <w:rFonts w:ascii="Arial" w:cs="Arial" w:eastAsia="Arial" w:hAnsi="Arial"/>
          <w:sz w:val="17"/>
          <w:szCs w:val="17"/>
          <w:color w:val="auto"/>
        </w:rPr>
        <w:t>We define a Monthly Unique User (“MUU”) as a unique user with at least one session on our platform in a given month as determined by a unique device identifier. MUUs during a time period longer than one month are measured by averaging the MUUs of each month within that period.</w:t>
      </w:r>
    </w:p>
    <w:p>
      <w:pPr>
        <w:spacing w:after="0" w:line="2" w:lineRule="exact"/>
        <w:rPr>
          <w:sz w:val="20"/>
          <w:szCs w:val="20"/>
          <w:color w:val="auto"/>
        </w:rPr>
      </w:pPr>
    </w:p>
    <w:p>
      <w:pPr>
        <w:sectPr>
          <w:pgSz w:w="11900" w:h="16838" w:orient="portrait"/>
          <w:cols w:equalWidth="0" w:num="2">
            <w:col w:w="2760" w:space="720"/>
            <w:col w:w="7680"/>
          </w:cols>
          <w:pgMar w:left="340" w:top="1440" w:right="3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SMBs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Small and mid-sized businesses.</w:t>
      </w:r>
    </w:p>
    <w:p>
      <w:pPr>
        <w:spacing w:after="0" w:line="93" w:lineRule="exact"/>
        <w:rPr>
          <w:sz w:val="20"/>
          <w:szCs w:val="20"/>
          <w:color w:val="auto"/>
        </w:rPr>
      </w:pPr>
    </w:p>
    <w:p>
      <w:pPr>
        <w:sectPr>
          <w:pgSz w:w="11900" w:h="16838" w:orient="portrait"/>
          <w:cols w:equalWidth="0" w:num="2">
            <w:col w:w="2760" w:space="720"/>
            <w:col w:w="7680"/>
          </w:cols>
          <w:pgMar w:left="340" w:top="1440" w:right="39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Registered User</w:t>
      </w:r>
    </w:p>
    <w:p>
      <w:pPr>
        <w:spacing w:after="0" w:line="20" w:lineRule="exact"/>
        <w:rPr>
          <w:sz w:val="20"/>
          <w:szCs w:val="20"/>
          <w:color w:val="auto"/>
        </w:rPr>
      </w:pPr>
      <w:r>
        <w:rPr>
          <w:sz w:val="20"/>
          <w:szCs w:val="20"/>
          <w:color w:val="auto"/>
        </w:rPr>
        <w:br w:type="column"/>
      </w:r>
    </w:p>
    <w:p>
      <w:pPr>
        <w:ind w:right="200"/>
        <w:spacing w:after="0" w:line="263" w:lineRule="auto"/>
        <w:rPr>
          <w:sz w:val="20"/>
          <w:szCs w:val="20"/>
          <w:color w:val="auto"/>
        </w:rPr>
      </w:pPr>
      <w:r>
        <w:rPr>
          <w:rFonts w:ascii="Arial" w:cs="Arial" w:eastAsia="Arial" w:hAnsi="Arial"/>
          <w:sz w:val="18"/>
          <w:szCs w:val="18"/>
          <w:color w:val="auto"/>
        </w:rPr>
        <w:t>An individual who has created an account on the NerdWallet platform. The registered user metric is a standalone metric calculated independently from whether an individual accesses our platform in a given period.</w:t>
      </w:r>
    </w:p>
    <w:p>
      <w:pPr>
        <w:sectPr>
          <w:pgSz w:w="11900" w:h="16838" w:orient="portrait"/>
          <w:cols w:equalWidth="0" w:num="2">
            <w:col w:w="2760" w:space="720"/>
            <w:col w:w="7680"/>
          </w:cols>
          <w:pgMar w:left="340" w:top="1440" w:right="399" w:bottom="1440" w:gutter="0" w:footer="0" w:header="0"/>
          <w:type w:val="continuous"/>
        </w:sectPr>
      </w:pPr>
    </w:p>
    <w:bookmarkStart w:id="7" w:name="page8"/>
    <w:bookmarkEnd w:id="7"/>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80" w:type="dxa"/>
            <w:vAlign w:val="bottom"/>
            <w:gridSpan w:val="20"/>
          </w:tcPr>
          <w:p>
            <w:pPr>
              <w:jc w:val="center"/>
              <w:ind w:right="3820"/>
              <w:spacing w:after="0"/>
              <w:rPr>
                <w:sz w:val="20"/>
                <w:szCs w:val="20"/>
                <w:color w:val="auto"/>
              </w:rPr>
            </w:pPr>
            <w:r>
              <w:rPr>
                <w:rFonts w:ascii="Arial" w:cs="Arial" w:eastAsia="Arial" w:hAnsi="Arial"/>
                <w:sz w:val="18"/>
                <w:szCs w:val="18"/>
                <w:b w:val="1"/>
                <w:bCs w:val="1"/>
                <w:color w:val="auto"/>
                <w:w w:val="98"/>
              </w:rPr>
              <w:t>TABLE OF CONTENTS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40" w:type="dxa"/>
            <w:vAlign w:val="bottom"/>
            <w:gridSpan w:val="19"/>
          </w:tcPr>
          <w:p>
            <w:pPr>
              <w:jc w:val="center"/>
              <w:ind w:right="4360"/>
              <w:spacing w:after="0"/>
              <w:rPr>
                <w:sz w:val="20"/>
                <w:szCs w:val="20"/>
                <w:color w:val="auto"/>
              </w:rPr>
            </w:pPr>
            <w:r>
              <w:rPr>
                <w:rFonts w:ascii="Arial" w:cs="Arial" w:eastAsia="Arial" w:hAnsi="Arial"/>
                <w:sz w:val="18"/>
                <w:szCs w:val="18"/>
                <w:b w:val="1"/>
                <w:bCs w:val="1"/>
                <w:color w:val="auto"/>
                <w:w w:val="96"/>
              </w:rPr>
              <w:t>PROSPECTUS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100" w:type="dxa"/>
            <w:vAlign w:val="bottom"/>
            <w:gridSpan w:val="8"/>
          </w:tcPr>
          <w:p>
            <w:pPr>
              <w:spacing w:after="0"/>
              <w:rPr>
                <w:rFonts w:ascii="Arial" w:cs="Arial" w:eastAsia="Arial" w:hAnsi="Arial"/>
                <w:sz w:val="18"/>
                <w:szCs w:val="18"/>
                <w:color w:val="0000FF"/>
                <w:w w:val="94"/>
              </w:rPr>
            </w:pPr>
            <w:hyperlink w:anchor="page8">
              <w:r>
                <w:rPr>
                  <w:rFonts w:ascii="Arial" w:cs="Arial" w:eastAsia="Arial" w:hAnsi="Arial"/>
                  <w:sz w:val="18"/>
                  <w:szCs w:val="18"/>
                  <w:color w:val="0000FF"/>
                  <w:w w:val="94"/>
                </w:rPr>
                <w:t>PROSPECTUS SUMMARY</w:t>
              </w:r>
            </w:hyperlink>
          </w:p>
        </w:tc>
        <w:tc>
          <w:tcPr>
            <w:tcW w:w="80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gridSpan w:val="5"/>
          </w:tcPr>
          <w:p>
            <w:pPr>
              <w:jc w:val="right"/>
              <w:ind w:right="400"/>
              <w:spacing w:after="0"/>
              <w:rPr>
                <w:rFonts w:ascii="Arial" w:cs="Arial" w:eastAsia="Arial" w:hAnsi="Arial"/>
                <w:sz w:val="18"/>
                <w:szCs w:val="18"/>
                <w:color w:val="0000FF"/>
              </w:rPr>
            </w:pPr>
            <w:hyperlink w:anchor="page8">
              <w:r>
                <w:rPr>
                  <w:rFonts w:ascii="Arial" w:cs="Arial" w:eastAsia="Arial" w:hAnsi="Arial"/>
                  <w:sz w:val="18"/>
                  <w:szCs w:val="18"/>
                  <w:color w:val="0000FF"/>
                </w:rPr>
                <w:t>1</w:t>
              </w:r>
            </w:hyperlink>
          </w:p>
        </w:tc>
        <w:tc>
          <w:tcPr>
            <w:tcW w:w="5060" w:type="dxa"/>
            <w:vAlign w:val="bottom"/>
            <w:gridSpan w:val="16"/>
          </w:tcPr>
          <w:p>
            <w:pPr>
              <w:ind w:left="400"/>
              <w:spacing w:after="0"/>
              <w:rPr>
                <w:rFonts w:ascii="Arial" w:cs="Arial" w:eastAsia="Arial" w:hAnsi="Arial"/>
                <w:sz w:val="18"/>
                <w:szCs w:val="18"/>
                <w:color w:val="0000FF"/>
              </w:rPr>
            </w:pPr>
            <w:hyperlink w:anchor="page109">
              <w:r>
                <w:rPr>
                  <w:rFonts w:ascii="Arial" w:cs="Arial" w:eastAsia="Arial" w:hAnsi="Arial"/>
                  <w:sz w:val="18"/>
                  <w:szCs w:val="18"/>
                  <w:color w:val="0000FF"/>
                </w:rPr>
                <w:t>DESCRIPTION OF CAPITAL STOCK</w:t>
              </w:r>
            </w:hyperlink>
          </w:p>
        </w:tc>
        <w:tc>
          <w:tcPr>
            <w:tcW w:w="620" w:type="dxa"/>
            <w:vAlign w:val="bottom"/>
            <w:gridSpan w:val="3"/>
          </w:tcPr>
          <w:p>
            <w:pPr>
              <w:ind w:left="220"/>
              <w:spacing w:after="0"/>
              <w:rPr>
                <w:rFonts w:ascii="Arial" w:cs="Arial" w:eastAsia="Arial" w:hAnsi="Arial"/>
                <w:sz w:val="18"/>
                <w:szCs w:val="18"/>
                <w:color w:val="0000FF"/>
              </w:rPr>
            </w:pPr>
            <w:hyperlink w:anchor="page109">
              <w:r>
                <w:rPr>
                  <w:rFonts w:ascii="Arial" w:cs="Arial" w:eastAsia="Arial" w:hAnsi="Arial"/>
                  <w:sz w:val="18"/>
                  <w:szCs w:val="18"/>
                  <w:color w:val="0000FF"/>
                </w:rPr>
                <w:t>102</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rFonts w:ascii="Arial" w:cs="Arial" w:eastAsia="Arial" w:hAnsi="Arial"/>
                <w:sz w:val="18"/>
                <w:szCs w:val="18"/>
                <w:color w:val="0000FF"/>
                <w:w w:val="93"/>
              </w:rPr>
            </w:pPr>
            <w:hyperlink w:anchor="page20">
              <w:r>
                <w:rPr>
                  <w:rFonts w:ascii="Arial" w:cs="Arial" w:eastAsia="Arial" w:hAnsi="Arial"/>
                  <w:sz w:val="18"/>
                  <w:szCs w:val="18"/>
                  <w:color w:val="0000FF"/>
                  <w:w w:val="93"/>
                </w:rPr>
                <w:t>RISK FACTORS</w:t>
              </w:r>
            </w:hyperlink>
          </w:p>
        </w:tc>
        <w:tc>
          <w:tcPr>
            <w:tcW w:w="840" w:type="dxa"/>
            <w:vAlign w:val="bottom"/>
            <w:gridSpan w:val="5"/>
          </w:tcPr>
          <w:p>
            <w:pPr>
              <w:spacing w:after="0"/>
              <w:rPr>
                <w:sz w:val="21"/>
                <w:szCs w:val="21"/>
                <w:color w:val="auto"/>
              </w:rPr>
            </w:pPr>
          </w:p>
        </w:tc>
        <w:tc>
          <w:tcPr>
            <w:tcW w:w="800" w:type="dxa"/>
            <w:vAlign w:val="bottom"/>
            <w:gridSpan w:val="2"/>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gridSpan w:val="2"/>
          </w:tcPr>
          <w:p>
            <w:pPr>
              <w:spacing w:after="0"/>
              <w:rPr>
                <w:sz w:val="21"/>
                <w:szCs w:val="21"/>
                <w:color w:val="auto"/>
              </w:rPr>
            </w:pPr>
          </w:p>
        </w:tc>
        <w:tc>
          <w:tcPr>
            <w:tcW w:w="580" w:type="dxa"/>
            <w:vAlign w:val="bottom"/>
            <w:gridSpan w:val="3"/>
          </w:tcPr>
          <w:p>
            <w:pPr>
              <w:jc w:val="right"/>
              <w:ind w:right="400"/>
              <w:spacing w:after="0"/>
              <w:rPr>
                <w:rFonts w:ascii="Arial" w:cs="Arial" w:eastAsia="Arial" w:hAnsi="Arial"/>
                <w:sz w:val="18"/>
                <w:szCs w:val="18"/>
                <w:color w:val="0000FF"/>
                <w:w w:val="79"/>
              </w:rPr>
            </w:pPr>
            <w:hyperlink w:anchor="page20">
              <w:r>
                <w:rPr>
                  <w:rFonts w:ascii="Arial" w:cs="Arial" w:eastAsia="Arial" w:hAnsi="Arial"/>
                  <w:sz w:val="18"/>
                  <w:szCs w:val="18"/>
                  <w:color w:val="0000FF"/>
                  <w:w w:val="79"/>
                </w:rPr>
                <w:t>13</w:t>
              </w:r>
            </w:hyperlink>
          </w:p>
        </w:tc>
        <w:tc>
          <w:tcPr>
            <w:tcW w:w="5060" w:type="dxa"/>
            <w:vAlign w:val="bottom"/>
            <w:gridSpan w:val="16"/>
          </w:tcPr>
          <w:p>
            <w:pPr>
              <w:ind w:left="400"/>
              <w:spacing w:after="0"/>
              <w:rPr>
                <w:rFonts w:ascii="Arial" w:cs="Arial" w:eastAsia="Arial" w:hAnsi="Arial"/>
                <w:sz w:val="18"/>
                <w:szCs w:val="18"/>
                <w:color w:val="0000FF"/>
              </w:rPr>
            </w:pPr>
            <w:hyperlink w:anchor="page116">
              <w:r>
                <w:rPr>
                  <w:rFonts w:ascii="Arial" w:cs="Arial" w:eastAsia="Arial" w:hAnsi="Arial"/>
                  <w:sz w:val="18"/>
                  <w:szCs w:val="18"/>
                  <w:color w:val="0000FF"/>
                </w:rPr>
                <w:t>SHARES ELIGIBLE FOR FUTURE SALE</w:t>
              </w:r>
            </w:hyperlink>
          </w:p>
        </w:tc>
        <w:tc>
          <w:tcPr>
            <w:tcW w:w="620" w:type="dxa"/>
            <w:vAlign w:val="bottom"/>
            <w:gridSpan w:val="3"/>
          </w:tcPr>
          <w:p>
            <w:pPr>
              <w:ind w:left="220"/>
              <w:spacing w:after="0"/>
              <w:rPr>
                <w:rFonts w:ascii="Arial" w:cs="Arial" w:eastAsia="Arial" w:hAnsi="Arial"/>
                <w:sz w:val="18"/>
                <w:szCs w:val="18"/>
                <w:color w:val="0000FF"/>
              </w:rPr>
            </w:pPr>
            <w:hyperlink w:anchor="page116">
              <w:r>
                <w:rPr>
                  <w:rFonts w:ascii="Arial" w:cs="Arial" w:eastAsia="Arial" w:hAnsi="Arial"/>
                  <w:sz w:val="18"/>
                  <w:szCs w:val="18"/>
                  <w:color w:val="0000FF"/>
                </w:rPr>
                <w:t>109</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gridSpan w:val="12"/>
          </w:tcPr>
          <w:p>
            <w:pPr>
              <w:spacing w:after="0"/>
              <w:rPr>
                <w:rFonts w:ascii="Arial" w:cs="Arial" w:eastAsia="Arial" w:hAnsi="Arial"/>
                <w:sz w:val="18"/>
                <w:szCs w:val="18"/>
                <w:color w:val="0000FF"/>
                <w:w w:val="96"/>
              </w:rPr>
            </w:pPr>
            <w:hyperlink w:anchor="page48">
              <w:r>
                <w:rPr>
                  <w:rFonts w:ascii="Arial" w:cs="Arial" w:eastAsia="Arial" w:hAnsi="Arial"/>
                  <w:sz w:val="18"/>
                  <w:szCs w:val="18"/>
                  <w:color w:val="0000FF"/>
                  <w:w w:val="96"/>
                </w:rPr>
                <w:t>SPECIAL NOTE REGARDING FORWARD-LOOKING</w:t>
              </w:r>
            </w:hyperlink>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60" w:type="dxa"/>
            <w:vAlign w:val="bottom"/>
            <w:gridSpan w:val="15"/>
          </w:tcPr>
          <w:p>
            <w:pPr>
              <w:spacing w:after="0"/>
              <w:rPr>
                <w:rFonts w:ascii="Arial" w:cs="Arial" w:eastAsia="Arial" w:hAnsi="Arial"/>
                <w:sz w:val="18"/>
                <w:szCs w:val="18"/>
                <w:color w:val="0000FF"/>
              </w:rPr>
            </w:pPr>
            <w:hyperlink w:anchor="page118">
              <w:r>
                <w:rPr>
                  <w:rFonts w:ascii="Arial" w:cs="Arial" w:eastAsia="Arial" w:hAnsi="Arial"/>
                  <w:sz w:val="18"/>
                  <w:szCs w:val="18"/>
                  <w:color w:val="0000FF"/>
                </w:rPr>
                <w:t>EXECUTIVE COMPENSATION</w:t>
              </w:r>
            </w:hyperlink>
          </w:p>
        </w:tc>
        <w:tc>
          <w:tcPr>
            <w:tcW w:w="480" w:type="dxa"/>
            <w:vAlign w:val="bottom"/>
            <w:gridSpan w:val="2"/>
          </w:tcPr>
          <w:p>
            <w:pPr>
              <w:ind w:left="240"/>
              <w:spacing w:after="0"/>
              <w:rPr>
                <w:rFonts w:ascii="Arial" w:cs="Arial" w:eastAsia="Arial" w:hAnsi="Arial"/>
                <w:sz w:val="18"/>
                <w:szCs w:val="18"/>
                <w:color w:val="0000FF"/>
                <w:w w:val="73"/>
              </w:rPr>
            </w:pPr>
            <w:hyperlink w:anchor="page118">
              <w:r>
                <w:rPr>
                  <w:rFonts w:ascii="Arial" w:cs="Arial" w:eastAsia="Arial" w:hAnsi="Arial"/>
                  <w:sz w:val="18"/>
                  <w:szCs w:val="18"/>
                  <w:color w:val="0000FF"/>
                  <w:w w:val="73"/>
                </w:rPr>
                <w:t>111</w:t>
              </w:r>
            </w:hyperlink>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1140" w:type="dxa"/>
            <w:vAlign w:val="bottom"/>
            <w:tcBorders>
              <w:bottom w:val="single" w:sz="8" w:color="0000FF"/>
            </w:tcBorders>
            <w:gridSpan w:val="3"/>
          </w:tcPr>
          <w:p>
            <w:pPr>
              <w:spacing w:after="0" w:line="182" w:lineRule="exact"/>
              <w:rPr>
                <w:rFonts w:ascii="Arial" w:cs="Arial" w:eastAsia="Arial" w:hAnsi="Arial"/>
                <w:sz w:val="18"/>
                <w:szCs w:val="18"/>
                <w:color w:val="0000FF"/>
                <w:w w:val="92"/>
              </w:rPr>
            </w:pPr>
            <w:hyperlink w:anchor="page48">
              <w:r>
                <w:rPr>
                  <w:rFonts w:ascii="Arial" w:cs="Arial" w:eastAsia="Arial" w:hAnsi="Arial"/>
                  <w:sz w:val="18"/>
                  <w:szCs w:val="18"/>
                  <w:color w:val="0000FF"/>
                  <w:w w:val="92"/>
                </w:rPr>
                <w:t>STATEMENTS</w:t>
              </w:r>
            </w:hyperlink>
          </w:p>
        </w:tc>
        <w:tc>
          <w:tcPr>
            <w:tcW w:w="20" w:type="dxa"/>
            <w:vAlign w:val="bottom"/>
            <w:vMerge w:val="restart"/>
          </w:tcPr>
          <w:p>
            <w:pPr>
              <w:spacing w:after="0"/>
              <w:rPr>
                <w:sz w:val="17"/>
                <w:szCs w:val="17"/>
                <w:color w:val="auto"/>
              </w:rPr>
            </w:pPr>
          </w:p>
        </w:tc>
        <w:tc>
          <w:tcPr>
            <w:tcW w:w="140" w:type="dxa"/>
            <w:vAlign w:val="bottom"/>
            <w:vMerge w:val="restart"/>
          </w:tcPr>
          <w:p>
            <w:pPr>
              <w:spacing w:after="0"/>
              <w:rPr>
                <w:sz w:val="17"/>
                <w:szCs w:val="17"/>
                <w:color w:val="auto"/>
              </w:rPr>
            </w:pPr>
          </w:p>
        </w:tc>
        <w:tc>
          <w:tcPr>
            <w:tcW w:w="120" w:type="dxa"/>
            <w:vAlign w:val="bottom"/>
            <w:vMerge w:val="restart"/>
          </w:tcPr>
          <w:p>
            <w:pPr>
              <w:spacing w:after="0"/>
              <w:rPr>
                <w:sz w:val="17"/>
                <w:szCs w:val="17"/>
                <w:color w:val="auto"/>
              </w:rPr>
            </w:pPr>
          </w:p>
        </w:tc>
        <w:tc>
          <w:tcPr>
            <w:tcW w:w="1080" w:type="dxa"/>
            <w:vAlign w:val="bottom"/>
            <w:gridSpan w:val="2"/>
            <w:vMerge w:val="restart"/>
          </w:tcPr>
          <w:p>
            <w:pPr>
              <w:spacing w:after="0"/>
              <w:rPr>
                <w:sz w:val="17"/>
                <w:szCs w:val="17"/>
                <w:color w:val="auto"/>
              </w:rPr>
            </w:pPr>
          </w:p>
        </w:tc>
        <w:tc>
          <w:tcPr>
            <w:tcW w:w="240" w:type="dxa"/>
            <w:vAlign w:val="bottom"/>
            <w:vMerge w:val="restart"/>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vMerge w:val="restart"/>
          </w:tcPr>
          <w:p>
            <w:pPr>
              <w:spacing w:after="0"/>
              <w:rPr>
                <w:sz w:val="17"/>
                <w:szCs w:val="17"/>
                <w:color w:val="auto"/>
              </w:rPr>
            </w:pPr>
          </w:p>
        </w:tc>
        <w:tc>
          <w:tcPr>
            <w:tcW w:w="540" w:type="dxa"/>
            <w:vAlign w:val="bottom"/>
            <w:vMerge w:val="restart"/>
          </w:tcPr>
          <w:p>
            <w:pPr>
              <w:spacing w:after="0"/>
              <w:rPr>
                <w:sz w:val="17"/>
                <w:szCs w:val="17"/>
                <w:color w:val="auto"/>
              </w:rPr>
            </w:pPr>
          </w:p>
        </w:tc>
        <w:tc>
          <w:tcPr>
            <w:tcW w:w="180" w:type="dxa"/>
            <w:vAlign w:val="bottom"/>
            <w:tcBorders>
              <w:bottom w:val="single" w:sz="8" w:color="0000FF"/>
            </w:tcBorders>
            <w:gridSpan w:val="2"/>
          </w:tcPr>
          <w:p>
            <w:pPr>
              <w:jc w:val="right"/>
              <w:spacing w:after="0" w:line="182" w:lineRule="exact"/>
              <w:rPr>
                <w:rFonts w:ascii="Arial" w:cs="Arial" w:eastAsia="Arial" w:hAnsi="Arial"/>
                <w:sz w:val="18"/>
                <w:szCs w:val="18"/>
                <w:color w:val="0000FF"/>
                <w:w w:val="79"/>
              </w:rPr>
            </w:pPr>
            <w:hyperlink w:anchor="page48">
              <w:r>
                <w:rPr>
                  <w:rFonts w:ascii="Arial" w:cs="Arial" w:eastAsia="Arial" w:hAnsi="Arial"/>
                  <w:sz w:val="18"/>
                  <w:szCs w:val="18"/>
                  <w:color w:val="0000FF"/>
                  <w:w w:val="79"/>
                </w:rPr>
                <w:t>41</w:t>
              </w:r>
            </w:hyperlink>
          </w:p>
        </w:tc>
        <w:tc>
          <w:tcPr>
            <w:tcW w:w="400" w:type="dxa"/>
            <w:vAlign w:val="bottom"/>
            <w:vMerge w:val="restart"/>
          </w:tcPr>
          <w:p>
            <w:pPr>
              <w:spacing w:after="0"/>
              <w:rPr>
                <w:sz w:val="17"/>
                <w:szCs w:val="17"/>
                <w:color w:val="auto"/>
              </w:rPr>
            </w:pPr>
          </w:p>
        </w:tc>
        <w:tc>
          <w:tcPr>
            <w:tcW w:w="400" w:type="dxa"/>
            <w:vAlign w:val="bottom"/>
            <w:vMerge w:val="restart"/>
          </w:tcPr>
          <w:p>
            <w:pPr>
              <w:spacing w:after="0"/>
              <w:rPr>
                <w:sz w:val="17"/>
                <w:szCs w:val="17"/>
                <w:color w:val="auto"/>
              </w:rPr>
            </w:pPr>
          </w:p>
        </w:tc>
        <w:tc>
          <w:tcPr>
            <w:tcW w:w="4060" w:type="dxa"/>
            <w:vAlign w:val="bottom"/>
            <w:gridSpan w:val="12"/>
            <w:vMerge w:val="restart"/>
          </w:tcPr>
          <w:p>
            <w:pPr>
              <w:spacing w:after="0"/>
              <w:rPr>
                <w:rFonts w:ascii="Arial" w:cs="Arial" w:eastAsia="Arial" w:hAnsi="Arial"/>
                <w:sz w:val="18"/>
                <w:szCs w:val="18"/>
                <w:color w:val="0000FF"/>
                <w:w w:val="95"/>
              </w:rPr>
            </w:pPr>
            <w:hyperlink w:anchor="page130">
              <w:r>
                <w:rPr>
                  <w:rFonts w:ascii="Arial" w:cs="Arial" w:eastAsia="Arial" w:hAnsi="Arial"/>
                  <w:sz w:val="18"/>
                  <w:szCs w:val="18"/>
                  <w:color w:val="0000FF"/>
                  <w:w w:val="95"/>
                </w:rPr>
                <w:t>CERTAIN RELATIONSHIPS AND RELATED PARTY</w:t>
              </w:r>
            </w:hyperlink>
          </w:p>
        </w:tc>
        <w:tc>
          <w:tcPr>
            <w:tcW w:w="600" w:type="dxa"/>
            <w:vAlign w:val="bottom"/>
            <w:gridSpan w:val="3"/>
            <w:vMerge w:val="restart"/>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180" w:type="dxa"/>
            <w:vAlign w:val="bottom"/>
            <w:gridSpan w:val="2"/>
          </w:tcPr>
          <w:p>
            <w:pPr>
              <w:spacing w:after="0"/>
              <w:rPr>
                <w:sz w:val="2"/>
                <w:szCs w:val="2"/>
                <w:color w:val="auto"/>
              </w:rPr>
            </w:pPr>
          </w:p>
        </w:tc>
        <w:tc>
          <w:tcPr>
            <w:tcW w:w="400" w:type="dxa"/>
            <w:vAlign w:val="bottom"/>
            <w:vMerge w:val="continue"/>
          </w:tcPr>
          <w:p>
            <w:pPr>
              <w:spacing w:after="0"/>
              <w:rPr>
                <w:sz w:val="2"/>
                <w:szCs w:val="2"/>
                <w:color w:val="auto"/>
              </w:rPr>
            </w:pPr>
          </w:p>
        </w:tc>
        <w:tc>
          <w:tcPr>
            <w:tcW w:w="400" w:type="dxa"/>
            <w:vAlign w:val="bottom"/>
            <w:vMerge w:val="continue"/>
          </w:tcPr>
          <w:p>
            <w:pPr>
              <w:spacing w:after="0"/>
              <w:rPr>
                <w:sz w:val="2"/>
                <w:szCs w:val="2"/>
                <w:color w:val="auto"/>
              </w:rPr>
            </w:pPr>
          </w:p>
        </w:tc>
        <w:tc>
          <w:tcPr>
            <w:tcW w:w="4060" w:type="dxa"/>
            <w:vAlign w:val="bottom"/>
            <w:tcBorders>
              <w:bottom w:val="single" w:sz="8" w:color="0000FF"/>
            </w:tcBorders>
            <w:gridSpan w:val="12"/>
            <w:vMerge w:val="continue"/>
          </w:tcPr>
          <w:p>
            <w:pPr>
              <w:spacing w:after="0"/>
              <w:rPr>
                <w:sz w:val="2"/>
                <w:szCs w:val="2"/>
                <w:color w:val="auto"/>
              </w:rPr>
            </w:pPr>
          </w:p>
        </w:tc>
        <w:tc>
          <w:tcPr>
            <w:tcW w:w="600" w:type="dxa"/>
            <w:vAlign w:val="bottom"/>
            <w:gridSpan w:val="3"/>
            <w:vMerge w:val="continue"/>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660" w:type="dxa"/>
            <w:vAlign w:val="bottom"/>
            <w:gridSpan w:val="9"/>
          </w:tcPr>
          <w:p>
            <w:pPr>
              <w:spacing w:after="0" w:line="196" w:lineRule="exact"/>
              <w:rPr>
                <w:rFonts w:ascii="Arial" w:cs="Arial" w:eastAsia="Arial" w:hAnsi="Arial"/>
                <w:sz w:val="18"/>
                <w:szCs w:val="18"/>
                <w:color w:val="0000FF"/>
                <w:w w:val="98"/>
              </w:rPr>
            </w:pPr>
            <w:hyperlink w:anchor="page50">
              <w:r>
                <w:rPr>
                  <w:rFonts w:ascii="Arial" w:cs="Arial" w:eastAsia="Arial" w:hAnsi="Arial"/>
                  <w:sz w:val="18"/>
                  <w:szCs w:val="18"/>
                  <w:color w:val="0000FF"/>
                  <w:w w:val="98"/>
                </w:rPr>
                <w:t>MARKET AND INDUSTRY DATA</w:t>
              </w:r>
            </w:hyperlink>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2"/>
          </w:tcPr>
          <w:p>
            <w:pPr>
              <w:spacing w:after="0"/>
              <w:rPr>
                <w:sz w:val="17"/>
                <w:szCs w:val="17"/>
                <w:color w:val="auto"/>
              </w:rPr>
            </w:pPr>
          </w:p>
        </w:tc>
        <w:tc>
          <w:tcPr>
            <w:tcW w:w="580" w:type="dxa"/>
            <w:vAlign w:val="bottom"/>
            <w:gridSpan w:val="3"/>
          </w:tcPr>
          <w:p>
            <w:pPr>
              <w:jc w:val="right"/>
              <w:ind w:right="400"/>
              <w:spacing w:after="0" w:line="196" w:lineRule="exact"/>
              <w:rPr>
                <w:rFonts w:ascii="Arial" w:cs="Arial" w:eastAsia="Arial" w:hAnsi="Arial"/>
                <w:sz w:val="18"/>
                <w:szCs w:val="18"/>
                <w:color w:val="0000FF"/>
                <w:w w:val="79"/>
              </w:rPr>
            </w:pPr>
            <w:hyperlink w:anchor="page50">
              <w:r>
                <w:rPr>
                  <w:rFonts w:ascii="Arial" w:cs="Arial" w:eastAsia="Arial" w:hAnsi="Arial"/>
                  <w:sz w:val="18"/>
                  <w:szCs w:val="18"/>
                  <w:color w:val="0000FF"/>
                  <w:w w:val="79"/>
                </w:rPr>
                <w:t>43</w:t>
              </w:r>
            </w:hyperlink>
          </w:p>
        </w:tc>
        <w:tc>
          <w:tcPr>
            <w:tcW w:w="400" w:type="dxa"/>
            <w:vAlign w:val="bottom"/>
          </w:tcPr>
          <w:p>
            <w:pPr>
              <w:spacing w:after="0"/>
              <w:rPr>
                <w:sz w:val="17"/>
                <w:szCs w:val="17"/>
                <w:color w:val="auto"/>
              </w:rPr>
            </w:pPr>
          </w:p>
        </w:tc>
        <w:tc>
          <w:tcPr>
            <w:tcW w:w="4660" w:type="dxa"/>
            <w:vAlign w:val="bottom"/>
            <w:gridSpan w:val="15"/>
          </w:tcPr>
          <w:p>
            <w:pPr>
              <w:ind w:left="160"/>
              <w:spacing w:after="0" w:line="196" w:lineRule="exact"/>
              <w:rPr>
                <w:rFonts w:ascii="Arial" w:cs="Arial" w:eastAsia="Arial" w:hAnsi="Arial"/>
                <w:sz w:val="18"/>
                <w:szCs w:val="18"/>
                <w:color w:val="0000FF"/>
              </w:rPr>
            </w:pPr>
            <w:hyperlink w:anchor="page130">
              <w:r>
                <w:rPr>
                  <w:rFonts w:ascii="Arial" w:cs="Arial" w:eastAsia="Arial" w:hAnsi="Arial"/>
                  <w:sz w:val="18"/>
                  <w:szCs w:val="18"/>
                  <w:color w:val="0000FF"/>
                </w:rPr>
                <w:t>TRANSACTIONS</w:t>
              </w:r>
            </w:hyperlink>
          </w:p>
        </w:tc>
        <w:tc>
          <w:tcPr>
            <w:tcW w:w="620" w:type="dxa"/>
            <w:vAlign w:val="bottom"/>
            <w:gridSpan w:val="3"/>
          </w:tcPr>
          <w:p>
            <w:pPr>
              <w:ind w:left="220"/>
              <w:spacing w:after="0" w:line="196" w:lineRule="exact"/>
              <w:rPr>
                <w:rFonts w:ascii="Arial" w:cs="Arial" w:eastAsia="Arial" w:hAnsi="Arial"/>
                <w:sz w:val="18"/>
                <w:szCs w:val="18"/>
                <w:color w:val="0000FF"/>
              </w:rPr>
            </w:pPr>
            <w:hyperlink w:anchor="page130">
              <w:r>
                <w:rPr>
                  <w:rFonts w:ascii="Arial" w:cs="Arial" w:eastAsia="Arial" w:hAnsi="Arial"/>
                  <w:sz w:val="18"/>
                  <w:szCs w:val="18"/>
                  <w:color w:val="0000FF"/>
                </w:rPr>
                <w:t>123</w:t>
              </w:r>
            </w:hyperlink>
          </w:p>
        </w:tc>
        <w:tc>
          <w:tcPr>
            <w:tcW w:w="0" w:type="dxa"/>
            <w:vAlign w:val="bottom"/>
          </w:tcPr>
          <w:p>
            <w:pPr>
              <w:spacing w:after="0"/>
              <w:rPr>
                <w:sz w:val="1"/>
                <w:szCs w:val="1"/>
                <w:color w:val="auto"/>
              </w:rPr>
            </w:pPr>
          </w:p>
        </w:tc>
      </w:tr>
      <w:tr>
        <w:trPr>
          <w:trHeight w:val="20"/>
        </w:trPr>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gridSpan w:val="7"/>
          </w:tcPr>
          <w:p>
            <w:pPr>
              <w:spacing w:after="0"/>
              <w:rPr>
                <w:rFonts w:ascii="Arial" w:cs="Arial" w:eastAsia="Arial" w:hAnsi="Arial"/>
                <w:sz w:val="18"/>
                <w:szCs w:val="18"/>
                <w:color w:val="0000FF"/>
                <w:w w:val="88"/>
              </w:rPr>
            </w:pPr>
            <w:hyperlink w:anchor="page51">
              <w:r>
                <w:rPr>
                  <w:rFonts w:ascii="Arial" w:cs="Arial" w:eastAsia="Arial" w:hAnsi="Arial"/>
                  <w:sz w:val="18"/>
                  <w:szCs w:val="18"/>
                  <w:color w:val="0000FF"/>
                  <w:w w:val="88"/>
                </w:rPr>
                <w:t>USE OF PROCEEDS</w:t>
              </w:r>
            </w:hyperlink>
          </w:p>
        </w:tc>
        <w:tc>
          <w:tcPr>
            <w:tcW w:w="108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gridSpan w:val="2"/>
          </w:tcPr>
          <w:p>
            <w:pPr>
              <w:spacing w:after="0"/>
              <w:rPr>
                <w:sz w:val="21"/>
                <w:szCs w:val="21"/>
                <w:color w:val="auto"/>
              </w:rPr>
            </w:pPr>
          </w:p>
        </w:tc>
        <w:tc>
          <w:tcPr>
            <w:tcW w:w="580" w:type="dxa"/>
            <w:vAlign w:val="bottom"/>
            <w:gridSpan w:val="3"/>
          </w:tcPr>
          <w:p>
            <w:pPr>
              <w:jc w:val="right"/>
              <w:ind w:right="400"/>
              <w:spacing w:after="0"/>
              <w:rPr>
                <w:rFonts w:ascii="Arial" w:cs="Arial" w:eastAsia="Arial" w:hAnsi="Arial"/>
                <w:sz w:val="18"/>
                <w:szCs w:val="18"/>
                <w:color w:val="0000FF"/>
                <w:w w:val="79"/>
              </w:rPr>
            </w:pPr>
            <w:hyperlink w:anchor="page51">
              <w:r>
                <w:rPr>
                  <w:rFonts w:ascii="Arial" w:cs="Arial" w:eastAsia="Arial" w:hAnsi="Arial"/>
                  <w:sz w:val="18"/>
                  <w:szCs w:val="18"/>
                  <w:color w:val="0000FF"/>
                  <w:w w:val="79"/>
                </w:rPr>
                <w:t>44</w:t>
              </w:r>
            </w:hyperlink>
          </w:p>
        </w:tc>
        <w:tc>
          <w:tcPr>
            <w:tcW w:w="5060" w:type="dxa"/>
            <w:vAlign w:val="bottom"/>
            <w:gridSpan w:val="16"/>
          </w:tcPr>
          <w:p>
            <w:pPr>
              <w:ind w:left="400"/>
              <w:spacing w:after="0"/>
              <w:rPr>
                <w:rFonts w:ascii="Arial" w:cs="Arial" w:eastAsia="Arial" w:hAnsi="Arial"/>
                <w:sz w:val="18"/>
                <w:szCs w:val="18"/>
                <w:color w:val="0000FF"/>
              </w:rPr>
            </w:pPr>
            <w:hyperlink w:anchor="page133">
              <w:r>
                <w:rPr>
                  <w:rFonts w:ascii="Arial" w:cs="Arial" w:eastAsia="Arial" w:hAnsi="Arial"/>
                  <w:sz w:val="18"/>
                  <w:szCs w:val="18"/>
                  <w:color w:val="0000FF"/>
                </w:rPr>
                <w:t>PRINCIPAL STOCKHOLDERS</w:t>
              </w:r>
            </w:hyperlink>
          </w:p>
        </w:tc>
        <w:tc>
          <w:tcPr>
            <w:tcW w:w="620" w:type="dxa"/>
            <w:vAlign w:val="bottom"/>
            <w:gridSpan w:val="3"/>
          </w:tcPr>
          <w:p>
            <w:pPr>
              <w:ind w:left="220"/>
              <w:spacing w:after="0"/>
              <w:rPr>
                <w:rFonts w:ascii="Arial" w:cs="Arial" w:eastAsia="Arial" w:hAnsi="Arial"/>
                <w:sz w:val="18"/>
                <w:szCs w:val="18"/>
                <w:color w:val="0000FF"/>
              </w:rPr>
            </w:pPr>
            <w:hyperlink w:anchor="page133">
              <w:r>
                <w:rPr>
                  <w:rFonts w:ascii="Arial" w:cs="Arial" w:eastAsia="Arial" w:hAnsi="Arial"/>
                  <w:sz w:val="18"/>
                  <w:szCs w:val="18"/>
                  <w:color w:val="0000FF"/>
                </w:rPr>
                <w:t>126</w:t>
              </w:r>
            </w:hyperlink>
          </w:p>
        </w:tc>
        <w:tc>
          <w:tcPr>
            <w:tcW w:w="0" w:type="dxa"/>
            <w:vAlign w:val="bottom"/>
          </w:tcPr>
          <w:p>
            <w:pPr>
              <w:spacing w:after="0"/>
              <w:rPr>
                <w:sz w:val="1"/>
                <w:szCs w:val="1"/>
                <w:color w:val="auto"/>
              </w:rPr>
            </w:pPr>
          </w:p>
        </w:tc>
      </w:tr>
      <w:tr>
        <w:trPr>
          <w:trHeight w:val="20"/>
        </w:trPr>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20" w:type="dxa"/>
            <w:vAlign w:val="bottom"/>
            <w:tcBorders>
              <w:left w:val="single" w:sz="8" w:color="0000FF"/>
            </w:tcBorders>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gridSpan w:val="7"/>
          </w:tcPr>
          <w:p>
            <w:pPr>
              <w:spacing w:after="0"/>
              <w:rPr>
                <w:rFonts w:ascii="Arial" w:cs="Arial" w:eastAsia="Arial" w:hAnsi="Arial"/>
                <w:sz w:val="18"/>
                <w:szCs w:val="18"/>
                <w:color w:val="0000FF"/>
                <w:w w:val="98"/>
              </w:rPr>
            </w:pPr>
            <w:hyperlink w:anchor="page52">
              <w:r>
                <w:rPr>
                  <w:rFonts w:ascii="Arial" w:cs="Arial" w:eastAsia="Arial" w:hAnsi="Arial"/>
                  <w:sz w:val="18"/>
                  <w:szCs w:val="18"/>
                  <w:color w:val="0000FF"/>
                  <w:w w:val="98"/>
                </w:rPr>
                <w:t>DIVIDEND POLICY</w:t>
              </w:r>
            </w:hyperlink>
          </w:p>
        </w:tc>
        <w:tc>
          <w:tcPr>
            <w:tcW w:w="1320" w:type="dxa"/>
            <w:vAlign w:val="bottom"/>
            <w:gridSpan w:val="3"/>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gridSpan w:val="2"/>
          </w:tcPr>
          <w:p>
            <w:pPr>
              <w:spacing w:after="0"/>
              <w:rPr>
                <w:sz w:val="21"/>
                <w:szCs w:val="21"/>
                <w:color w:val="auto"/>
              </w:rPr>
            </w:pPr>
          </w:p>
        </w:tc>
        <w:tc>
          <w:tcPr>
            <w:tcW w:w="580" w:type="dxa"/>
            <w:vAlign w:val="bottom"/>
            <w:gridSpan w:val="3"/>
          </w:tcPr>
          <w:p>
            <w:pPr>
              <w:jc w:val="right"/>
              <w:ind w:right="400"/>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45</w:t>
              </w:r>
            </w:hyperlink>
          </w:p>
        </w:tc>
        <w:tc>
          <w:tcPr>
            <w:tcW w:w="5060" w:type="dxa"/>
            <w:vAlign w:val="bottom"/>
            <w:gridSpan w:val="16"/>
          </w:tcPr>
          <w:p>
            <w:pPr>
              <w:ind w:left="400"/>
              <w:spacing w:after="0"/>
              <w:rPr>
                <w:rFonts w:ascii="Arial" w:cs="Arial" w:eastAsia="Arial" w:hAnsi="Arial"/>
                <w:sz w:val="18"/>
                <w:szCs w:val="18"/>
                <w:color w:val="0000FF"/>
              </w:rPr>
            </w:pPr>
            <w:hyperlink w:anchor="page136">
              <w:r>
                <w:rPr>
                  <w:rFonts w:ascii="Arial" w:cs="Arial" w:eastAsia="Arial" w:hAnsi="Arial"/>
                  <w:sz w:val="18"/>
                  <w:szCs w:val="18"/>
                  <w:color w:val="0000FF"/>
                </w:rPr>
                <w:t>MATERIAL UNITED STATES FEDERAL INCOME TAX</w:t>
              </w:r>
            </w:hyperlink>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580" w:type="dxa"/>
            <w:vAlign w:val="bottom"/>
            <w:gridSpan w:val="7"/>
            <w:vMerge w:val="restart"/>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CAPITALIZATION</w:t>
              </w:r>
            </w:hyperlink>
          </w:p>
        </w:tc>
        <w:tc>
          <w:tcPr>
            <w:tcW w:w="1320" w:type="dxa"/>
            <w:vAlign w:val="bottom"/>
            <w:gridSpan w:val="3"/>
            <w:vMerge w:val="restart"/>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vMerge w:val="restart"/>
          </w:tcPr>
          <w:p>
            <w:pPr>
              <w:spacing w:after="0"/>
              <w:rPr>
                <w:sz w:val="18"/>
                <w:szCs w:val="18"/>
                <w:color w:val="auto"/>
              </w:rPr>
            </w:pPr>
          </w:p>
        </w:tc>
        <w:tc>
          <w:tcPr>
            <w:tcW w:w="580" w:type="dxa"/>
            <w:vAlign w:val="bottom"/>
            <w:gridSpan w:val="3"/>
            <w:vMerge w:val="restart"/>
          </w:tcPr>
          <w:p>
            <w:pPr>
              <w:jc w:val="right"/>
              <w:ind w:right="400"/>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46</w:t>
              </w:r>
            </w:hyperlink>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00" w:type="dxa"/>
            <w:vAlign w:val="bottom"/>
            <w:tcBorders>
              <w:bottom w:val="single" w:sz="8" w:color="0000FF"/>
            </w:tcBorders>
            <w:gridSpan w:val="9"/>
          </w:tcPr>
          <w:p>
            <w:pPr>
              <w:spacing w:after="0" w:line="182" w:lineRule="exact"/>
              <w:rPr>
                <w:rFonts w:ascii="Arial" w:cs="Arial" w:eastAsia="Arial" w:hAnsi="Arial"/>
                <w:sz w:val="18"/>
                <w:szCs w:val="18"/>
                <w:color w:val="0000FF"/>
                <w:w w:val="93"/>
              </w:rPr>
            </w:pPr>
            <w:hyperlink w:anchor="page136">
              <w:r>
                <w:rPr>
                  <w:rFonts w:ascii="Arial" w:cs="Arial" w:eastAsia="Arial" w:hAnsi="Arial"/>
                  <w:sz w:val="18"/>
                  <w:szCs w:val="18"/>
                  <w:color w:val="0000FF"/>
                  <w:w w:val="93"/>
                </w:rPr>
                <w:t>CONSEQUENCES TO NON-US HOLDERS</w:t>
              </w:r>
            </w:hyperlink>
          </w:p>
        </w:tc>
        <w:tc>
          <w:tcPr>
            <w:tcW w:w="36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vMerge w:val="restart"/>
          </w:tcPr>
          <w:p>
            <w:pPr>
              <w:spacing w:after="0"/>
              <w:rPr>
                <w:sz w:val="18"/>
                <w:szCs w:val="18"/>
                <w:color w:val="auto"/>
              </w:rPr>
            </w:pPr>
          </w:p>
        </w:tc>
        <w:tc>
          <w:tcPr>
            <w:tcW w:w="240" w:type="dxa"/>
            <w:vAlign w:val="bottom"/>
            <w:tcBorders>
              <w:bottom w:val="single" w:sz="8" w:color="0000FF"/>
            </w:tcBorders>
          </w:tcPr>
          <w:p>
            <w:pPr>
              <w:spacing w:after="0" w:line="182" w:lineRule="exact"/>
              <w:rPr>
                <w:rFonts w:ascii="Arial" w:cs="Arial" w:eastAsia="Arial" w:hAnsi="Arial"/>
                <w:sz w:val="18"/>
                <w:szCs w:val="18"/>
                <w:color w:val="0000FF"/>
                <w:w w:val="73"/>
              </w:rPr>
            </w:pPr>
            <w:hyperlink w:anchor="page136">
              <w:r>
                <w:rPr>
                  <w:rFonts w:ascii="Arial" w:cs="Arial" w:eastAsia="Arial" w:hAnsi="Arial"/>
                  <w:sz w:val="18"/>
                  <w:szCs w:val="18"/>
                  <w:color w:val="0000FF"/>
                  <w:w w:val="73"/>
                </w:rPr>
                <w:t>129</w:t>
              </w:r>
            </w:hyperlink>
          </w:p>
        </w:tc>
        <w:tc>
          <w:tcPr>
            <w:tcW w:w="1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80" w:type="dxa"/>
            <w:vAlign w:val="bottom"/>
            <w:gridSpan w:val="7"/>
            <w:vMerge w:val="continue"/>
          </w:tcPr>
          <w:p>
            <w:pPr>
              <w:spacing w:after="0" w:line="20" w:lineRule="exact"/>
              <w:rPr>
                <w:sz w:val="1"/>
                <w:szCs w:val="1"/>
                <w:color w:val="auto"/>
              </w:rPr>
            </w:pPr>
          </w:p>
        </w:tc>
        <w:tc>
          <w:tcPr>
            <w:tcW w:w="1320" w:type="dxa"/>
            <w:vAlign w:val="bottom"/>
            <w:gridSpan w:val="3"/>
            <w:vMerge w:val="continu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580" w:type="dxa"/>
            <w:vAlign w:val="bottom"/>
            <w:gridSpan w:val="3"/>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gridSpan w:val="4"/>
            <w:vMerge w:val="restart"/>
          </w:tcPr>
          <w:p>
            <w:pPr>
              <w:spacing w:after="0"/>
              <w:rPr>
                <w:rFonts w:ascii="Arial" w:cs="Arial" w:eastAsia="Arial" w:hAnsi="Arial"/>
                <w:sz w:val="18"/>
                <w:szCs w:val="18"/>
                <w:color w:val="0000FF"/>
                <w:w w:val="93"/>
              </w:rPr>
            </w:pPr>
            <w:hyperlink w:anchor="page141">
              <w:r>
                <w:rPr>
                  <w:rFonts w:ascii="Arial" w:cs="Arial" w:eastAsia="Arial" w:hAnsi="Arial"/>
                  <w:sz w:val="18"/>
                  <w:szCs w:val="18"/>
                  <w:color w:val="0000FF"/>
                  <w:w w:val="93"/>
                </w:rPr>
                <w:t>UNDERWRITERS</w:t>
              </w:r>
            </w:hyperlink>
          </w:p>
        </w:tc>
        <w:tc>
          <w:tcPr>
            <w:tcW w:w="60" w:type="dxa"/>
            <w:vAlign w:val="bottom"/>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240" w:type="dxa"/>
            <w:vAlign w:val="bottom"/>
            <w:vMerge w:val="restart"/>
          </w:tcPr>
          <w:p>
            <w:pPr>
              <w:spacing w:after="0"/>
              <w:rPr>
                <w:rFonts w:ascii="Arial" w:cs="Arial" w:eastAsia="Arial" w:hAnsi="Arial"/>
                <w:sz w:val="18"/>
                <w:szCs w:val="18"/>
                <w:color w:val="0000FF"/>
                <w:w w:val="73"/>
              </w:rPr>
            </w:pPr>
            <w:hyperlink w:anchor="page141">
              <w:r>
                <w:rPr>
                  <w:rFonts w:ascii="Arial" w:cs="Arial" w:eastAsia="Arial" w:hAnsi="Arial"/>
                  <w:sz w:val="18"/>
                  <w:szCs w:val="18"/>
                  <w:color w:val="0000FF"/>
                  <w:w w:val="73"/>
                </w:rPr>
                <w:t>134</w:t>
              </w:r>
            </w:hyperlink>
          </w:p>
        </w:tc>
        <w:tc>
          <w:tcPr>
            <w:tcW w:w="1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gridSpan w:val="4"/>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80" w:type="dxa"/>
            <w:vAlign w:val="bottom"/>
            <w:gridSpan w:val="2"/>
            <w:vMerge w:val="restart"/>
          </w:tcPr>
          <w:p>
            <w:pPr>
              <w:spacing w:after="0"/>
              <w:rPr>
                <w:rFonts w:ascii="Arial" w:cs="Arial" w:eastAsia="Arial" w:hAnsi="Arial"/>
                <w:sz w:val="18"/>
                <w:szCs w:val="18"/>
                <w:color w:val="0000FF"/>
                <w:w w:val="99"/>
              </w:rPr>
            </w:pPr>
            <w:hyperlink w:anchor="page55">
              <w:r>
                <w:rPr>
                  <w:rFonts w:ascii="Arial" w:cs="Arial" w:eastAsia="Arial" w:hAnsi="Arial"/>
                  <w:sz w:val="18"/>
                  <w:szCs w:val="18"/>
                  <w:color w:val="0000FF"/>
                  <w:w w:val="99"/>
                </w:rPr>
                <w:t>DILUTION</w:t>
              </w:r>
            </w:hyperlink>
          </w:p>
        </w:tc>
        <w:tc>
          <w:tcPr>
            <w:tcW w:w="580" w:type="dxa"/>
            <w:vAlign w:val="bottom"/>
            <w:gridSpan w:val="4"/>
            <w:vMerge w:val="restart"/>
          </w:tcPr>
          <w:p>
            <w:pPr>
              <w:spacing w:after="0"/>
              <w:rPr>
                <w:sz w:val="16"/>
                <w:szCs w:val="16"/>
                <w:color w:val="auto"/>
              </w:rPr>
            </w:pPr>
          </w:p>
        </w:tc>
        <w:tc>
          <w:tcPr>
            <w:tcW w:w="1440" w:type="dxa"/>
            <w:vAlign w:val="bottom"/>
            <w:gridSpan w:val="4"/>
            <w:vMerge w:val="restart"/>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gridSpan w:val="2"/>
            <w:vMerge w:val="restart"/>
          </w:tcPr>
          <w:p>
            <w:pPr>
              <w:spacing w:after="0"/>
              <w:rPr>
                <w:sz w:val="16"/>
                <w:szCs w:val="16"/>
                <w:color w:val="auto"/>
              </w:rPr>
            </w:pPr>
          </w:p>
        </w:tc>
        <w:tc>
          <w:tcPr>
            <w:tcW w:w="580" w:type="dxa"/>
            <w:vAlign w:val="bottom"/>
            <w:gridSpan w:val="3"/>
            <w:vMerge w:val="restart"/>
          </w:tcPr>
          <w:p>
            <w:pPr>
              <w:jc w:val="right"/>
              <w:ind w:right="400"/>
              <w:spacing w:after="0"/>
              <w:rPr>
                <w:rFonts w:ascii="Arial" w:cs="Arial" w:eastAsia="Arial" w:hAnsi="Arial"/>
                <w:sz w:val="18"/>
                <w:szCs w:val="18"/>
                <w:color w:val="0000FF"/>
                <w:w w:val="79"/>
              </w:rPr>
            </w:pPr>
            <w:hyperlink w:anchor="page55">
              <w:r>
                <w:rPr>
                  <w:rFonts w:ascii="Arial" w:cs="Arial" w:eastAsia="Arial" w:hAnsi="Arial"/>
                  <w:sz w:val="18"/>
                  <w:szCs w:val="18"/>
                  <w:color w:val="0000FF"/>
                  <w:w w:val="79"/>
                </w:rPr>
                <w:t>48</w:t>
              </w:r>
            </w:hyperlink>
          </w:p>
        </w:tc>
        <w:tc>
          <w:tcPr>
            <w:tcW w:w="400" w:type="dxa"/>
            <w:vAlign w:val="bottom"/>
            <w:vMerge w:val="restart"/>
          </w:tcPr>
          <w:p>
            <w:pPr>
              <w:spacing w:after="0"/>
              <w:rPr>
                <w:sz w:val="16"/>
                <w:szCs w:val="16"/>
                <w:color w:val="auto"/>
              </w:rPr>
            </w:pPr>
          </w:p>
        </w:tc>
        <w:tc>
          <w:tcPr>
            <w:tcW w:w="1400" w:type="dxa"/>
            <w:vAlign w:val="bottom"/>
            <w:tcBorders>
              <w:bottom w:val="single" w:sz="8" w:color="0000FF"/>
            </w:tcBorders>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2360" w:type="dxa"/>
            <w:vAlign w:val="bottom"/>
            <w:gridSpan w:val="6"/>
            <w:vMerge w:val="restart"/>
          </w:tcPr>
          <w:p>
            <w:pPr>
              <w:spacing w:after="0"/>
              <w:rPr>
                <w:sz w:val="16"/>
                <w:szCs w:val="16"/>
                <w:color w:val="auto"/>
              </w:rPr>
            </w:pPr>
          </w:p>
        </w:tc>
        <w:tc>
          <w:tcPr>
            <w:tcW w:w="640" w:type="dxa"/>
            <w:vAlign w:val="bottom"/>
            <w:gridSpan w:val="3"/>
            <w:vMerge w:val="restart"/>
          </w:tcPr>
          <w:p>
            <w:pPr>
              <w:spacing w:after="0"/>
              <w:rPr>
                <w:sz w:val="16"/>
                <w:szCs w:val="16"/>
                <w:color w:val="auto"/>
              </w:rPr>
            </w:pPr>
          </w:p>
        </w:tc>
        <w:tc>
          <w:tcPr>
            <w:tcW w:w="200" w:type="dxa"/>
            <w:vAlign w:val="bottom"/>
            <w:vMerge w:val="restart"/>
          </w:tcPr>
          <w:p>
            <w:pPr>
              <w:spacing w:after="0"/>
              <w:rPr>
                <w:sz w:val="16"/>
                <w:szCs w:val="16"/>
                <w:color w:val="auto"/>
              </w:rPr>
            </w:pPr>
          </w:p>
        </w:tc>
        <w:tc>
          <w:tcPr>
            <w:tcW w:w="240" w:type="dxa"/>
            <w:vAlign w:val="bottom"/>
            <w:vMerge w:val="restart"/>
          </w:tcPr>
          <w:p>
            <w:pPr>
              <w:spacing w:after="0"/>
              <w:rPr>
                <w:sz w:val="16"/>
                <w:szCs w:val="16"/>
                <w:color w:val="auto"/>
              </w:rPr>
            </w:pPr>
          </w:p>
        </w:tc>
        <w:tc>
          <w:tcPr>
            <w:tcW w:w="240" w:type="dxa"/>
            <w:vAlign w:val="bottom"/>
            <w:tcBorders>
              <w:bottom w:val="single" w:sz="8" w:color="0000FF"/>
            </w:tcBorders>
            <w:vMerge w:val="continue"/>
          </w:tcPr>
          <w:p>
            <w:pPr>
              <w:spacing w:after="0"/>
              <w:rPr>
                <w:sz w:val="16"/>
                <w:szCs w:val="16"/>
                <w:color w:val="auto"/>
              </w:rPr>
            </w:pPr>
          </w:p>
        </w:tc>
        <w:tc>
          <w:tcPr>
            <w:tcW w:w="14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880" w:type="dxa"/>
            <w:vAlign w:val="bottom"/>
            <w:gridSpan w:val="2"/>
            <w:vMerge w:val="continue"/>
          </w:tcPr>
          <w:p>
            <w:pPr>
              <w:spacing w:after="0"/>
              <w:rPr>
                <w:sz w:val="2"/>
                <w:szCs w:val="2"/>
                <w:color w:val="auto"/>
              </w:rPr>
            </w:pPr>
          </w:p>
        </w:tc>
        <w:tc>
          <w:tcPr>
            <w:tcW w:w="580" w:type="dxa"/>
            <w:vAlign w:val="bottom"/>
            <w:gridSpan w:val="4"/>
            <w:vMerge w:val="continue"/>
          </w:tcPr>
          <w:p>
            <w:pPr>
              <w:spacing w:after="0"/>
              <w:rPr>
                <w:sz w:val="2"/>
                <w:szCs w:val="2"/>
                <w:color w:val="auto"/>
              </w:rPr>
            </w:pPr>
          </w:p>
        </w:tc>
        <w:tc>
          <w:tcPr>
            <w:tcW w:w="1440" w:type="dxa"/>
            <w:vAlign w:val="bottom"/>
            <w:gridSpan w:val="4"/>
            <w:vMerge w:val="continue"/>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580" w:type="dxa"/>
            <w:vAlign w:val="bottom"/>
            <w:gridSpan w:val="3"/>
            <w:vMerge w:val="continue"/>
          </w:tcPr>
          <w:p>
            <w:pPr>
              <w:spacing w:after="0"/>
              <w:rPr>
                <w:sz w:val="2"/>
                <w:szCs w:val="2"/>
                <w:color w:val="auto"/>
              </w:rPr>
            </w:pPr>
          </w:p>
        </w:tc>
        <w:tc>
          <w:tcPr>
            <w:tcW w:w="400" w:type="dxa"/>
            <w:vAlign w:val="bottom"/>
            <w:vMerge w:val="continue"/>
          </w:tcPr>
          <w:p>
            <w:pPr>
              <w:spacing w:after="0"/>
              <w:rPr>
                <w:sz w:val="2"/>
                <w:szCs w:val="2"/>
                <w:color w:val="auto"/>
              </w:rPr>
            </w:pPr>
          </w:p>
        </w:tc>
        <w:tc>
          <w:tcPr>
            <w:tcW w:w="1460" w:type="dxa"/>
            <w:vAlign w:val="bottom"/>
            <w:gridSpan w:val="5"/>
            <w:vMerge w:val="restart"/>
          </w:tcPr>
          <w:p>
            <w:pPr>
              <w:spacing w:after="0"/>
              <w:rPr>
                <w:rFonts w:ascii="Arial" w:cs="Arial" w:eastAsia="Arial" w:hAnsi="Arial"/>
                <w:sz w:val="18"/>
                <w:szCs w:val="18"/>
                <w:color w:val="0000FF"/>
                <w:w w:val="96"/>
              </w:rPr>
            </w:pPr>
            <w:hyperlink w:anchor="page149">
              <w:r>
                <w:rPr>
                  <w:rFonts w:ascii="Arial" w:cs="Arial" w:eastAsia="Arial" w:hAnsi="Arial"/>
                  <w:sz w:val="18"/>
                  <w:szCs w:val="18"/>
                  <w:color w:val="0000FF"/>
                  <w:w w:val="96"/>
                </w:rPr>
                <w:t>LEGAL MATTERS</w:t>
              </w:r>
            </w:hyperlink>
          </w:p>
        </w:tc>
        <w:tc>
          <w:tcPr>
            <w:tcW w:w="2360" w:type="dxa"/>
            <w:vAlign w:val="bottom"/>
            <w:gridSpan w:val="6"/>
            <w:vMerge w:val="continue"/>
          </w:tcPr>
          <w:p>
            <w:pPr>
              <w:spacing w:after="0"/>
              <w:rPr>
                <w:sz w:val="2"/>
                <w:szCs w:val="2"/>
                <w:color w:val="auto"/>
              </w:rPr>
            </w:pPr>
          </w:p>
        </w:tc>
        <w:tc>
          <w:tcPr>
            <w:tcW w:w="640" w:type="dxa"/>
            <w:vAlign w:val="bottom"/>
            <w:gridSpan w:val="3"/>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240" w:type="dxa"/>
            <w:vAlign w:val="bottom"/>
            <w:vMerge w:val="restart"/>
          </w:tcPr>
          <w:p>
            <w:pPr>
              <w:spacing w:after="0"/>
              <w:rPr>
                <w:rFonts w:ascii="Arial" w:cs="Arial" w:eastAsia="Arial" w:hAnsi="Arial"/>
                <w:sz w:val="18"/>
                <w:szCs w:val="18"/>
                <w:color w:val="0000FF"/>
                <w:w w:val="73"/>
              </w:rPr>
            </w:pPr>
            <w:hyperlink w:anchor="page149">
              <w:r>
                <w:rPr>
                  <w:rFonts w:ascii="Arial" w:cs="Arial" w:eastAsia="Arial" w:hAnsi="Arial"/>
                  <w:sz w:val="18"/>
                  <w:szCs w:val="18"/>
                  <w:color w:val="0000FF"/>
                  <w:w w:val="73"/>
                </w:rPr>
                <w:t>142</w:t>
              </w:r>
            </w:hyperlink>
          </w:p>
        </w:tc>
        <w:tc>
          <w:tcPr>
            <w:tcW w:w="1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380" w:type="dxa"/>
            <w:vAlign w:val="bottom"/>
            <w:gridSpan w:val="6"/>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gridSpan w:val="5"/>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200" w:type="dxa"/>
            <w:vAlign w:val="bottom"/>
            <w:gridSpan w:val="13"/>
            <w:vMerge w:val="restart"/>
          </w:tcPr>
          <w:p>
            <w:pPr>
              <w:spacing w:after="0"/>
              <w:rPr>
                <w:rFonts w:ascii="Arial" w:cs="Arial" w:eastAsia="Arial" w:hAnsi="Arial"/>
                <w:sz w:val="18"/>
                <w:szCs w:val="18"/>
                <w:color w:val="0000FF"/>
                <w:w w:val="97"/>
              </w:rPr>
            </w:pPr>
            <w:hyperlink w:anchor="page57">
              <w:r>
                <w:rPr>
                  <w:rFonts w:ascii="Arial" w:cs="Arial" w:eastAsia="Arial" w:hAnsi="Arial"/>
                  <w:sz w:val="18"/>
                  <w:szCs w:val="18"/>
                  <w:color w:val="0000FF"/>
                  <w:w w:val="97"/>
                </w:rPr>
                <w:t>MANAGEMENT’S DISCUSSION AND ANALYSIS OF</w:t>
              </w:r>
            </w:hyperlink>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vMerge w:val="restart"/>
          </w:tcPr>
          <w:p>
            <w:pPr>
              <w:spacing w:after="0"/>
              <w:rPr>
                <w:sz w:val="17"/>
                <w:szCs w:val="17"/>
                <w:color w:val="auto"/>
              </w:rPr>
            </w:pPr>
          </w:p>
        </w:tc>
        <w:tc>
          <w:tcPr>
            <w:tcW w:w="1460" w:type="dxa"/>
            <w:vAlign w:val="bottom"/>
            <w:tcBorders>
              <w:bottom w:val="single" w:sz="8" w:color="0000FF"/>
            </w:tcBorders>
            <w:gridSpan w:val="5"/>
            <w:vMerge w:val="continue"/>
          </w:tcPr>
          <w:p>
            <w:pPr>
              <w:spacing w:after="0"/>
              <w:rPr>
                <w:sz w:val="17"/>
                <w:szCs w:val="17"/>
                <w:color w:val="auto"/>
              </w:rPr>
            </w:pPr>
          </w:p>
        </w:tc>
        <w:tc>
          <w:tcPr>
            <w:tcW w:w="2360" w:type="dxa"/>
            <w:vAlign w:val="bottom"/>
            <w:gridSpan w:val="6"/>
            <w:vMerge w:val="restart"/>
          </w:tcPr>
          <w:p>
            <w:pPr>
              <w:spacing w:after="0"/>
              <w:rPr>
                <w:sz w:val="17"/>
                <w:szCs w:val="17"/>
                <w:color w:val="auto"/>
              </w:rPr>
            </w:pPr>
          </w:p>
        </w:tc>
        <w:tc>
          <w:tcPr>
            <w:tcW w:w="640" w:type="dxa"/>
            <w:vAlign w:val="bottom"/>
            <w:gridSpan w:val="3"/>
            <w:vMerge w:val="restart"/>
          </w:tcPr>
          <w:p>
            <w:pPr>
              <w:spacing w:after="0"/>
              <w:rPr>
                <w:sz w:val="17"/>
                <w:szCs w:val="17"/>
                <w:color w:val="auto"/>
              </w:rPr>
            </w:pPr>
          </w:p>
        </w:tc>
        <w:tc>
          <w:tcPr>
            <w:tcW w:w="200" w:type="dxa"/>
            <w:vAlign w:val="bottom"/>
            <w:vMerge w:val="restart"/>
          </w:tcPr>
          <w:p>
            <w:pPr>
              <w:spacing w:after="0"/>
              <w:rPr>
                <w:sz w:val="17"/>
                <w:szCs w:val="17"/>
                <w:color w:val="auto"/>
              </w:rPr>
            </w:pPr>
          </w:p>
        </w:tc>
        <w:tc>
          <w:tcPr>
            <w:tcW w:w="240" w:type="dxa"/>
            <w:vAlign w:val="bottom"/>
            <w:vMerge w:val="restart"/>
          </w:tcPr>
          <w:p>
            <w:pPr>
              <w:spacing w:after="0"/>
              <w:rPr>
                <w:sz w:val="17"/>
                <w:szCs w:val="17"/>
                <w:color w:val="auto"/>
              </w:rPr>
            </w:pPr>
          </w:p>
        </w:tc>
        <w:tc>
          <w:tcPr>
            <w:tcW w:w="240" w:type="dxa"/>
            <w:vAlign w:val="bottom"/>
            <w:tcBorders>
              <w:bottom w:val="single" w:sz="8" w:color="0000FF"/>
            </w:tcBorders>
            <w:vMerge w:val="continue"/>
          </w:tcPr>
          <w:p>
            <w:pPr>
              <w:spacing w:after="0"/>
              <w:rPr>
                <w:sz w:val="17"/>
                <w:szCs w:val="17"/>
                <w:color w:val="auto"/>
              </w:rPr>
            </w:pPr>
          </w:p>
        </w:tc>
        <w:tc>
          <w:tcPr>
            <w:tcW w:w="1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4200" w:type="dxa"/>
            <w:vAlign w:val="bottom"/>
            <w:tcBorders>
              <w:bottom w:val="single" w:sz="8" w:color="0000FF"/>
            </w:tcBorders>
            <w:gridSpan w:val="13"/>
            <w:vMerge w:val="continue"/>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vMerge w:val="continue"/>
          </w:tcPr>
          <w:p>
            <w:pPr>
              <w:spacing w:after="0"/>
              <w:rPr>
                <w:sz w:val="2"/>
                <w:szCs w:val="2"/>
                <w:color w:val="auto"/>
              </w:rPr>
            </w:pPr>
          </w:p>
        </w:tc>
        <w:tc>
          <w:tcPr>
            <w:tcW w:w="7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2360" w:type="dxa"/>
            <w:vAlign w:val="bottom"/>
            <w:gridSpan w:val="6"/>
            <w:vMerge w:val="continue"/>
          </w:tcPr>
          <w:p>
            <w:pPr>
              <w:spacing w:after="0"/>
              <w:rPr>
                <w:sz w:val="2"/>
                <w:szCs w:val="2"/>
                <w:color w:val="auto"/>
              </w:rPr>
            </w:pPr>
          </w:p>
        </w:tc>
        <w:tc>
          <w:tcPr>
            <w:tcW w:w="640" w:type="dxa"/>
            <w:vAlign w:val="bottom"/>
            <w:gridSpan w:val="3"/>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3540" w:type="dxa"/>
            <w:vAlign w:val="bottom"/>
            <w:gridSpan w:val="10"/>
          </w:tcPr>
          <w:p>
            <w:pPr>
              <w:spacing w:after="0" w:line="196" w:lineRule="exact"/>
              <w:rPr>
                <w:rFonts w:ascii="Arial" w:cs="Arial" w:eastAsia="Arial" w:hAnsi="Arial"/>
                <w:sz w:val="18"/>
                <w:szCs w:val="18"/>
                <w:color w:val="0000FF"/>
                <w:w w:val="97"/>
              </w:rPr>
            </w:pPr>
            <w:hyperlink w:anchor="page57">
              <w:r>
                <w:rPr>
                  <w:rFonts w:ascii="Arial" w:cs="Arial" w:eastAsia="Arial" w:hAnsi="Arial"/>
                  <w:sz w:val="18"/>
                  <w:szCs w:val="18"/>
                  <w:color w:val="0000FF"/>
                  <w:w w:val="97"/>
                </w:rPr>
                <w:t>FINANCIAL CONDITION AND RESULTS OF</w:t>
              </w:r>
            </w:hyperlink>
          </w:p>
        </w:tc>
        <w:tc>
          <w:tcPr>
            <w:tcW w:w="50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gridSpan w:val="2"/>
          </w:tcPr>
          <w:p>
            <w:pPr>
              <w:spacing w:after="0" w:line="196" w:lineRule="exact"/>
              <w:rPr>
                <w:rFonts w:ascii="Arial" w:cs="Arial" w:eastAsia="Arial" w:hAnsi="Arial"/>
                <w:sz w:val="18"/>
                <w:szCs w:val="18"/>
                <w:color w:val="0000FF"/>
                <w:w w:val="90"/>
              </w:rPr>
            </w:pPr>
            <w:hyperlink w:anchor="page150">
              <w:r>
                <w:rPr>
                  <w:rFonts w:ascii="Arial" w:cs="Arial" w:eastAsia="Arial" w:hAnsi="Arial"/>
                  <w:sz w:val="18"/>
                  <w:szCs w:val="18"/>
                  <w:color w:val="0000FF"/>
                  <w:w w:val="90"/>
                </w:rPr>
                <w:t>EXPERTS</w:t>
              </w:r>
            </w:hyperlink>
          </w:p>
        </w:tc>
        <w:tc>
          <w:tcPr>
            <w:tcW w:w="3880" w:type="dxa"/>
            <w:vAlign w:val="bottom"/>
            <w:gridSpan w:val="13"/>
          </w:tcPr>
          <w:p>
            <w:pPr>
              <w:spacing w:after="0"/>
              <w:rPr>
                <w:sz w:val="17"/>
                <w:szCs w:val="17"/>
                <w:color w:val="auto"/>
              </w:rPr>
            </w:pPr>
          </w:p>
        </w:tc>
        <w:tc>
          <w:tcPr>
            <w:tcW w:w="620" w:type="dxa"/>
            <w:vAlign w:val="bottom"/>
            <w:gridSpan w:val="3"/>
          </w:tcPr>
          <w:p>
            <w:pPr>
              <w:ind w:left="220"/>
              <w:spacing w:after="0" w:line="196" w:lineRule="exact"/>
              <w:rPr>
                <w:rFonts w:ascii="Arial" w:cs="Arial" w:eastAsia="Arial" w:hAnsi="Arial"/>
                <w:sz w:val="18"/>
                <w:szCs w:val="18"/>
                <w:color w:val="0000FF"/>
              </w:rPr>
            </w:pPr>
            <w:hyperlink w:anchor="page150">
              <w:r>
                <w:rPr>
                  <w:rFonts w:ascii="Arial" w:cs="Arial" w:eastAsia="Arial" w:hAnsi="Arial"/>
                  <w:sz w:val="18"/>
                  <w:szCs w:val="18"/>
                  <w:color w:val="0000FF"/>
                </w:rPr>
                <w:t>142</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1100" w:type="dxa"/>
            <w:vAlign w:val="bottom"/>
            <w:tcBorders>
              <w:bottom w:val="single" w:sz="8" w:color="0000FF"/>
            </w:tcBorders>
            <w:gridSpan w:val="2"/>
          </w:tcPr>
          <w:p>
            <w:pPr>
              <w:spacing w:after="0" w:line="182" w:lineRule="exact"/>
              <w:rPr>
                <w:rFonts w:ascii="Arial" w:cs="Arial" w:eastAsia="Arial" w:hAnsi="Arial"/>
                <w:sz w:val="18"/>
                <w:szCs w:val="18"/>
                <w:color w:val="0000FF"/>
                <w:w w:val="91"/>
              </w:rPr>
            </w:pPr>
            <w:hyperlink w:anchor="page57">
              <w:r>
                <w:rPr>
                  <w:rFonts w:ascii="Arial" w:cs="Arial" w:eastAsia="Arial" w:hAnsi="Arial"/>
                  <w:sz w:val="18"/>
                  <w:szCs w:val="18"/>
                  <w:color w:val="0000FF"/>
                  <w:w w:val="91"/>
                </w:rPr>
                <w:t>OPERATIONS</w:t>
              </w:r>
            </w:hyperlink>
          </w:p>
        </w:tc>
        <w:tc>
          <w:tcPr>
            <w:tcW w:w="60" w:type="dxa"/>
            <w:vAlign w:val="bottom"/>
            <w:gridSpan w:val="2"/>
            <w:vMerge w:val="restart"/>
          </w:tcPr>
          <w:p>
            <w:pPr>
              <w:spacing w:after="0"/>
              <w:rPr>
                <w:sz w:val="17"/>
                <w:szCs w:val="17"/>
                <w:color w:val="auto"/>
              </w:rPr>
            </w:pPr>
          </w:p>
        </w:tc>
        <w:tc>
          <w:tcPr>
            <w:tcW w:w="1580" w:type="dxa"/>
            <w:vAlign w:val="bottom"/>
            <w:gridSpan w:val="5"/>
            <w:vMerge w:val="restart"/>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vMerge w:val="restart"/>
          </w:tcPr>
          <w:p>
            <w:pPr>
              <w:spacing w:after="0"/>
              <w:rPr>
                <w:sz w:val="17"/>
                <w:szCs w:val="17"/>
                <w:color w:val="auto"/>
              </w:rPr>
            </w:pPr>
          </w:p>
        </w:tc>
        <w:tc>
          <w:tcPr>
            <w:tcW w:w="540" w:type="dxa"/>
            <w:vAlign w:val="bottom"/>
            <w:vMerge w:val="restart"/>
          </w:tcPr>
          <w:p>
            <w:pPr>
              <w:spacing w:after="0"/>
              <w:rPr>
                <w:sz w:val="17"/>
                <w:szCs w:val="17"/>
                <w:color w:val="auto"/>
              </w:rPr>
            </w:pPr>
          </w:p>
        </w:tc>
        <w:tc>
          <w:tcPr>
            <w:tcW w:w="180" w:type="dxa"/>
            <w:vAlign w:val="bottom"/>
            <w:tcBorders>
              <w:bottom w:val="single" w:sz="8" w:color="0000FF"/>
            </w:tcBorders>
            <w:gridSpan w:val="2"/>
          </w:tcPr>
          <w:p>
            <w:pPr>
              <w:jc w:val="right"/>
              <w:spacing w:after="0" w:line="182" w:lineRule="exact"/>
              <w:rPr>
                <w:rFonts w:ascii="Arial" w:cs="Arial" w:eastAsia="Arial" w:hAnsi="Arial"/>
                <w:sz w:val="18"/>
                <w:szCs w:val="18"/>
                <w:color w:val="0000FF"/>
                <w:w w:val="79"/>
              </w:rPr>
            </w:pPr>
            <w:hyperlink w:anchor="page57">
              <w:r>
                <w:rPr>
                  <w:rFonts w:ascii="Arial" w:cs="Arial" w:eastAsia="Arial" w:hAnsi="Arial"/>
                  <w:sz w:val="18"/>
                  <w:szCs w:val="18"/>
                  <w:color w:val="0000FF"/>
                  <w:w w:val="79"/>
                </w:rPr>
                <w:t>50</w:t>
              </w:r>
            </w:hyperlink>
          </w:p>
        </w:tc>
        <w:tc>
          <w:tcPr>
            <w:tcW w:w="400" w:type="dxa"/>
            <w:vAlign w:val="bottom"/>
            <w:vMerge w:val="restart"/>
          </w:tcPr>
          <w:p>
            <w:pPr>
              <w:spacing w:after="0"/>
              <w:rPr>
                <w:sz w:val="17"/>
                <w:szCs w:val="17"/>
                <w:color w:val="auto"/>
              </w:rPr>
            </w:pPr>
          </w:p>
        </w:tc>
        <w:tc>
          <w:tcPr>
            <w:tcW w:w="400" w:type="dxa"/>
            <w:vAlign w:val="bottom"/>
            <w:vMerge w:val="restart"/>
          </w:tcPr>
          <w:p>
            <w:pPr>
              <w:spacing w:after="0"/>
              <w:rPr>
                <w:sz w:val="17"/>
                <w:szCs w:val="17"/>
                <w:color w:val="auto"/>
              </w:rPr>
            </w:pPr>
          </w:p>
        </w:tc>
        <w:tc>
          <w:tcPr>
            <w:tcW w:w="3820" w:type="dxa"/>
            <w:vAlign w:val="bottom"/>
            <w:gridSpan w:val="11"/>
            <w:vMerge w:val="restart"/>
          </w:tcPr>
          <w:p>
            <w:pPr>
              <w:spacing w:after="0"/>
              <w:rPr>
                <w:rFonts w:ascii="Arial" w:cs="Arial" w:eastAsia="Arial" w:hAnsi="Arial"/>
                <w:sz w:val="18"/>
                <w:szCs w:val="18"/>
                <w:color w:val="0000FF"/>
                <w:w w:val="97"/>
              </w:rPr>
            </w:pPr>
            <w:hyperlink w:anchor="page150">
              <w:r>
                <w:rPr>
                  <w:rFonts w:ascii="Arial" w:cs="Arial" w:eastAsia="Arial" w:hAnsi="Arial"/>
                  <w:sz w:val="18"/>
                  <w:szCs w:val="18"/>
                  <w:color w:val="0000FF"/>
                  <w:w w:val="97"/>
                </w:rPr>
                <w:t>WHERE YOU CAN FIND MORE INFORMATION</w:t>
              </w:r>
            </w:hyperlink>
          </w:p>
        </w:tc>
        <w:tc>
          <w:tcPr>
            <w:tcW w:w="840" w:type="dxa"/>
            <w:vAlign w:val="bottom"/>
            <w:gridSpan w:val="4"/>
            <w:vMerge w:val="restart"/>
          </w:tcPr>
          <w:p>
            <w:pPr>
              <w:spacing w:after="0"/>
              <w:rPr>
                <w:sz w:val="17"/>
                <w:szCs w:val="17"/>
                <w:color w:val="auto"/>
              </w:rPr>
            </w:pPr>
          </w:p>
        </w:tc>
        <w:tc>
          <w:tcPr>
            <w:tcW w:w="620" w:type="dxa"/>
            <w:vAlign w:val="bottom"/>
            <w:gridSpan w:val="3"/>
            <w:vMerge w:val="restart"/>
          </w:tcPr>
          <w:p>
            <w:pPr>
              <w:ind w:left="220"/>
              <w:spacing w:after="0"/>
              <w:rPr>
                <w:rFonts w:ascii="Arial" w:cs="Arial" w:eastAsia="Arial" w:hAnsi="Arial"/>
                <w:sz w:val="18"/>
                <w:szCs w:val="18"/>
                <w:color w:val="0000FF"/>
              </w:rPr>
            </w:pPr>
            <w:hyperlink w:anchor="page150">
              <w:r>
                <w:rPr>
                  <w:rFonts w:ascii="Arial" w:cs="Arial" w:eastAsia="Arial" w:hAnsi="Arial"/>
                  <w:sz w:val="18"/>
                  <w:szCs w:val="18"/>
                  <w:color w:val="0000FF"/>
                </w:rPr>
                <w:t>142</w:t>
              </w:r>
            </w:hyperlink>
          </w:p>
        </w:tc>
        <w:tc>
          <w:tcPr>
            <w:tcW w:w="0" w:type="dxa"/>
            <w:vAlign w:val="bottom"/>
          </w:tcPr>
          <w:p>
            <w:pPr>
              <w:spacing w:after="0"/>
              <w:rPr>
                <w:sz w:val="1"/>
                <w:szCs w:val="1"/>
                <w:color w:val="auto"/>
              </w:rPr>
            </w:pPr>
          </w:p>
        </w:tc>
      </w:tr>
      <w:tr>
        <w:trPr>
          <w:trHeight w:val="34"/>
        </w:trPr>
        <w:tc>
          <w:tcPr>
            <w:tcW w:w="880" w:type="dxa"/>
            <w:vAlign w:val="bottom"/>
            <w:gridSpan w:val="2"/>
            <w:vMerge w:val="restart"/>
          </w:tcPr>
          <w:p>
            <w:pPr>
              <w:spacing w:after="0"/>
              <w:rPr>
                <w:rFonts w:ascii="Arial" w:cs="Arial" w:eastAsia="Arial" w:hAnsi="Arial"/>
                <w:sz w:val="18"/>
                <w:szCs w:val="18"/>
                <w:color w:val="0000FF"/>
                <w:w w:val="92"/>
              </w:rPr>
            </w:pPr>
            <w:hyperlink w:anchor="page87">
              <w:r>
                <w:rPr>
                  <w:rFonts w:ascii="Arial" w:cs="Arial" w:eastAsia="Arial" w:hAnsi="Arial"/>
                  <w:sz w:val="18"/>
                  <w:szCs w:val="18"/>
                  <w:color w:val="0000FF"/>
                  <w:w w:val="92"/>
                </w:rPr>
                <w:t>BUSINESS</w:t>
              </w:r>
            </w:hyperlink>
          </w:p>
        </w:tc>
        <w:tc>
          <w:tcPr>
            <w:tcW w:w="380" w:type="dxa"/>
            <w:vAlign w:val="bottom"/>
          </w:tcPr>
          <w:p>
            <w:pPr>
              <w:spacing w:after="0"/>
              <w:rPr>
                <w:sz w:val="2"/>
                <w:szCs w:val="2"/>
                <w:color w:val="auto"/>
              </w:rPr>
            </w:pPr>
          </w:p>
        </w:tc>
        <w:tc>
          <w:tcPr>
            <w:tcW w:w="60" w:type="dxa"/>
            <w:vAlign w:val="bottom"/>
            <w:gridSpan w:val="2"/>
            <w:vMerge w:val="continue"/>
          </w:tcPr>
          <w:p>
            <w:pPr>
              <w:spacing w:after="0"/>
              <w:rPr>
                <w:sz w:val="2"/>
                <w:szCs w:val="2"/>
                <w:color w:val="auto"/>
              </w:rPr>
            </w:pPr>
          </w:p>
        </w:tc>
        <w:tc>
          <w:tcPr>
            <w:tcW w:w="1580" w:type="dxa"/>
            <w:vAlign w:val="bottom"/>
            <w:gridSpan w:val="5"/>
            <w:vMerge w:val="continue"/>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180" w:type="dxa"/>
            <w:vAlign w:val="bottom"/>
            <w:gridSpan w:val="2"/>
            <w:vMerge w:val="restart"/>
          </w:tcPr>
          <w:p>
            <w:pPr>
              <w:jc w:val="right"/>
              <w:spacing w:after="0"/>
              <w:rPr>
                <w:rFonts w:ascii="Arial" w:cs="Arial" w:eastAsia="Arial" w:hAnsi="Arial"/>
                <w:sz w:val="18"/>
                <w:szCs w:val="18"/>
                <w:color w:val="0000FF"/>
                <w:w w:val="79"/>
              </w:rPr>
            </w:pPr>
            <w:hyperlink w:anchor="page87">
              <w:r>
                <w:rPr>
                  <w:rFonts w:ascii="Arial" w:cs="Arial" w:eastAsia="Arial" w:hAnsi="Arial"/>
                  <w:sz w:val="18"/>
                  <w:szCs w:val="18"/>
                  <w:color w:val="0000FF"/>
                  <w:w w:val="79"/>
                </w:rPr>
                <w:t>80</w:t>
              </w:r>
            </w:hyperlink>
          </w:p>
        </w:tc>
        <w:tc>
          <w:tcPr>
            <w:tcW w:w="400" w:type="dxa"/>
            <w:vAlign w:val="bottom"/>
            <w:vMerge w:val="continue"/>
          </w:tcPr>
          <w:p>
            <w:pPr>
              <w:spacing w:after="0"/>
              <w:rPr>
                <w:sz w:val="2"/>
                <w:szCs w:val="2"/>
                <w:color w:val="auto"/>
              </w:rPr>
            </w:pPr>
          </w:p>
        </w:tc>
        <w:tc>
          <w:tcPr>
            <w:tcW w:w="400" w:type="dxa"/>
            <w:vAlign w:val="bottom"/>
            <w:vMerge w:val="continue"/>
          </w:tcPr>
          <w:p>
            <w:pPr>
              <w:spacing w:after="0"/>
              <w:rPr>
                <w:sz w:val="2"/>
                <w:szCs w:val="2"/>
                <w:color w:val="auto"/>
              </w:rPr>
            </w:pPr>
          </w:p>
        </w:tc>
        <w:tc>
          <w:tcPr>
            <w:tcW w:w="3820" w:type="dxa"/>
            <w:vAlign w:val="bottom"/>
            <w:gridSpan w:val="11"/>
            <w:vMerge w:val="continue"/>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6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880" w:type="dxa"/>
            <w:vAlign w:val="bottom"/>
            <w:gridSpan w:val="2"/>
            <w:vMerge w:val="continu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2960" w:type="dxa"/>
            <w:vAlign w:val="bottom"/>
            <w:gridSpan w:val="8"/>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80" w:type="dxa"/>
            <w:vAlign w:val="bottom"/>
            <w:tcBorders>
              <w:bottom w:val="single" w:sz="8" w:color="0000FF"/>
            </w:tcBorders>
            <w:gridSpan w:val="2"/>
            <w:vMerge w:val="continue"/>
          </w:tcPr>
          <w:p>
            <w:pPr>
              <w:spacing w:after="0"/>
              <w:rPr>
                <w:sz w:val="17"/>
                <w:szCs w:val="17"/>
                <w:color w:val="auto"/>
              </w:rPr>
            </w:pPr>
          </w:p>
        </w:tc>
        <w:tc>
          <w:tcPr>
            <w:tcW w:w="440" w:type="dxa"/>
            <w:vAlign w:val="bottom"/>
            <w:gridSpan w:val="3"/>
          </w:tcPr>
          <w:p>
            <w:pPr>
              <w:spacing w:after="0"/>
              <w:rPr>
                <w:sz w:val="17"/>
                <w:szCs w:val="17"/>
                <w:color w:val="auto"/>
              </w:rPr>
            </w:pPr>
          </w:p>
        </w:tc>
        <w:tc>
          <w:tcPr>
            <w:tcW w:w="1580" w:type="dxa"/>
            <w:vAlign w:val="bottom"/>
            <w:gridSpan w:val="5"/>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Borders>
              <w:bottom w:val="single" w:sz="8" w:color="0000FF"/>
            </w:tcBorders>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vMerge w:val="restart"/>
          </w:tcPr>
          <w:p>
            <w:pPr>
              <w:spacing w:after="0"/>
              <w:rPr>
                <w:sz w:val="17"/>
                <w:szCs w:val="17"/>
                <w:color w:val="auto"/>
              </w:rPr>
            </w:pPr>
          </w:p>
        </w:tc>
        <w:tc>
          <w:tcPr>
            <w:tcW w:w="4660" w:type="dxa"/>
            <w:vAlign w:val="bottom"/>
            <w:gridSpan w:val="15"/>
            <w:vMerge w:val="restart"/>
          </w:tcPr>
          <w:p>
            <w:pPr>
              <w:spacing w:after="0"/>
              <w:rPr>
                <w:rFonts w:ascii="Arial" w:cs="Arial" w:eastAsia="Arial" w:hAnsi="Arial"/>
                <w:sz w:val="18"/>
                <w:szCs w:val="18"/>
                <w:color w:val="0000FF"/>
              </w:rPr>
            </w:pPr>
            <w:hyperlink w:anchor="page150">
              <w:r>
                <w:rPr>
                  <w:rFonts w:ascii="Arial" w:cs="Arial" w:eastAsia="Arial" w:hAnsi="Arial"/>
                  <w:sz w:val="18"/>
                  <w:szCs w:val="18"/>
                  <w:color w:val="0000FF"/>
                </w:rPr>
                <w:t>INDEX TO CONSOLIDATED FINANCIAL STATEMENTS</w:t>
              </w:r>
            </w:hyperlink>
          </w:p>
        </w:tc>
        <w:tc>
          <w:tcPr>
            <w:tcW w:w="240" w:type="dxa"/>
            <w:vAlign w:val="bottom"/>
            <w:vMerge w:val="restart"/>
          </w:tcPr>
          <w:p>
            <w:pPr>
              <w:spacing w:after="0"/>
              <w:rPr>
                <w:sz w:val="17"/>
                <w:szCs w:val="17"/>
                <w:color w:val="auto"/>
              </w:rPr>
            </w:pPr>
          </w:p>
        </w:tc>
        <w:tc>
          <w:tcPr>
            <w:tcW w:w="380" w:type="dxa"/>
            <w:vAlign w:val="bottom"/>
            <w:gridSpan w:val="2"/>
            <w:vMerge w:val="restart"/>
          </w:tcPr>
          <w:p>
            <w:pPr>
              <w:spacing w:after="0"/>
              <w:rPr>
                <w:rFonts w:ascii="Arial" w:cs="Arial" w:eastAsia="Arial" w:hAnsi="Arial"/>
                <w:sz w:val="18"/>
                <w:szCs w:val="18"/>
                <w:color w:val="0000FF"/>
              </w:rPr>
            </w:pPr>
            <w:r>
              <w:rPr>
                <w:rFonts w:ascii="Arial" w:cs="Arial" w:eastAsia="Arial" w:hAnsi="Arial"/>
                <w:sz w:val="18"/>
                <w:szCs w:val="18"/>
                <w:color w:val="0000FF"/>
              </w:rPr>
              <w:t>F-</w:t>
            </w:r>
            <w:hyperlink w:anchor="page150">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34"/>
        </w:trPr>
        <w:tc>
          <w:tcPr>
            <w:tcW w:w="1320" w:type="dxa"/>
            <w:vAlign w:val="bottom"/>
            <w:gridSpan w:val="5"/>
            <w:vMerge w:val="restart"/>
          </w:tcPr>
          <w:p>
            <w:pPr>
              <w:spacing w:after="0"/>
              <w:rPr>
                <w:rFonts w:ascii="Arial" w:cs="Arial" w:eastAsia="Arial" w:hAnsi="Arial"/>
                <w:sz w:val="18"/>
                <w:szCs w:val="18"/>
                <w:color w:val="0000FF"/>
              </w:rPr>
            </w:pPr>
            <w:hyperlink w:anchor="page104">
              <w:r>
                <w:rPr>
                  <w:rFonts w:ascii="Arial" w:cs="Arial" w:eastAsia="Arial" w:hAnsi="Arial"/>
                  <w:sz w:val="18"/>
                  <w:szCs w:val="18"/>
                  <w:color w:val="0000FF"/>
                </w:rPr>
                <w:t>MANAGEMENT</w:t>
              </w:r>
            </w:hyperlink>
          </w:p>
        </w:tc>
        <w:tc>
          <w:tcPr>
            <w:tcW w:w="1580" w:type="dxa"/>
            <w:vAlign w:val="bottom"/>
            <w:gridSpan w:val="5"/>
            <w:vMerge w:val="restart"/>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gridSpan w:val="2"/>
            <w:vMerge w:val="restart"/>
          </w:tcPr>
          <w:p>
            <w:pPr>
              <w:spacing w:after="0"/>
              <w:rPr>
                <w:sz w:val="2"/>
                <w:szCs w:val="2"/>
                <w:color w:val="auto"/>
              </w:rPr>
            </w:pPr>
          </w:p>
        </w:tc>
        <w:tc>
          <w:tcPr>
            <w:tcW w:w="580" w:type="dxa"/>
            <w:vAlign w:val="bottom"/>
            <w:gridSpan w:val="3"/>
            <w:vMerge w:val="restart"/>
          </w:tcPr>
          <w:p>
            <w:pPr>
              <w:jc w:val="right"/>
              <w:ind w:right="400"/>
              <w:spacing w:after="0"/>
              <w:rPr>
                <w:rFonts w:ascii="Arial" w:cs="Arial" w:eastAsia="Arial" w:hAnsi="Arial"/>
                <w:sz w:val="18"/>
                <w:szCs w:val="18"/>
                <w:color w:val="0000FF"/>
                <w:w w:val="79"/>
              </w:rPr>
            </w:pPr>
            <w:hyperlink w:anchor="page104">
              <w:r>
                <w:rPr>
                  <w:rFonts w:ascii="Arial" w:cs="Arial" w:eastAsia="Arial" w:hAnsi="Arial"/>
                  <w:sz w:val="18"/>
                  <w:szCs w:val="18"/>
                  <w:color w:val="0000FF"/>
                  <w:w w:val="79"/>
                </w:rPr>
                <w:t>97</w:t>
              </w:r>
            </w:hyperlink>
          </w:p>
        </w:tc>
        <w:tc>
          <w:tcPr>
            <w:tcW w:w="400" w:type="dxa"/>
            <w:vAlign w:val="bottom"/>
            <w:vMerge w:val="continue"/>
          </w:tcPr>
          <w:p>
            <w:pPr>
              <w:spacing w:after="0"/>
              <w:rPr>
                <w:sz w:val="2"/>
                <w:szCs w:val="2"/>
                <w:color w:val="auto"/>
              </w:rPr>
            </w:pPr>
          </w:p>
        </w:tc>
        <w:tc>
          <w:tcPr>
            <w:tcW w:w="4660" w:type="dxa"/>
            <w:vAlign w:val="bottom"/>
            <w:gridSpan w:val="15"/>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3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320" w:type="dxa"/>
            <w:vAlign w:val="bottom"/>
            <w:gridSpan w:val="5"/>
            <w:vMerge w:val="continue"/>
          </w:tcPr>
          <w:p>
            <w:pPr>
              <w:spacing w:after="0"/>
              <w:rPr>
                <w:sz w:val="17"/>
                <w:szCs w:val="17"/>
                <w:color w:val="auto"/>
              </w:rPr>
            </w:pPr>
          </w:p>
        </w:tc>
        <w:tc>
          <w:tcPr>
            <w:tcW w:w="1580" w:type="dxa"/>
            <w:vAlign w:val="bottom"/>
            <w:gridSpan w:val="5"/>
            <w:vMerge w:val="continue"/>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580" w:type="dxa"/>
            <w:vAlign w:val="bottom"/>
            <w:gridSpan w:val="3"/>
            <w:vMerge w:val="continue"/>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60" w:type="dxa"/>
            <w:vAlign w:val="bottom"/>
            <w:tcBorders>
              <w:top w:val="single" w:sz="8" w:color="0000FF"/>
            </w:tcBorders>
          </w:tcPr>
          <w:p>
            <w:pPr>
              <w:spacing w:after="0"/>
              <w:rPr>
                <w:sz w:val="24"/>
                <w:szCs w:val="24"/>
                <w:color w:val="auto"/>
              </w:rPr>
            </w:pPr>
          </w:p>
        </w:tc>
        <w:tc>
          <w:tcPr>
            <w:tcW w:w="1160" w:type="dxa"/>
            <w:vAlign w:val="bottom"/>
            <w:tcBorders>
              <w:top w:val="single" w:sz="8" w:color="0000FF"/>
            </w:tcBorders>
            <w:gridSpan w:val="4"/>
          </w:tcPr>
          <w:p>
            <w:pPr>
              <w:spacing w:after="0"/>
              <w:rPr>
                <w:sz w:val="24"/>
                <w:szCs w:val="24"/>
                <w:color w:val="auto"/>
              </w:rPr>
            </w:pPr>
          </w:p>
        </w:tc>
        <w:tc>
          <w:tcPr>
            <w:tcW w:w="1580" w:type="dxa"/>
            <w:vAlign w:val="bottom"/>
            <w:gridSpan w:val="5"/>
          </w:tcPr>
          <w:p>
            <w:pPr>
              <w:spacing w:after="0"/>
              <w:rPr>
                <w:sz w:val="24"/>
                <w:szCs w:val="24"/>
                <w:color w:val="auto"/>
              </w:rPr>
            </w:pPr>
          </w:p>
        </w:tc>
        <w:tc>
          <w:tcPr>
            <w:tcW w:w="1520" w:type="dxa"/>
            <w:vAlign w:val="bottom"/>
            <w:gridSpan w:val="4"/>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top w:val="single" w:sz="8" w:color="0000FF"/>
              <w:bottom w:val="single" w:sz="8" w:color="auto"/>
            </w:tcBorders>
            <w:gridSpan w:val="2"/>
          </w:tcPr>
          <w:p>
            <w:pPr>
              <w:spacing w:after="0"/>
              <w:rPr>
                <w:sz w:val="24"/>
                <w:szCs w:val="24"/>
                <w:color w:val="auto"/>
              </w:rPr>
            </w:pPr>
          </w:p>
        </w:tc>
        <w:tc>
          <w:tcPr>
            <w:tcW w:w="1660" w:type="dxa"/>
            <w:vAlign w:val="bottom"/>
            <w:tcBorders>
              <w:bottom w:val="single" w:sz="8" w:color="auto"/>
            </w:tcBorders>
            <w:gridSpan w:val="5"/>
          </w:tcPr>
          <w:p>
            <w:pPr>
              <w:spacing w:after="0"/>
              <w:rPr>
                <w:sz w:val="24"/>
                <w:szCs w:val="24"/>
                <w:color w:val="auto"/>
              </w:rPr>
            </w:pPr>
          </w:p>
        </w:tc>
        <w:tc>
          <w:tcPr>
            <w:tcW w:w="44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60" w:type="dxa"/>
            <w:vAlign w:val="bottom"/>
          </w:tcPr>
          <w:p>
            <w:pPr>
              <w:spacing w:after="0"/>
              <w:rPr>
                <w:sz w:val="24"/>
                <w:szCs w:val="24"/>
                <w:color w:val="auto"/>
              </w:rPr>
            </w:pPr>
          </w:p>
        </w:tc>
        <w:tc>
          <w:tcPr>
            <w:tcW w:w="2740" w:type="dxa"/>
            <w:vAlign w:val="bottom"/>
            <w:gridSpan w:val="9"/>
          </w:tcPr>
          <w:p>
            <w:pPr>
              <w:ind w:left="160"/>
              <w:spacing w:after="0"/>
              <w:rPr>
                <w:sz w:val="20"/>
                <w:szCs w:val="20"/>
                <w:color w:val="auto"/>
              </w:rPr>
            </w:pPr>
            <w:r>
              <w:rPr>
                <w:rFonts w:ascii="Arial" w:cs="Arial" w:eastAsia="Arial" w:hAnsi="Arial"/>
                <w:sz w:val="18"/>
                <w:szCs w:val="18"/>
                <w:b w:val="1"/>
                <w:bCs w:val="1"/>
                <w:color w:val="auto"/>
              </w:rPr>
              <w:t>Through and including</w:t>
            </w:r>
          </w:p>
        </w:tc>
        <w:tc>
          <w:tcPr>
            <w:tcW w:w="8320" w:type="dxa"/>
            <w:vAlign w:val="bottom"/>
            <w:gridSpan w:val="27"/>
          </w:tcPr>
          <w:p>
            <w:pPr>
              <w:ind w:left="260"/>
              <w:spacing w:after="0"/>
              <w:rPr>
                <w:sz w:val="20"/>
                <w:szCs w:val="20"/>
                <w:color w:val="auto"/>
              </w:rPr>
            </w:pPr>
            <w:r>
              <w:rPr>
                <w:rFonts w:ascii="Arial" w:cs="Arial" w:eastAsia="Arial" w:hAnsi="Arial"/>
                <w:sz w:val="18"/>
                <w:szCs w:val="18"/>
                <w:b w:val="1"/>
                <w:bCs w:val="1"/>
                <w:color w:val="auto"/>
                <w:w w:val="88"/>
              </w:rPr>
              <w:t>, 2021 (the 25th day after the date of this prospectus), all dealers effecting transactions in these securities,</w:t>
            </w:r>
          </w:p>
        </w:tc>
        <w:tc>
          <w:tcPr>
            <w:tcW w:w="0" w:type="dxa"/>
            <w:vAlign w:val="bottom"/>
          </w:tcPr>
          <w:p>
            <w:pPr>
              <w:spacing w:after="0"/>
              <w:rPr>
                <w:sz w:val="1"/>
                <w:szCs w:val="1"/>
                <w:color w:val="auto"/>
              </w:rPr>
            </w:pPr>
          </w:p>
        </w:tc>
      </w:tr>
    </w:tbl>
    <w:p>
      <w:pPr>
        <w:jc w:val="both"/>
        <w:spacing w:after="0" w:line="260" w:lineRule="auto"/>
        <w:rPr>
          <w:sz w:val="20"/>
          <w:szCs w:val="20"/>
          <w:color w:val="auto"/>
        </w:rPr>
      </w:pPr>
      <w:r>
        <w:rPr>
          <w:rFonts w:ascii="Arial" w:cs="Arial" w:eastAsia="Arial" w:hAnsi="Arial"/>
          <w:sz w:val="18"/>
          <w:szCs w:val="18"/>
          <w:b w:val="1"/>
          <w:bCs w:val="1"/>
          <w:color w:val="auto"/>
        </w:rPr>
        <w:t>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144145</wp:posOffset>
            </wp:positionV>
            <wp:extent cx="1517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not authorized anyone to provide you with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give you. We are offering to sell, and seeking offers to buy, shares of our Class A common stock only in jurisdictions where offers and sales are permitted. The information contained in this prospectus is accurate only as of the date of this prospectus, regardless of the time of delivery of this prospectus or of any sale of our Class A common stock. Our business, financial condition, results of operations and future growth prospects may have changed since that date.</w:t>
      </w:r>
    </w:p>
    <w:p>
      <w:pPr>
        <w:spacing w:after="0" w:line="13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investors outside the United States: Neither we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distribution of this prospectus outside of the United States.</w:t>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993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29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This summary does not contain all of the information you should consider before investing in our Class A common stock. You should read this entire prospectus carefully, including the sections titled “Risk Factors,” “Management’s Discussion and Analysis of Financial Condition and Results of Operations” and our consolidated financial statements and the related notes included elsewhere in this prospectus, before making an investment decision. Unless the context otherwise requires, all references in this prospectus to “we,” “us,” “our,” “our company” and “NerdWallet” refer to NerdWallet, Inc. and its consolidated subsidiaries. Unless otherwise indicated, references to our “common stock” refer to our Class A common stock.</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NERDWALLET,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mission is to provide clarity for all of life’s financial decisions.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vision is a world where everyone makes financial decisions with confidence.</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At NerdWallet, we empower consumers—both individual consumers and small and mid-sized businesses (SMBs)—to make smarter financial decisions with confidence via our digital platform. Technology has changed the way consumers manage their financial lives, making them more comfortable with comparing and shopping for financial products online. This change has accelerated with the dramatic growth in companies offering innovative financial products. At NerdWallet, we are leveraging this transformation to democratize access to trustworthy financial guidance—ultimately helping to improve the financial well-being of consumers and the financial services industry as a whole. As the financial services industry becomes more fragmented and complex, our value proposition as a trusted, independent platform for consumers increases.</w:t>
      </w:r>
    </w:p>
    <w:p>
      <w:pPr>
        <w:spacing w:after="0" w:line="14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deliver guidance to consumers through educational content, tools and calculators, product marketplaces and the NerdWallet app. Our platform delivers unique value across many financial products, including credit cards, mortgages, insurance, SMB products, personal loans, banking, investing and student loans, and has grown to include the UK and Canada. Across every touchpoint, the cornerstone of our platform is our consumers’ trust in the independent, objective and relevant guidance we provide, free of charge.</w:t>
      </w:r>
    </w:p>
    <w:p>
      <w:pPr>
        <w:spacing w:after="0" w:line="10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This trusted guidance has helped us build a large, loyal and well-informed audience of consumers who turn to us as a resource for many of their money questions and to shop for the best financial products for them. We then use machine learning to present personalized options using aggregated and scalable information. As a result, we have become an attractive partner for financial services providers wanting to access high-value consumers—consumers who might not otherwise trust these financial services providers’ recommendations because their guidance is inherently biased toward their own products.</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By operating at the intersection of consumers and financial services providers, NerdWallet drives value for both. NerdWallet’s ability to serve consumers and financial services providers hinges on our position as an independent, unbiased resource. The core strength of our platform is the trust that we build with consumers and the tailored and personalized recommendations we deliver via our data science models.</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mission will guide us over the long-term as we build on our leadership as the place consumers turn first for financial guidance. Already, we have achieved massive, top-of-funnel audience reach with an average of 16 million Monthly Unique Users (MUUs) per month in 2020 and 21 million per month in the first half of 2021. We define a Monthly Unique User (MUU) as a unique user with at least one session in a given month as determined by unique device identifiers. By putting the consumer first, we not only empower consumers to make better financial decisions, but also help our financial services partners more effectively find new customers well-suited to their products.</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1</w:t>
      </w:r>
    </w:p>
    <w:p>
      <w:pPr>
        <w:sectPr>
          <w:pgSz w:w="11900" w:h="16838" w:orient="portrait"/>
          <w:cols w:equalWidth="0" w:num="1">
            <w:col w:w="9900"/>
          </w:cols>
          <w:pgMar w:left="1000" w:top="1440" w:right="999" w:bottom="144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887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6887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w:t>
      </w:r>
    </w:p>
    <w:p>
      <w:pPr>
        <w:spacing w:after="0" w:line="175"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Our trusted platform aligns the interests of consumers seeking financial products with the financial services providers that offer these products. We do this by combining our house views with machine learning to help consumers find the right financial product for their needs. A successful initial experience often leads to follow-up activity on our platform and we believe it also leads to higher customer lifetime value for our financial services partners. This alignment of interests, enabled by our unbiased and trusted guidance, benefits consumers, the financial services partners and NerdWallet.</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built NerdWallet with the following key assumptions:</w:t>
      </w:r>
    </w:p>
    <w:p>
      <w:pPr>
        <w:spacing w:after="0" w:line="171" w:lineRule="exact"/>
        <w:rPr>
          <w:sz w:val="20"/>
          <w:szCs w:val="20"/>
          <w:color w:val="auto"/>
        </w:rPr>
      </w:pPr>
    </w:p>
    <w:p>
      <w:pPr>
        <w:ind w:left="640" w:hanging="32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Everything starts with trust;</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Consumers have an unmet need for unbiased guidance to inform their financial decisions; and</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There is a compelling opportunity to use data to personalize and automate guidance at scale.</w:t>
      </w:r>
    </w:p>
    <w:p>
      <w:pPr>
        <w:spacing w:after="0" w:line="171" w:lineRule="exact"/>
        <w:rPr>
          <w:sz w:val="20"/>
          <w:szCs w:val="20"/>
          <w:color w:val="auto"/>
        </w:rPr>
      </w:pPr>
    </w:p>
    <w:p>
      <w:pPr>
        <w:ind w:left="320" w:right="1240"/>
        <w:spacing w:after="0" w:line="438" w:lineRule="auto"/>
        <w:rPr>
          <w:sz w:val="20"/>
          <w:szCs w:val="20"/>
          <w:color w:val="auto"/>
        </w:rPr>
      </w:pPr>
      <w:r>
        <w:rPr>
          <w:rFonts w:ascii="Arial" w:cs="Arial" w:eastAsia="Arial" w:hAnsi="Arial"/>
          <w:sz w:val="18"/>
          <w:szCs w:val="18"/>
          <w:color w:val="auto"/>
        </w:rPr>
        <w:t xml:space="preserve">Starting with these assumptions, we offer the following benefits to consumers and to our financial services partners. </w:t>
      </w:r>
      <w:r>
        <w:rPr>
          <w:rFonts w:ascii="Arial" w:cs="Arial" w:eastAsia="Arial" w:hAnsi="Arial"/>
          <w:sz w:val="18"/>
          <w:szCs w:val="18"/>
          <w:b w:val="1"/>
          <w:bCs w:val="1"/>
          <w:i w:val="1"/>
          <w:iCs w:val="1"/>
          <w:color w:val="auto"/>
        </w:rPr>
        <w:t>Benefits of Our Platform for Consumers</w:t>
      </w:r>
    </w:p>
    <w:p>
      <w:pPr>
        <w:spacing w:after="0" w:line="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platform is designed to provide consumers with clarity about their finances, to empower them to make optimal financial decisions and instill them with a sense of confidence in their choices. We accomplish this by:</w:t>
      </w:r>
    </w:p>
    <w:p>
      <w:pPr>
        <w:spacing w:after="0" w:line="116" w:lineRule="exact"/>
        <w:rPr>
          <w:sz w:val="20"/>
          <w:szCs w:val="20"/>
          <w:color w:val="auto"/>
        </w:rPr>
      </w:pPr>
    </w:p>
    <w:p>
      <w:pPr>
        <w:jc w:val="both"/>
        <w:ind w:left="640" w:right="20" w:hanging="322"/>
        <w:spacing w:after="0" w:line="263"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Providing Comprehensive Guidance with an Independent, Unbiased Editorial Team. </w:t>
      </w:r>
      <w:r>
        <w:rPr>
          <w:rFonts w:ascii="Arial" w:cs="Arial" w:eastAsia="Arial" w:hAnsi="Arial"/>
          <w:sz w:val="18"/>
          <w:szCs w:val="18"/>
          <w:color w:val="auto"/>
        </w:rPr>
        <w:t>We build trust by offering guidance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credible, consistent and grounded in our consumer-first values. We establish credibility with financial product reviews and content that cover a myriad of topics.</w:t>
      </w:r>
    </w:p>
    <w:p>
      <w:pPr>
        <w:spacing w:after="0" w:line="129" w:lineRule="exact"/>
        <w:rPr>
          <w:rFonts w:ascii="Arial" w:cs="Arial" w:eastAsia="Arial" w:hAnsi="Arial"/>
          <w:sz w:val="18"/>
          <w:szCs w:val="18"/>
          <w:color w:val="auto"/>
        </w:rPr>
      </w:pPr>
    </w:p>
    <w:p>
      <w:pPr>
        <w:ind w:left="640" w:right="20" w:hanging="322"/>
        <w:spacing w:after="0" w:line="308"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Using Simplicity and Transparency to Enable Well-Informed Decisions. </w:t>
      </w:r>
      <w:r>
        <w:rPr>
          <w:rFonts w:ascii="Arial" w:cs="Arial" w:eastAsia="Arial" w:hAnsi="Arial"/>
          <w:sz w:val="17"/>
          <w:szCs w:val="17"/>
          <w:color w:val="auto"/>
        </w:rPr>
        <w:t>We write the articles and build tools to appeal to</w:t>
      </w:r>
      <w:r>
        <w:rPr>
          <w:rFonts w:ascii="Arial" w:cs="Arial" w:eastAsia="Arial" w:hAnsi="Arial"/>
          <w:sz w:val="17"/>
          <w:szCs w:val="17"/>
          <w:i w:val="1"/>
          <w:iCs w:val="1"/>
          <w:color w:val="auto"/>
        </w:rPr>
        <w:t xml:space="preserve"> </w:t>
      </w:r>
      <w:r>
        <w:rPr>
          <w:rFonts w:ascii="Arial" w:cs="Arial" w:eastAsia="Arial" w:hAnsi="Arial"/>
          <w:sz w:val="17"/>
          <w:szCs w:val="17"/>
          <w:color w:val="auto"/>
        </w:rPr>
        <w:t>everyone, ranging from the casual reader to someone looking to understand more complex details on a topic.</w:t>
      </w:r>
    </w:p>
    <w:p>
      <w:pPr>
        <w:spacing w:after="0" w:line="92" w:lineRule="exact"/>
        <w:rPr>
          <w:rFonts w:ascii="Arial" w:cs="Arial" w:eastAsia="Arial" w:hAnsi="Arial"/>
          <w:sz w:val="17"/>
          <w:szCs w:val="17"/>
          <w:color w:val="auto"/>
        </w:rPr>
      </w:pPr>
    </w:p>
    <w:p>
      <w:pPr>
        <w:jc w:val="both"/>
        <w:ind w:left="640" w:hanging="322"/>
        <w:spacing w:after="0" w:line="275"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Acting as a Trusted Guide and Navigator, Providing Personalized Guidance. </w:t>
      </w:r>
      <w:r>
        <w:rPr>
          <w:rFonts w:ascii="Arial" w:cs="Arial" w:eastAsia="Arial" w:hAnsi="Arial"/>
          <w:sz w:val="17"/>
          <w:szCs w:val="17"/>
          <w:color w:val="auto"/>
        </w:rPr>
        <w:t>We make it easy for our Registered Users to stay</w:t>
      </w:r>
      <w:r>
        <w:rPr>
          <w:rFonts w:ascii="Arial" w:cs="Arial" w:eastAsia="Arial" w:hAnsi="Arial"/>
          <w:sz w:val="17"/>
          <w:szCs w:val="17"/>
          <w:i w:val="1"/>
          <w:iCs w:val="1"/>
          <w:color w:val="auto"/>
        </w:rPr>
        <w:t xml:space="preserve"> </w:t>
      </w:r>
      <w:r>
        <w:rPr>
          <w:rFonts w:ascii="Arial" w:cs="Arial" w:eastAsia="Arial" w:hAnsi="Arial"/>
          <w:sz w:val="17"/>
          <w:szCs w:val="17"/>
          <w:color w:val="auto"/>
        </w:rPr>
        <w:t>on top of their money by centralizing many of their financial decisions in one place. Consumers can get a holistic view of their finances, and hone in on specific details about their spending and saving patterns across accounts. By codifying insights from our award-winning editorial team, we are able to recommend smart money moves via contextual “nudges.” As a result, we have become a one-stop-shop for consumers to track, manage and plan their financial futures.</w:t>
      </w:r>
    </w:p>
    <w:p>
      <w:pPr>
        <w:spacing w:after="0" w:line="122" w:lineRule="exact"/>
        <w:rPr>
          <w:rFonts w:ascii="Arial" w:cs="Arial" w:eastAsia="Arial" w:hAnsi="Arial"/>
          <w:sz w:val="17"/>
          <w:szCs w:val="17"/>
          <w:color w:val="auto"/>
        </w:rPr>
      </w:pPr>
    </w:p>
    <w:p>
      <w:pPr>
        <w:jc w:val="both"/>
        <w:ind w:left="640" w:hanging="322"/>
        <w:spacing w:after="0" w:line="286"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Providing Comprehensive Coverage Across Major Financial Verticals. </w:t>
      </w:r>
      <w:r>
        <w:rPr>
          <w:rFonts w:ascii="Arial" w:cs="Arial" w:eastAsia="Arial" w:hAnsi="Arial"/>
          <w:sz w:val="17"/>
          <w:szCs w:val="17"/>
          <w:color w:val="auto"/>
        </w:rPr>
        <w:t>Today, we have financial services partners in eight</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verticals: credit cards, mortgages, insurance, SMB products, personal loans, banking, investing and student loans. We have a broad range of partners, from the largest financial services providers to disruptive emerging players.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Benefits of Our Platform for our Partners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order to match consumer demand for high-quality financial products, we partner with leading financial services providers. We attract these financial services partners to our platform by offering:</w:t>
      </w:r>
    </w:p>
    <w:p>
      <w:pPr>
        <w:spacing w:after="0" w:line="116" w:lineRule="exact"/>
        <w:rPr>
          <w:sz w:val="20"/>
          <w:szCs w:val="20"/>
          <w:color w:val="auto"/>
        </w:rPr>
      </w:pPr>
    </w:p>
    <w:p>
      <w:pPr>
        <w:ind w:left="640" w:hanging="322"/>
        <w:spacing w:after="0" w:line="277"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Huge Audience and Reach, with an Average of 21 Million Monthly Unique Users Turning to the Nerds Per Month in the First Half of 2021.</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2</w:t>
      </w:r>
    </w:p>
    <w:p>
      <w:pPr>
        <w:sectPr>
          <w:pgSz w:w="11900" w:h="16838" w:orient="portrait"/>
          <w:cols w:equalWidth="0" w:num="1">
            <w:col w:w="9900"/>
          </w:cols>
          <w:pgMar w:left="1000" w:top="1440" w:right="999" w:bottom="144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882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7882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640" w:hanging="322"/>
        <w:spacing w:after="0" w:line="296" w:lineRule="auto"/>
        <w:tabs>
          <w:tab w:leader="none" w:pos="635"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Access to Consumers Who Are Ready to Transact. </w:t>
      </w:r>
      <w:r>
        <w:rPr>
          <w:rFonts w:ascii="Arial" w:cs="Arial" w:eastAsia="Arial" w:hAnsi="Arial"/>
          <w:sz w:val="16"/>
          <w:szCs w:val="16"/>
          <w:color w:val="auto"/>
        </w:rPr>
        <w:t>Because our expertise and personalized guidance are helpful for consumers 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all stages of the financial decision-making process, many of the consumers on our platform are poised to make a transaction after using our platform. For our financial services partners, these consumers who have a better understanding of our partners’ products than the average customer are more likely to </w:t>
      </w:r>
      <w:r>
        <w:rPr>
          <w:rFonts w:ascii="Arial" w:cs="Arial" w:eastAsia="Arial" w:hAnsi="Arial"/>
          <w:sz w:val="16"/>
          <w:szCs w:val="16"/>
          <w:color w:val="auto"/>
          <w:highlight w:val="white"/>
        </w:rPr>
        <w:t>successfully match with products offered by financial services partners.</w:t>
      </w:r>
      <w:r>
        <w:rPr>
          <w:rFonts w:ascii="Arial" w:cs="Arial" w:eastAsia="Arial" w:hAnsi="Arial"/>
          <w:sz w:val="16"/>
          <w:szCs w:val="16"/>
          <w:color w:val="auto"/>
        </w:rPr>
        <w:t xml:space="preserve"> We believe that these high-quality matches can result in higher customer lifetime values for our financial services partners.</w:t>
      </w:r>
    </w:p>
    <w:p>
      <w:pPr>
        <w:spacing w:after="0" w:line="107" w:lineRule="exact"/>
        <w:rPr>
          <w:rFonts w:ascii="Arial" w:cs="Arial" w:eastAsia="Arial" w:hAnsi="Arial"/>
          <w:sz w:val="16"/>
          <w:szCs w:val="16"/>
          <w:color w:val="auto"/>
        </w:rPr>
      </w:pPr>
    </w:p>
    <w:p>
      <w:pPr>
        <w:jc w:val="both"/>
        <w:ind w:left="640" w:hanging="322"/>
        <w:spacing w:after="0" w:line="259"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Positive Brand Association. </w:t>
      </w:r>
      <w:r>
        <w:rPr>
          <w:rFonts w:ascii="Arial" w:cs="Arial" w:eastAsia="Arial" w:hAnsi="Arial"/>
          <w:sz w:val="18"/>
          <w:szCs w:val="18"/>
          <w:color w:val="auto"/>
        </w:rPr>
        <w:t>We believe that our consumers place a high value on our unbiased guidance, and as such, we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that our financial services partners greatly benefit from placement on our “Best-of” Awards lists, in our reviews and within other NerdWallet content. As a result, many of our financial services partners use their “Best-of” designation in their own marketing materials.</w:t>
      </w:r>
    </w:p>
    <w:p>
      <w:pPr>
        <w:spacing w:after="0" w:line="132" w:lineRule="exact"/>
        <w:rPr>
          <w:rFonts w:ascii="Arial" w:cs="Arial" w:eastAsia="Arial" w:hAnsi="Arial"/>
          <w:sz w:val="18"/>
          <w:szCs w:val="18"/>
          <w:color w:val="auto"/>
        </w:rPr>
      </w:pPr>
    </w:p>
    <w:p>
      <w:pPr>
        <w:ind w:left="640" w:hanging="322"/>
        <w:spacing w:after="0" w:line="342" w:lineRule="auto"/>
        <w:tabs>
          <w:tab w:leader="none" w:pos="635"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Exposure to Consumers Seeking a Broad Range of Financial Products. </w:t>
      </w:r>
      <w:r>
        <w:rPr>
          <w:rFonts w:ascii="Arial" w:cs="Arial" w:eastAsia="Arial" w:hAnsi="Arial"/>
          <w:sz w:val="16"/>
          <w:szCs w:val="16"/>
          <w:color w:val="auto"/>
        </w:rPr>
        <w:t>Given the breadth of our expertise, financial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 can provide their offerings to consumers that use our platform for multiple facets of their financial well-being.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five core strengths that we believe provide us with a competitive advantage:</w:t>
      </w:r>
    </w:p>
    <w:p>
      <w:pPr>
        <w:spacing w:after="0" w:line="167" w:lineRule="exact"/>
        <w:rPr>
          <w:sz w:val="20"/>
          <w:szCs w:val="20"/>
          <w:color w:val="auto"/>
        </w:rPr>
      </w:pPr>
    </w:p>
    <w:p>
      <w:pPr>
        <w:jc w:val="both"/>
        <w:ind w:left="640" w:right="20" w:hanging="322"/>
        <w:spacing w:after="0" w:line="258"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Trusted Platform for Consumer and SMB Financial Guidance. </w:t>
      </w:r>
      <w:r>
        <w:rPr>
          <w:rFonts w:ascii="Arial" w:cs="Arial" w:eastAsia="Arial" w:hAnsi="Arial"/>
          <w:sz w:val="18"/>
          <w:szCs w:val="18"/>
          <w:color w:val="auto"/>
        </w:rPr>
        <w:t>We have maintained an unwavering commitment to</w:t>
      </w:r>
      <w:r>
        <w:rPr>
          <w:rFonts w:ascii="Arial" w:cs="Arial" w:eastAsia="Arial" w:hAnsi="Arial"/>
          <w:sz w:val="18"/>
          <w:szCs w:val="18"/>
          <w:b w:val="1"/>
          <w:bCs w:val="1"/>
          <w:color w:val="auto"/>
        </w:rPr>
        <w:t xml:space="preserve"> </w:t>
      </w:r>
      <w:r>
        <w:rPr>
          <w:rFonts w:ascii="Arial" w:cs="Arial" w:eastAsia="Arial" w:hAnsi="Arial"/>
          <w:sz w:val="18"/>
          <w:szCs w:val="18"/>
          <w:color w:val="auto"/>
        </w:rPr>
        <w:t>providing consumers with free and trusted financial guidance for over a decade, including unbiased recommendations and decision-making tools. Additionally, in the trailing twelve months as of June 30, 2021, approximately 73% of our traffic on NerdWallet came from direct or unpaid traffic sources, further demonstrating the value of our brand, organic marketing efforts and strategy.</w:t>
      </w:r>
    </w:p>
    <w:p>
      <w:pPr>
        <w:spacing w:after="0" w:line="129" w:lineRule="exact"/>
        <w:rPr>
          <w:rFonts w:ascii="Arial" w:cs="Arial" w:eastAsia="Arial" w:hAnsi="Arial"/>
          <w:sz w:val="18"/>
          <w:szCs w:val="18"/>
          <w:color w:val="auto"/>
        </w:rPr>
      </w:pPr>
    </w:p>
    <w:p>
      <w:pPr>
        <w:ind w:left="640" w:hanging="322"/>
        <w:spacing w:after="0" w:line="282"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Massive Top-of-the-Funnel Reach. </w:t>
      </w:r>
      <w:r>
        <w:rPr>
          <w:rFonts w:ascii="Arial" w:cs="Arial" w:eastAsia="Arial" w:hAnsi="Arial"/>
          <w:sz w:val="18"/>
          <w:szCs w:val="18"/>
          <w:color w:val="auto"/>
        </w:rPr>
        <w:t>The foundation of our platform is a direct, consumer-first approach, combined with deep</w:t>
      </w:r>
      <w:r>
        <w:rPr>
          <w:rFonts w:ascii="Arial" w:cs="Arial" w:eastAsia="Arial" w:hAnsi="Arial"/>
          <w:sz w:val="18"/>
          <w:szCs w:val="18"/>
          <w:b w:val="1"/>
          <w:bCs w:val="1"/>
          <w:color w:val="auto"/>
        </w:rPr>
        <w:t xml:space="preserve"> </w:t>
      </w:r>
      <w:r>
        <w:rPr>
          <w:rFonts w:ascii="Arial" w:cs="Arial" w:eastAsia="Arial" w:hAnsi="Arial"/>
          <w:sz w:val="18"/>
          <w:szCs w:val="18"/>
          <w:color w:val="auto"/>
        </w:rPr>
        <w:t>domain expertise. This drives superior brand awareness and traffic to our platform.</w:t>
      </w:r>
    </w:p>
    <w:p>
      <w:pPr>
        <w:spacing w:after="0" w:line="107" w:lineRule="exact"/>
        <w:rPr>
          <w:rFonts w:ascii="Arial" w:cs="Arial" w:eastAsia="Arial" w:hAnsi="Arial"/>
          <w:sz w:val="18"/>
          <w:szCs w:val="18"/>
          <w:color w:val="auto"/>
        </w:rPr>
      </w:pPr>
    </w:p>
    <w:p>
      <w:pPr>
        <w:jc w:val="both"/>
        <w:ind w:left="640" w:hanging="322"/>
        <w:spacing w:after="0" w:line="261"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Unique Breadth of Financial Offerings Under One Brand. </w:t>
      </w:r>
      <w:r>
        <w:rPr>
          <w:rFonts w:ascii="Arial" w:cs="Arial" w:eastAsia="Arial" w:hAnsi="Arial"/>
          <w:sz w:val="18"/>
          <w:szCs w:val="18"/>
          <w:color w:val="auto"/>
        </w:rPr>
        <w:t>We are a one-stop destination for consumer and SMB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guidance, covering credit cards, mortgages, insurance, SMB products, personal loans, banking, investing and student loans. This makes it easy for consumers to compare solutions from a wide array of providers across multiple products to meet their diverse needs.</w:t>
      </w:r>
    </w:p>
    <w:p>
      <w:pPr>
        <w:spacing w:after="0" w:line="125" w:lineRule="exact"/>
        <w:rPr>
          <w:rFonts w:ascii="Arial" w:cs="Arial" w:eastAsia="Arial" w:hAnsi="Arial"/>
          <w:sz w:val="18"/>
          <w:szCs w:val="18"/>
          <w:color w:val="auto"/>
        </w:rPr>
      </w:pPr>
    </w:p>
    <w:p>
      <w:pPr>
        <w:jc w:val="both"/>
        <w:ind w:left="640" w:right="20" w:hanging="322"/>
        <w:spacing w:after="0" w:line="256"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Platform That Drives and Benefits from Strong Network Effects. </w:t>
      </w:r>
      <w:r>
        <w:rPr>
          <w:rFonts w:ascii="Arial" w:cs="Arial" w:eastAsia="Arial" w:hAnsi="Arial"/>
          <w:sz w:val="18"/>
          <w:szCs w:val="18"/>
          <w:color w:val="auto"/>
        </w:rPr>
        <w:t>As more consumers use our platform and engage with our</w:t>
      </w:r>
      <w:r>
        <w:rPr>
          <w:rFonts w:ascii="Arial" w:cs="Arial" w:eastAsia="Arial" w:hAnsi="Arial"/>
          <w:sz w:val="18"/>
          <w:szCs w:val="18"/>
          <w:b w:val="1"/>
          <w:bCs w:val="1"/>
          <w:color w:val="auto"/>
        </w:rPr>
        <w:t xml:space="preserve"> </w:t>
      </w:r>
      <w:r>
        <w:rPr>
          <w:rFonts w:ascii="Arial" w:cs="Arial" w:eastAsia="Arial" w:hAnsi="Arial"/>
          <w:sz w:val="18"/>
          <w:szCs w:val="18"/>
          <w:color w:val="auto"/>
        </w:rPr>
        <w:t>extensive financial guidance and tools, our consumer and transaction database grows and our product recommendations yield higher success rates. This increases user satisfaction, converting more users into Registered Users and improving repeat user rates. As we apply machine learning to match more high-quality consumers with products and services, our platform becomes increasingly valuable to financial services partners. This, in turn, attracts new partners and new financial products to the platform.</w:t>
      </w:r>
    </w:p>
    <w:p>
      <w:pPr>
        <w:spacing w:after="0" w:line="133" w:lineRule="exact"/>
        <w:rPr>
          <w:rFonts w:ascii="Arial" w:cs="Arial" w:eastAsia="Arial" w:hAnsi="Arial"/>
          <w:sz w:val="18"/>
          <w:szCs w:val="18"/>
          <w:color w:val="auto"/>
        </w:rPr>
      </w:pPr>
    </w:p>
    <w:p>
      <w:pPr>
        <w:jc w:val="both"/>
        <w:ind w:left="640" w:right="20" w:hanging="322"/>
        <w:spacing w:after="0" w:line="261"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Founder-Led Management Team Focused on Continual Innovation and Capital Efficiency. </w:t>
      </w:r>
      <w:r>
        <w:rPr>
          <w:rFonts w:ascii="Arial" w:cs="Arial" w:eastAsia="Arial" w:hAnsi="Arial"/>
          <w:sz w:val="18"/>
          <w:szCs w:val="18"/>
          <w:color w:val="auto"/>
        </w:rPr>
        <w:t>Our co-founder and Chief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Tim Chen, started NerdWallet in 2009 to bring clarity to all of life’s financial decisions. We grew to approximately $44 million of revenue in 2014 with no outside equity capital. Today, we continue to maintain a mindset of capital and financial discipline balanced with growth-oriented investing.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Strategies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key growth strategies include:</w:t>
      </w:r>
    </w:p>
    <w:p>
      <w:pPr>
        <w:spacing w:after="0" w:line="167" w:lineRule="exact"/>
        <w:rPr>
          <w:sz w:val="20"/>
          <w:szCs w:val="20"/>
          <w:color w:val="auto"/>
        </w:rPr>
      </w:pPr>
    </w:p>
    <w:p>
      <w:pPr>
        <w:jc w:val="both"/>
        <w:ind w:left="640" w:hanging="322"/>
        <w:spacing w:after="0" w:line="258"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Grow Our Traffic and Increase Engagement. </w:t>
      </w:r>
      <w:r>
        <w:rPr>
          <w:rFonts w:ascii="Arial" w:cs="Arial" w:eastAsia="Arial" w:hAnsi="Arial"/>
          <w:sz w:val="18"/>
          <w:szCs w:val="18"/>
          <w:color w:val="auto"/>
        </w:rPr>
        <w:t>We convert unique users into Registered Users that utilize our consumer</w:t>
      </w:r>
      <w:r>
        <w:rPr>
          <w:rFonts w:ascii="Arial" w:cs="Arial" w:eastAsia="Arial" w:hAnsi="Arial"/>
          <w:sz w:val="18"/>
          <w:szCs w:val="18"/>
          <w:b w:val="1"/>
          <w:bCs w:val="1"/>
          <w:color w:val="auto"/>
        </w:rPr>
        <w:t xml:space="preserve"> </w:t>
      </w:r>
      <w:r>
        <w:rPr>
          <w:rFonts w:ascii="Arial" w:cs="Arial" w:eastAsia="Arial" w:hAnsi="Arial"/>
          <w:sz w:val="18"/>
          <w:szCs w:val="18"/>
          <w:color w:val="auto"/>
        </w:rPr>
        <w:t>decisioning tools and machine learning. We plan to continue to invest in building efficient and scalable technical capabilities to deliver personalized guidance and nudge consumers, at the right time, to take action based on our advice. With better machine learning, we believe our recommendations and contextual nudges will encourage repeat engagement and user registration on our platform.</w:t>
      </w:r>
    </w:p>
    <w:p>
      <w:pPr>
        <w:sectPr>
          <w:pgSz w:w="11900" w:h="16838" w:orient="portrait"/>
          <w:cols w:equalWidth="0" w:num="1">
            <w:col w:w="9900"/>
          </w:cols>
          <w:pgMar w:left="1000" w:top="1440" w:right="999" w:bottom="102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3</w:t>
      </w:r>
    </w:p>
    <w:p>
      <w:pPr>
        <w:sectPr>
          <w:pgSz w:w="11900" w:h="16838" w:orient="portrait"/>
          <w:cols w:equalWidth="0" w:num="1">
            <w:col w:w="9900"/>
          </w:cols>
          <w:pgMar w:left="1000" w:top="1440" w:right="999" w:bottom="1029"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364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7436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640" w:hanging="322"/>
        <w:spacing w:after="0" w:line="261"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Grow Within Existing and New Verticals. </w:t>
      </w:r>
      <w:r>
        <w:rPr>
          <w:rFonts w:ascii="Arial" w:cs="Arial" w:eastAsia="Arial" w:hAnsi="Arial"/>
          <w:sz w:val="18"/>
          <w:szCs w:val="18"/>
          <w:color w:val="auto"/>
        </w:rPr>
        <w:t>We plan to add capabilities within our existing verticals and expand to new</w:t>
      </w:r>
      <w:r>
        <w:rPr>
          <w:rFonts w:ascii="Arial" w:cs="Arial" w:eastAsia="Arial" w:hAnsi="Arial"/>
          <w:sz w:val="18"/>
          <w:szCs w:val="18"/>
          <w:b w:val="1"/>
          <w:bCs w:val="1"/>
          <w:color w:val="auto"/>
        </w:rPr>
        <w:t xml:space="preserve"> </w:t>
      </w:r>
      <w:r>
        <w:rPr>
          <w:rFonts w:ascii="Arial" w:cs="Arial" w:eastAsia="Arial" w:hAnsi="Arial"/>
          <w:sz w:val="18"/>
          <w:szCs w:val="18"/>
          <w:color w:val="auto"/>
        </w:rPr>
        <w:t>verticals to provide a broad range of tools for consumers. Our land and expand playbook is well defined—provide trusted content and tools to attract organic traffic, then leverage our brand and marketing expertise to accelerate growth in new verticals.</w:t>
      </w:r>
    </w:p>
    <w:p>
      <w:pPr>
        <w:spacing w:after="0" w:line="125" w:lineRule="exact"/>
        <w:rPr>
          <w:rFonts w:ascii="Arial" w:cs="Arial" w:eastAsia="Arial" w:hAnsi="Arial"/>
          <w:sz w:val="18"/>
          <w:szCs w:val="18"/>
          <w:color w:val="auto"/>
        </w:rPr>
      </w:pPr>
    </w:p>
    <w:p>
      <w:pPr>
        <w:ind w:left="640" w:hanging="322"/>
        <w:spacing w:after="0" w:line="282"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Expand Geographically. </w:t>
      </w:r>
      <w:r>
        <w:rPr>
          <w:rFonts w:ascii="Arial" w:cs="Arial" w:eastAsia="Arial" w:hAnsi="Arial"/>
          <w:sz w:val="18"/>
          <w:szCs w:val="18"/>
          <w:color w:val="auto"/>
        </w:rPr>
        <w:t>Our success and strong brand in the United States give us a solid foundation to expand into other</w:t>
      </w:r>
      <w:r>
        <w:rPr>
          <w:rFonts w:ascii="Arial" w:cs="Arial" w:eastAsia="Arial" w:hAnsi="Arial"/>
          <w:sz w:val="18"/>
          <w:szCs w:val="18"/>
          <w:b w:val="1"/>
          <w:bCs w:val="1"/>
          <w:color w:val="auto"/>
        </w:rPr>
        <w:t xml:space="preserve"> </w:t>
      </w:r>
      <w:r>
        <w:rPr>
          <w:rFonts w:ascii="Arial" w:cs="Arial" w:eastAsia="Arial" w:hAnsi="Arial"/>
          <w:sz w:val="18"/>
          <w:szCs w:val="18"/>
          <w:color w:val="auto"/>
        </w:rPr>
        <w:t>geographies.</w:t>
      </w:r>
    </w:p>
    <w:p>
      <w:pPr>
        <w:spacing w:after="0" w:line="107" w:lineRule="exact"/>
        <w:rPr>
          <w:rFonts w:ascii="Arial" w:cs="Arial" w:eastAsia="Arial" w:hAnsi="Arial"/>
          <w:sz w:val="18"/>
          <w:szCs w:val="18"/>
          <w:color w:val="auto"/>
        </w:rPr>
      </w:pPr>
    </w:p>
    <w:p>
      <w:pPr>
        <w:jc w:val="both"/>
        <w:ind w:left="640" w:hanging="322"/>
        <w:spacing w:after="0" w:line="266"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Broaden and Deepen our Partnerships with Financial Services Partners. </w:t>
      </w:r>
      <w:r>
        <w:rPr>
          <w:rFonts w:ascii="Arial" w:cs="Arial" w:eastAsia="Arial" w:hAnsi="Arial"/>
          <w:sz w:val="18"/>
          <w:szCs w:val="18"/>
          <w:color w:val="auto"/>
        </w:rPr>
        <w:t>We partner with banks, insurance agencies,</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advisors, loan brokers and other financial services providers. We will continue to identify new partners as well as vertical expansion opportunities with existing partners to optimize our platform for consumers.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17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have a substantial market opportunity in the growing global market for financial services. Our comprehensive platform serves a broad set of financial verticals, including credit cards, mortgages, insurance, SMB products, personal loans, banking, investing and student loans.</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current and primary addressable market opportunity is U.S. financial services digital advertising spend, which is expected to be more than $23 billion in 2021, according to eMarketer.</w:t>
      </w:r>
    </w:p>
    <w:p>
      <w:pPr>
        <w:spacing w:after="0" w:line="11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believe the services provided by financial advisors, insurance agencies, loan brokers and others will increasingly transition online in the coming years, which will expand our addressable market. As a result of this offline-to-online shift, offline sales commission dollars will be reallocated to better align with the growth and importance of digital channels. As financial services providers modernize their approach to sales commissions and related compensation, we expect that our addressable market opportunity will continue to grow.</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75" w:lineRule="exact"/>
        <w:rPr>
          <w:sz w:val="20"/>
          <w:szCs w:val="20"/>
          <w:color w:val="auto"/>
        </w:rPr>
      </w:pPr>
    </w:p>
    <w:p>
      <w:pPr>
        <w:jc w:val="both"/>
        <w:ind w:right="20" w:firstLine="324"/>
        <w:spacing w:after="0" w:line="301" w:lineRule="auto"/>
        <w:rPr>
          <w:sz w:val="20"/>
          <w:szCs w:val="20"/>
          <w:color w:val="auto"/>
        </w:rPr>
      </w:pPr>
      <w:r>
        <w:rPr>
          <w:rFonts w:ascii="Arial" w:cs="Arial" w:eastAsia="Arial" w:hAnsi="Arial"/>
          <w:sz w:val="16"/>
          <w:szCs w:val="16"/>
          <w:color w:val="auto"/>
        </w:rPr>
        <w:t>There are a number of risks that you should understand before making an investment decision regarding this offering. These risks are discussed more fully in the section titled “Risk Factors” following this prospectus summary. If any of these risks actually occur, our business, financial condition or results of operations could be adversely affected. In such case, the trading price of our Class A common stock would likely decline, and you may lose all or part of your investment. These risks include, but are not limited to:</w:t>
      </w:r>
    </w:p>
    <w:p>
      <w:pPr>
        <w:spacing w:after="0" w:line="103" w:lineRule="exact"/>
        <w:rPr>
          <w:sz w:val="20"/>
          <w:szCs w:val="20"/>
          <w:color w:val="auto"/>
        </w:rPr>
      </w:pPr>
    </w:p>
    <w:p>
      <w:pPr>
        <w:jc w:val="both"/>
        <w:ind w:left="640" w:hanging="322"/>
        <w:spacing w:after="0" w:line="263"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depend on relationships with our financial services partners, and any adverse changes in their financial strength, tightening of their underwriting standards, or adverse changes to their online marketing strategy would adversely affect our business, financial condition and results of operations.</w:t>
      </w:r>
    </w:p>
    <w:p>
      <w:pPr>
        <w:spacing w:after="0" w:line="129" w:lineRule="exact"/>
        <w:rPr>
          <w:rFonts w:ascii="Arial" w:cs="Arial" w:eastAsia="Arial" w:hAnsi="Arial"/>
          <w:sz w:val="18"/>
          <w:szCs w:val="18"/>
          <w:color w:val="auto"/>
        </w:rPr>
      </w:pPr>
    </w:p>
    <w:p>
      <w:pPr>
        <w:ind w:left="640" w:right="20" w:hanging="322"/>
        <w:spacing w:after="0" w:line="277"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consumers do not find value in our platform or do not like the consumer experience on our platform, the number of matches on our platform may decline, and would harm our business, financial condition and results of operations.</w:t>
      </w:r>
    </w:p>
    <w:p>
      <w:pPr>
        <w:spacing w:after="0" w:line="116" w:lineRule="exact"/>
        <w:rPr>
          <w:rFonts w:ascii="Arial" w:cs="Arial" w:eastAsia="Arial" w:hAnsi="Arial"/>
          <w:sz w:val="18"/>
          <w:szCs w:val="18"/>
          <w:color w:val="auto"/>
        </w:rPr>
      </w:pPr>
    </w:p>
    <w:p>
      <w:pPr>
        <w:jc w:val="both"/>
        <w:ind w:left="640" w:hanging="322"/>
        <w:spacing w:after="0" w:line="279"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are dependent on internet search engines, in particular, Google, to direct traffic to our websites and refer new users to our platform. If search engines’ algorithms, methodologies, and/or policies are modified or enforced in ways we do not anticipate, or if our search results page rankings decline for other reasons, traffic to our platform or user growth or engagement could decline, any of which would harm our business, financial condition and results of operations.</w:t>
      </w:r>
    </w:p>
    <w:p>
      <w:pPr>
        <w:spacing w:after="0" w:line="117" w:lineRule="exact"/>
        <w:rPr>
          <w:rFonts w:ascii="Arial" w:cs="Arial" w:eastAsia="Arial" w:hAnsi="Arial"/>
          <w:sz w:val="17"/>
          <w:szCs w:val="17"/>
          <w:color w:val="auto"/>
        </w:rPr>
      </w:pPr>
    </w:p>
    <w:p>
      <w:pPr>
        <w:ind w:left="640" w:right="20" w:hanging="322"/>
        <w:spacing w:after="0" w:line="277"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maintain our reputation and brand recognition and attract and engage users in a cost-effective manner would harm our business, financial condition and results of operations.</w:t>
      </w:r>
    </w:p>
    <w:p>
      <w:pPr>
        <w:spacing w:after="0" w:line="116" w:lineRule="exact"/>
        <w:rPr>
          <w:rFonts w:ascii="Arial" w:cs="Arial" w:eastAsia="Arial" w:hAnsi="Arial"/>
          <w:sz w:val="18"/>
          <w:szCs w:val="18"/>
          <w:color w:val="auto"/>
        </w:rPr>
      </w:pPr>
    </w:p>
    <w:p>
      <w:pPr>
        <w:ind w:left="640" w:hanging="322"/>
        <w:spacing w:after="0" w:line="277"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make decisions based on the best interests of our users in order to build long-term trust that may result in us forgoing short-term gains.</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4</w:t>
      </w:r>
    </w:p>
    <w:p>
      <w:pPr>
        <w:sectPr>
          <w:pgSz w:w="11900" w:h="16838" w:orient="portrait"/>
          <w:cols w:equalWidth="0" w:num="1">
            <w:col w:w="9900"/>
          </w:cols>
          <w:pgMar w:left="1000" w:top="1440" w:right="999" w:bottom="144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7108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7710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40" w:right="20" w:hanging="322"/>
        <w:spacing w:after="0" w:line="277"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compete in a highly competitive and rapidly evolving market with a number of other companies and we face the possibility of new entrants disrupting our market over time.</w:t>
      </w:r>
    </w:p>
    <w:p>
      <w:pPr>
        <w:spacing w:after="0" w:line="116" w:lineRule="exact"/>
        <w:rPr>
          <w:rFonts w:ascii="Arial" w:cs="Arial" w:eastAsia="Arial" w:hAnsi="Arial"/>
          <w:sz w:val="18"/>
          <w:szCs w:val="18"/>
          <w:color w:val="auto"/>
        </w:rPr>
      </w:pPr>
    </w:p>
    <w:p>
      <w:pPr>
        <w:ind w:left="640" w:right="20" w:hanging="322"/>
        <w:spacing w:after="0" w:line="277"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recent international expansion subjects us to additional costs and risks which could harm our business, revenue and financial results, and our continued international expansion may be unsuccessful.</w:t>
      </w:r>
    </w:p>
    <w:p>
      <w:pPr>
        <w:spacing w:after="0" w:line="116" w:lineRule="exact"/>
        <w:rPr>
          <w:rFonts w:ascii="Arial" w:cs="Arial" w:eastAsia="Arial" w:hAnsi="Arial"/>
          <w:sz w:val="18"/>
          <w:szCs w:val="18"/>
          <w:color w:val="auto"/>
        </w:rPr>
      </w:pPr>
    </w:p>
    <w:p>
      <w:pPr>
        <w:ind w:left="640" w:hanging="322"/>
        <w:spacing w:after="0" w:line="342" w:lineRule="auto"/>
        <w:tabs>
          <w:tab w:leader="none" w:pos="635"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are making substantial investments in new product offerings and technologies, and expect to increase such investments in the future. These new efforts are inherently risky, and we may never realize any expected benefits from them.</w:t>
      </w:r>
    </w:p>
    <w:p>
      <w:pPr>
        <w:spacing w:after="0" w:line="69" w:lineRule="exact"/>
        <w:rPr>
          <w:rFonts w:ascii="Arial" w:cs="Arial" w:eastAsia="Arial" w:hAnsi="Arial"/>
          <w:sz w:val="16"/>
          <w:szCs w:val="16"/>
          <w:color w:val="auto"/>
        </w:rPr>
      </w:pPr>
    </w:p>
    <w:p>
      <w:pPr>
        <w:ind w:left="640" w:right="20" w:hanging="322"/>
        <w:spacing w:after="0" w:line="277"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financial performance is dependent on our ability to successfully refer users to financial services partners, and these partners are not precluded from offering products and services outside of our platform.</w:t>
      </w:r>
    </w:p>
    <w:p>
      <w:pPr>
        <w:spacing w:after="0" w:line="116" w:lineRule="exact"/>
        <w:rPr>
          <w:rFonts w:ascii="Arial" w:cs="Arial" w:eastAsia="Arial" w:hAnsi="Arial"/>
          <w:sz w:val="18"/>
          <w:szCs w:val="18"/>
          <w:color w:val="auto"/>
        </w:rPr>
      </w:pPr>
    </w:p>
    <w:p>
      <w:pPr>
        <w:ind w:left="640" w:right="20" w:hanging="322"/>
        <w:spacing w:after="0" w:line="277"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conditions in the consumer finance markets, or poor or uncertain macroeconomic conditions, could harm our business, financial condition and results of operations.</w:t>
      </w:r>
    </w:p>
    <w:p>
      <w:pPr>
        <w:spacing w:after="0" w:line="116" w:lineRule="exact"/>
        <w:rPr>
          <w:rFonts w:ascii="Arial" w:cs="Arial" w:eastAsia="Arial" w:hAnsi="Arial"/>
          <w:sz w:val="18"/>
          <w:szCs w:val="18"/>
          <w:color w:val="auto"/>
        </w:rPr>
      </w:pPr>
    </w:p>
    <w:p>
      <w:pPr>
        <w:ind w:left="640" w:right="20" w:hanging="322"/>
        <w:spacing w:after="0" w:line="277"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Trends in the credit card industry, as well as the impact of the general economy on the ability of users to qualify for credit cards, could harm our business, financial condition and results of operations.</w:t>
      </w:r>
    </w:p>
    <w:p>
      <w:pPr>
        <w:spacing w:after="0" w:line="116" w:lineRule="exact"/>
        <w:rPr>
          <w:rFonts w:ascii="Arial" w:cs="Arial" w:eastAsia="Arial" w:hAnsi="Arial"/>
          <w:sz w:val="18"/>
          <w:szCs w:val="18"/>
          <w:color w:val="auto"/>
        </w:rPr>
      </w:pPr>
    </w:p>
    <w:p>
      <w:pPr>
        <w:ind w:left="640" w:right="20" w:hanging="322"/>
        <w:spacing w:after="0" w:line="277"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is subject to a variety of U.S. financial regulations, many of which are overlapping, ambiguous and still developing, which could subject us to claims or otherwise harm our business.</w:t>
      </w:r>
    </w:p>
    <w:p>
      <w:pPr>
        <w:spacing w:after="0" w:line="116" w:lineRule="exact"/>
        <w:rPr>
          <w:rFonts w:ascii="Arial" w:cs="Arial" w:eastAsia="Arial" w:hAnsi="Arial"/>
          <w:sz w:val="18"/>
          <w:szCs w:val="18"/>
          <w:color w:val="auto"/>
        </w:rPr>
      </w:pPr>
    </w:p>
    <w:p>
      <w:pPr>
        <w:jc w:val="both"/>
        <w:ind w:left="640" w:hanging="322"/>
        <w:spacing w:after="0" w:line="263"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Security incidents, or real or perceived errors, failures or bugs in our systems and platform could impair our operations, compromise our confidential information or our users’ personal information, damage our reputation and brand, and harm our business and operating results.</w:t>
      </w:r>
    </w:p>
    <w:p>
      <w:pPr>
        <w:spacing w:after="0" w:line="129" w:lineRule="exact"/>
        <w:rPr>
          <w:rFonts w:ascii="Arial" w:cs="Arial" w:eastAsia="Arial" w:hAnsi="Arial"/>
          <w:sz w:val="18"/>
          <w:szCs w:val="18"/>
          <w:color w:val="auto"/>
        </w:rPr>
      </w:pPr>
    </w:p>
    <w:p>
      <w:pPr>
        <w:ind w:left="640" w:right="20" w:hanging="322"/>
        <w:spacing w:after="0" w:line="277"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our Co-founder and CEO, Tim Chen, which will limit or preclude your ability to influence corporate matters.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75"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We were incorporated under the laws of the state of Delaware in December 2011. Our principal executive offices are located at 875 Stevenson St, San Francisco, CA 94103. Our telephone number is (415) 549-8913. Our website address is www.nerdwallet.com. Information contained on, or that can be accessed through, our website is not incorporated by reference into this prospectus, and you should not consider information on our website to be part of this prospectus.</w:t>
      </w:r>
    </w:p>
    <w:p>
      <w:pPr>
        <w:spacing w:after="0" w:line="133"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7"/>
          <w:szCs w:val="17"/>
          <w:color w:val="auto"/>
        </w:rPr>
        <w:t xml:space="preserve">The NerdWallet, Inc. design logo, the NERDWALLET service mark, “NerdWallet, Inc.,” and our other registered or common law trademarks, service marks, or trade names appearing in this prospectus are the property of NerdWallet, Inc. Other trade names, trademarks and service marks used in this prospectus are the property of their respective owners. Solely for convenience, trademarks and trade names referred to in this prospectus may appear without the </w:t>
      </w:r>
      <w:r>
        <w:rPr>
          <w:rFonts w:ascii="Arial" w:cs="Arial" w:eastAsia="Arial" w:hAnsi="Arial"/>
          <w:sz w:val="22"/>
          <w:szCs w:val="22"/>
          <w:color w:val="auto"/>
          <w:vertAlign w:val="superscript"/>
        </w:rPr>
        <w:t>®</w:t>
      </w:r>
      <w:r>
        <w:rPr>
          <w:rFonts w:ascii="Arial" w:cs="Arial" w:eastAsia="Arial" w:hAnsi="Arial"/>
          <w:sz w:val="17"/>
          <w:szCs w:val="17"/>
          <w:color w:val="auto"/>
        </w:rPr>
        <w:t xml:space="preserve"> or TM symbols.</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Controlled Company Statu</w:t>
      </w:r>
      <w:r>
        <w:rPr>
          <w:rFonts w:ascii="Arial" w:cs="Arial" w:eastAsia="Arial" w:hAnsi="Arial"/>
          <w:sz w:val="18"/>
          <w:szCs w:val="18"/>
          <w:color w:val="auto"/>
        </w:rPr>
        <w:t>s</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will be a “controlled company” within the meaning of the Nasdaq Listing Rules and its corporate governance requirements. Under these rules, a company for which more than 50% of the voting power for the election of directors is held by an individual, group, or another company is a “controlled company” and may elect not to comply with certain of the Nasdaq Listing Rules’ corporate governance requirements, including: (i) the requirement that a majority of our board of directors consist of “independent directors” as defined under the Nasdaq Listing Rules; (ii) the requirement that we have a compensation committee that is composed entirely of independent directors; and (iii) the requirement that we have a nominating and corporate governance committee that is composed entirely of independent directors. We intend to use these exemptions upon our listing. As a result, upon completion of this offering, we do not intend to have a compensation committee composed entirely of independent directors, nor do we intend to have a nominating and corporate governance committee or an independent nominating function. Instead, our full board of directors will be directly responsible for nominating members of our board. Accordingly,</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5</w:t>
      </w:r>
    </w:p>
    <w:p>
      <w:pPr>
        <w:sectPr>
          <w:pgSz w:w="11900" w:h="16838" w:orient="portrait"/>
          <w:cols w:equalWidth="0" w:num="1">
            <w:col w:w="9900"/>
          </w:cols>
          <w:pgMar w:left="1000" w:top="1440" w:right="99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9564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6956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future our stockholders may not have the same protections afforded to stockholders of companies that are subject to all of the Nasdaq Listing Rules’ corporate governance requirements.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7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highlight w:val="white"/>
        </w:rPr>
        <w:t>We qualify as an “emerging growth company” as defined in the Jumpstart Our Business Startups Act of 2012, or the JOBS Act. An emerging growth company may take advantage of specified reduced reporting and other requirements that are otherwise applicable generally to public companies. These provisions include:</w:t>
      </w:r>
    </w:p>
    <w:p>
      <w:pPr>
        <w:spacing w:after="0" w:line="130" w:lineRule="exact"/>
        <w:rPr>
          <w:sz w:val="20"/>
          <w:szCs w:val="20"/>
          <w:color w:val="auto"/>
        </w:rPr>
      </w:pPr>
    </w:p>
    <w:p>
      <w:pPr>
        <w:ind w:left="640" w:right="20" w:hanging="322"/>
        <w:spacing w:after="0" w:line="308" w:lineRule="auto"/>
        <w:tabs>
          <w:tab w:leader="none" w:pos="635"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are required to have only two years of audited financial statements and only two years of related selected financial data and Management’s Discussion and Analysis of Financial Condition and Results of Operations disclosure;</w:t>
      </w:r>
    </w:p>
    <w:p>
      <w:pPr>
        <w:spacing w:after="0" w:line="92" w:lineRule="exact"/>
        <w:rPr>
          <w:rFonts w:ascii="Arial" w:cs="Arial" w:eastAsia="Arial" w:hAnsi="Arial"/>
          <w:sz w:val="17"/>
          <w:szCs w:val="17"/>
          <w:color w:val="auto"/>
        </w:rPr>
      </w:pPr>
    </w:p>
    <w:p>
      <w:pPr>
        <w:jc w:val="both"/>
        <w:ind w:left="640" w:hanging="322"/>
        <w:spacing w:after="0" w:line="259"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exempt from the requirement that critical audit matters be discussed in our independent auditor’s reports on our audited financial statements or any other requirements that may be adopted by the Public Company Accounting Oversight Board (the “PCAOB”) unless the SEC determines that the application of such requirements to emerging growth companies is in the public interest;</w:t>
      </w:r>
    </w:p>
    <w:p>
      <w:pPr>
        <w:spacing w:after="0" w:line="132" w:lineRule="exact"/>
        <w:rPr>
          <w:rFonts w:ascii="Arial" w:cs="Arial" w:eastAsia="Arial" w:hAnsi="Arial"/>
          <w:sz w:val="18"/>
          <w:szCs w:val="18"/>
          <w:color w:val="auto"/>
        </w:rPr>
      </w:pPr>
    </w:p>
    <w:p>
      <w:pPr>
        <w:jc w:val="both"/>
        <w:ind w:left="640" w:right="20" w:hanging="322"/>
        <w:spacing w:after="0" w:line="263"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exempt from the provisions of Section 404(b) of the Sarbanes-Oxley Act of 2002 (the “Sarbanes-Oxley Act”) requiring that our independent registered public accounting firm provide an attestation report on the effectiveness of its internal control over financial reporting;</w:t>
      </w:r>
    </w:p>
    <w:p>
      <w:pPr>
        <w:spacing w:after="0" w:line="129" w:lineRule="exact"/>
        <w:rPr>
          <w:rFonts w:ascii="Arial" w:cs="Arial" w:eastAsia="Arial" w:hAnsi="Arial"/>
          <w:sz w:val="18"/>
          <w:szCs w:val="18"/>
          <w:color w:val="auto"/>
        </w:rPr>
      </w:pPr>
    </w:p>
    <w:p>
      <w:pPr>
        <w:ind w:left="640" w:hanging="322"/>
        <w:spacing w:after="0" w:line="277"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exempt from the “say on pay,” “say on frequency,” and “say on golden parachute” advisory vote requirements of the Dodd-Frank Wall Street Reform and Consumer Protection Act (the “Dodd-Frank Act”); and</w:t>
      </w:r>
    </w:p>
    <w:p>
      <w:pPr>
        <w:spacing w:after="0" w:line="116" w:lineRule="exact"/>
        <w:rPr>
          <w:rFonts w:ascii="Arial" w:cs="Arial" w:eastAsia="Arial" w:hAnsi="Arial"/>
          <w:sz w:val="18"/>
          <w:szCs w:val="18"/>
          <w:color w:val="auto"/>
        </w:rPr>
      </w:pPr>
    </w:p>
    <w:p>
      <w:pPr>
        <w:jc w:val="both"/>
        <w:ind w:left="640" w:hanging="322"/>
        <w:spacing w:after="0" w:line="263"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exempt from certain disclosure requirements of the Dodd-Frank Act relating to compensation of our executive officers and are permitted to omit the detailed compensation discussion and analysis from proxy statements and reports filed under the Securities Exchange Act of 1934, as amended (the “Exchange Act”).</w:t>
      </w:r>
    </w:p>
    <w:p>
      <w:pPr>
        <w:spacing w:after="0" w:line="13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may take advantage of these provisions until the last day of our fiscal year following the fifth anniversary of the completion of this offering or such earlier time that we are no longer an emerging growth company. We would cease to be an emerging growth company upon the earliest of: (i) the last day of the first fiscal year in which our annual gross revenues are $1.07 billion or more; (ii) the date on which we have, during the previous three-year period, issued more than $1 billion in non-convertible debt securities; or (iii) the date on which we are deemed to be a “large accelerated filer,” which will occur as of the end of any fiscal year in which we (x) have an aggregate market value of our common stock held by non-affiliates of $700 million or more as of the last business day of our most recently completed second fiscal quarter, (y) have been required to file annual and quarterly reports under the Exchange Act, for a period of at least 12 months and (z) have filed at least one annual report pursuant to the Exchange Act.</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Further, pursuant to Section 107 of the JOBS Act, as an emerging growth company, we have elected to take advantage of the extended transition period for complying with certain new or revised accounting standards until those standards would otherwise apply to private companies. As a result, our operating results and financial statements may not be comparable to the operating results and financial statements of other companies who have adopted the new or revised accounting standards. It is possible that some investors will find our Class A common stock less attractive as a result, which may result in a less active trading market for our Class A common stock and higher volatility in our stock price.</w:t>
      </w:r>
    </w:p>
    <w:p>
      <w:pPr>
        <w:spacing w:after="0" w:line="13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risks related to our status as an emerging growth company, see the section titled “Risk Factors—Risks Related to this Offering and Ownership of Our Class A Common Stock”.</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6</w:t>
      </w:r>
    </w:p>
    <w:p>
      <w:pPr>
        <w:sectPr>
          <w:pgSz w:w="11900" w:h="16838" w:orient="portrait"/>
          <w:cols w:equalWidth="0" w:num="1">
            <w:col w:w="9900"/>
          </w:cols>
          <w:pgMar w:left="1000" w:top="1440" w:right="99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85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7385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9660"/>
          </w:cols>
          <w:pgMar w:left="1020" w:top="1440" w:right="121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 offered by us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Class A common stock to be outstanding after this offering</w:t>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color w:val="auto"/>
        </w:rPr>
        <w:t>Class B common stock to be outstanding after this offering</w:t>
      </w:r>
    </w:p>
    <w:p>
      <w:pPr>
        <w:spacing w:after="0" w:line="277" w:lineRule="exact"/>
        <w:rPr>
          <w:sz w:val="20"/>
          <w:szCs w:val="20"/>
          <w:color w:val="auto"/>
        </w:rPr>
      </w:pPr>
    </w:p>
    <w:p>
      <w:pPr>
        <w:ind w:left="160" w:hanging="161"/>
        <w:spacing w:after="0" w:line="277" w:lineRule="auto"/>
        <w:rPr>
          <w:sz w:val="20"/>
          <w:szCs w:val="20"/>
          <w:color w:val="auto"/>
        </w:rPr>
      </w:pPr>
      <w:r>
        <w:rPr>
          <w:rFonts w:ascii="Arial" w:cs="Arial" w:eastAsia="Arial" w:hAnsi="Arial"/>
          <w:sz w:val="18"/>
          <w:szCs w:val="18"/>
          <w:color w:val="auto"/>
        </w:rPr>
        <w:t>Total Class A common stock and Class B common stock to be outstanding after this offering</w:t>
      </w:r>
    </w:p>
    <w:p>
      <w:pPr>
        <w:spacing w:after="0" w:line="62" w:lineRule="exact"/>
        <w:rPr>
          <w:sz w:val="20"/>
          <w:szCs w:val="20"/>
          <w:color w:val="auto"/>
        </w:rPr>
      </w:pPr>
    </w:p>
    <w:p>
      <w:pPr>
        <w:ind w:left="160" w:right="40" w:hanging="161"/>
        <w:spacing w:after="0" w:line="277" w:lineRule="auto"/>
        <w:rPr>
          <w:sz w:val="20"/>
          <w:szCs w:val="20"/>
          <w:color w:val="auto"/>
        </w:rPr>
      </w:pPr>
      <w:r>
        <w:rPr>
          <w:rFonts w:ascii="Arial" w:cs="Arial" w:eastAsia="Arial" w:hAnsi="Arial"/>
          <w:sz w:val="18"/>
          <w:szCs w:val="18"/>
          <w:color w:val="auto"/>
        </w:rPr>
        <w:t>Underwriters’ option to purchase additional shares of Class A common stock</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Concentration of Voting Rights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shares</w:t>
      </w:r>
    </w:p>
    <w:p>
      <w:pPr>
        <w:spacing w:after="0" w:line="33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shares</w:t>
      </w:r>
    </w:p>
    <w:p>
      <w:pPr>
        <w:spacing w:after="0" w:line="2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shares</w:t>
      </w:r>
    </w:p>
    <w:p>
      <w:pPr>
        <w:spacing w:after="0" w:line="30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shares</w:t>
      </w:r>
    </w:p>
    <w:p>
      <w:pPr>
        <w:spacing w:after="0" w:line="33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shares</w:t>
      </w:r>
    </w:p>
    <w:p>
      <w:pPr>
        <w:spacing w:after="0" w:line="104"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The holders of Class A common stock are entitled to one vote per share.</w:t>
      </w:r>
    </w:p>
    <w:p>
      <w:pPr>
        <w:spacing w:after="0" w:line="108"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holders of Class B common stock are entitled to ten votes per share.</w:t>
      </w:r>
    </w:p>
    <w:p>
      <w:pPr>
        <w:spacing w:after="0" w:line="108"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The holders of our Class A common stock and Class B common stock will generally vote together as a single class on all matters submitted to a vote of our stockholders unless otherwise required by Delaware law or our amended and restated certificate of incorporation. See the section titled “Description of Capital Stock” for additional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The holders of our outstanding Class B common stock, Tim Chen</w:t>
      </w:r>
    </w:p>
    <w:p>
      <w:pPr>
        <w:spacing w:after="0" w:line="4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and his affiliated entities, will initially hold approximately % of the voting power of our outstanding capital stock following this offering and will have the ability to control the outcome of matters submitted to our stockholders for approval, including the election of our directors and the approval of any change in control transaction. See the sections titled “Principal Stockholders”, “Description of Capital Stock” and "Management — Controlled Company."</w:t>
      </w:r>
    </w:p>
    <w:p>
      <w:pPr>
        <w:spacing w:after="0" w:line="14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Each share of Class B common stock may be converted into one share of Class A common stock at the option of the holder thereof, and will be converted into one share of Class A common stock upon transfer thereof, subject to certain exceptions. All shares of Class B common stock will automatically convert into shares of Class A common stock (1) nine months following the death or permanent incapacity of Tim Chen, our Co-founder and Chief Executive Officer, and (2) the first trading day that falls nine months after the date on which there are outstanding less than 10,000,000 shares of Class B common stock (subject to adjustment for stock splits, stock dividends, stock combinations and the like).</w:t>
      </w:r>
    </w:p>
    <w:p>
      <w:pPr>
        <w:spacing w:after="0" w:line="200" w:lineRule="exact"/>
        <w:rPr>
          <w:sz w:val="20"/>
          <w:szCs w:val="20"/>
          <w:color w:val="auto"/>
        </w:rPr>
      </w:pPr>
    </w:p>
    <w:p>
      <w:pPr>
        <w:sectPr>
          <w:pgSz w:w="11900" w:h="16838" w:orient="portrait"/>
          <w:cols w:equalWidth="0" w:num="2">
            <w:col w:w="4480" w:space="360"/>
            <w:col w:w="4820"/>
          </w:cols>
          <w:pgMar w:left="1020" w:top="1440"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7</w:t>
      </w:r>
    </w:p>
    <w:p>
      <w:pPr>
        <w:sectPr>
          <w:pgSz w:w="11900" w:h="16838" w:orient="portrait"/>
          <w:cols w:equalWidth="0" w:num="1">
            <w:col w:w="9660"/>
          </w:cols>
          <w:pgMar w:left="1020" w:top="1440" w:right="1219" w:bottom="144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9735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6973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tabs>
          <w:tab w:leader="none" w:pos="484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estimate that our net proceeds from the sale of our Class A</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common stock that we are offering will be approximately</w:t>
      </w:r>
    </w:p>
    <w:p>
      <w:pPr>
        <w:spacing w:after="0" w:line="9" w:lineRule="exact"/>
        <w:rPr>
          <w:sz w:val="20"/>
          <w:szCs w:val="20"/>
          <w:color w:val="auto"/>
        </w:rPr>
      </w:pPr>
    </w:p>
    <w:p>
      <w:pPr>
        <w:ind w:left="4860"/>
        <w:spacing w:after="0"/>
        <w:tabs>
          <w:tab w:leader="none" w:pos="5740" w:val="left"/>
          <w:tab w:leader="none" w:pos="85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million (or approximately $</w:t>
      </w:r>
      <w:r>
        <w:rPr>
          <w:sz w:val="20"/>
          <w:szCs w:val="20"/>
          <w:color w:val="auto"/>
        </w:rPr>
        <w:tab/>
      </w:r>
      <w:r>
        <w:rPr>
          <w:rFonts w:ascii="Arial" w:cs="Arial" w:eastAsia="Arial" w:hAnsi="Arial"/>
          <w:sz w:val="17"/>
          <w:szCs w:val="17"/>
          <w:color w:val="auto"/>
        </w:rPr>
        <w:t>million if the</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underwriters exercise their option to purchase additional shares in</w:t>
      </w:r>
    </w:p>
    <w:p>
      <w:pPr>
        <w:spacing w:after="0" w:line="21" w:lineRule="exact"/>
        <w:rPr>
          <w:sz w:val="20"/>
          <w:szCs w:val="20"/>
          <w:color w:val="auto"/>
        </w:rPr>
      </w:pPr>
    </w:p>
    <w:p>
      <w:pPr>
        <w:ind w:left="4860"/>
        <w:spacing w:after="0"/>
        <w:tabs>
          <w:tab w:leader="none" w:pos="9120" w:val="left"/>
        </w:tabs>
        <w:rPr>
          <w:sz w:val="20"/>
          <w:szCs w:val="20"/>
          <w:color w:val="auto"/>
        </w:rPr>
      </w:pPr>
      <w:r>
        <w:rPr>
          <w:rFonts w:ascii="Arial" w:cs="Arial" w:eastAsia="Arial" w:hAnsi="Arial"/>
          <w:sz w:val="18"/>
          <w:szCs w:val="18"/>
          <w:color w:val="auto"/>
        </w:rPr>
        <w:t>full), assuming an initial public offering price of $</w:t>
      </w:r>
      <w:r>
        <w:rPr>
          <w:sz w:val="20"/>
          <w:szCs w:val="20"/>
          <w:color w:val="auto"/>
        </w:rPr>
        <w:tab/>
      </w:r>
      <w:r>
        <w:rPr>
          <w:rFonts w:ascii="Arial" w:cs="Arial" w:eastAsia="Arial" w:hAnsi="Arial"/>
          <w:sz w:val="16"/>
          <w:szCs w:val="16"/>
          <w:color w:val="auto"/>
        </w:rPr>
        <w:t>per</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share, the midpoint of the estimated price range set forth on the</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cover page of this prospectus, and after deducting underwriting</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discounts and commissions and estimated offering expenses.</w:t>
      </w:r>
    </w:p>
    <w:p>
      <w:pPr>
        <w:spacing w:after="0" w:line="157"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We intend to use the net proceeds we receive from this offering for</w:t>
      </w:r>
    </w:p>
    <w:p>
      <w:pPr>
        <w:spacing w:after="0" w:line="35"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general corporate purposes, including working capital, operating</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expenses and capital expenditures. In addition, we intend to use</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approximately $29.0 million of the net proceeds we receive from</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this offering to repay all outstanding principal amounts and</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accrued interest under certain promissory notes held by family</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trusts affiliated with Jacob Gibson, one of our Co-founders. We</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may also use a portion of the net proceeds for acquisitions and/or</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strategic investments in complementary businesses, products,</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services or technologies, although we do not currently have any</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plans or commitments for any such acquisitions or investments.</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See the section titled “Use of Proceeds” for additional</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information.</w:t>
      </w:r>
    </w:p>
    <w:p>
      <w:pPr>
        <w:spacing w:after="0" w:line="103" w:lineRule="exact"/>
        <w:rPr>
          <w:sz w:val="20"/>
          <w:szCs w:val="20"/>
          <w:color w:val="auto"/>
        </w:rPr>
      </w:pPr>
    </w:p>
    <w:p>
      <w:pPr>
        <w:ind w:left="20"/>
        <w:spacing w:after="0"/>
        <w:tabs>
          <w:tab w:leader="none" w:pos="4840" w:val="left"/>
        </w:tabs>
        <w:rPr>
          <w:sz w:val="20"/>
          <w:szCs w:val="20"/>
          <w:color w:val="auto"/>
        </w:rPr>
      </w:pPr>
      <w:r>
        <w:rPr>
          <w:rFonts w:ascii="Arial" w:cs="Arial" w:eastAsia="Arial" w:hAnsi="Arial"/>
          <w:sz w:val="18"/>
          <w:szCs w:val="18"/>
          <w:color w:val="auto"/>
        </w:rPr>
        <w:t>Proposed trading symbol</w:t>
      </w:r>
      <w:r>
        <w:rPr>
          <w:sz w:val="20"/>
          <w:szCs w:val="20"/>
          <w:color w:val="auto"/>
        </w:rPr>
        <w:tab/>
      </w:r>
      <w:r>
        <w:rPr>
          <w:rFonts w:ascii="Arial" w:cs="Arial" w:eastAsia="Arial" w:hAnsi="Arial"/>
          <w:sz w:val="18"/>
          <w:szCs w:val="18"/>
          <w:color w:val="auto"/>
        </w:rPr>
        <w:t>“NRDS”</w:t>
      </w:r>
    </w:p>
    <w:p>
      <w:pPr>
        <w:spacing w:after="0" w:line="1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number of shares of our Class A common stock that will be outstanding after this offering is based on 51,002,876 shares of our Class A common stock outstanding as of June 30, 2021 (including shares of our redeemable convertible preferred stock on an as-converted basis, assuming a 1:1 conversion) and 63,371,308 shares of our Class B common stock outstanding as of June 30, 2021, and excludes:</w:t>
      </w:r>
    </w:p>
    <w:p>
      <w:pPr>
        <w:spacing w:after="0" w:line="133" w:lineRule="exact"/>
        <w:rPr>
          <w:sz w:val="20"/>
          <w:szCs w:val="20"/>
          <w:color w:val="auto"/>
        </w:rPr>
      </w:pPr>
    </w:p>
    <w:p>
      <w:pPr>
        <w:ind w:left="640" w:right="20" w:hanging="322"/>
        <w:spacing w:after="0" w:line="277"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14,907,678 shares of our Class A common stock issuable upon the exercise of options to purchase shares of our Class A common stock outstanding as of June 30, 2021, with a weighted average exercise price of $4.18 per share;</w:t>
      </w:r>
    </w:p>
    <w:p>
      <w:pPr>
        <w:spacing w:after="0" w:line="116" w:lineRule="exact"/>
        <w:rPr>
          <w:rFonts w:ascii="Arial" w:cs="Arial" w:eastAsia="Arial" w:hAnsi="Arial"/>
          <w:sz w:val="18"/>
          <w:szCs w:val="18"/>
          <w:color w:val="auto"/>
        </w:rPr>
      </w:pPr>
    </w:p>
    <w:p>
      <w:pPr>
        <w:ind w:left="640" w:hanging="32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5,542,675 shares of our Class A common stock issuable upon the vesting of RSUs outstanding as of June 30, 2021;</w:t>
      </w:r>
    </w:p>
    <w:p>
      <w:pPr>
        <w:spacing w:after="0" w:line="171" w:lineRule="exact"/>
        <w:rPr>
          <w:rFonts w:ascii="Arial" w:cs="Arial" w:eastAsia="Arial" w:hAnsi="Arial"/>
          <w:sz w:val="18"/>
          <w:szCs w:val="18"/>
          <w:color w:val="auto"/>
        </w:rPr>
      </w:pPr>
    </w:p>
    <w:p>
      <w:pPr>
        <w:ind w:left="1600" w:hanging="1282"/>
        <w:spacing w:after="0"/>
        <w:tabs>
          <w:tab w:leader="none" w:pos="16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shares of our Class A common stock reserved for future issuance under our equity compensation plans, consisting</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of:</w:t>
      </w:r>
    </w:p>
    <w:p>
      <w:pPr>
        <w:spacing w:after="0" w:line="156" w:lineRule="exact"/>
        <w:rPr>
          <w:rFonts w:ascii="Arial" w:cs="Arial" w:eastAsia="Arial" w:hAnsi="Arial"/>
          <w:sz w:val="16"/>
          <w:szCs w:val="16"/>
          <w:color w:val="auto"/>
        </w:rPr>
      </w:pPr>
    </w:p>
    <w:p>
      <w:pPr>
        <w:ind w:left="960" w:right="20" w:hanging="318"/>
        <w:spacing w:after="0" w:line="277" w:lineRule="auto"/>
        <w:tabs>
          <w:tab w:leader="none" w:pos="955" w:val="left"/>
        </w:tabs>
        <w:numPr>
          <w:ilvl w:val="1"/>
          <w:numId w:val="13"/>
        </w:numPr>
        <w:rPr>
          <w:rFonts w:ascii="Arial" w:cs="Arial" w:eastAsia="Arial" w:hAnsi="Arial"/>
          <w:sz w:val="18"/>
          <w:szCs w:val="18"/>
          <w:color w:val="auto"/>
        </w:rPr>
      </w:pPr>
      <w:r>
        <w:rPr>
          <w:rFonts w:ascii="Arial" w:cs="Arial" w:eastAsia="Arial" w:hAnsi="Arial"/>
          <w:sz w:val="18"/>
          <w:szCs w:val="18"/>
          <w:color w:val="auto"/>
        </w:rPr>
        <w:t>2,244,628 shares of our Class A common stock reserved for future issuance under our 2012 Equity Incentive Plan, or the 2012 Plan, as of June 30, 2021;</w:t>
      </w:r>
    </w:p>
    <w:p>
      <w:pPr>
        <w:spacing w:after="0" w:line="116" w:lineRule="exact"/>
        <w:rPr>
          <w:rFonts w:ascii="Arial" w:cs="Arial" w:eastAsia="Arial" w:hAnsi="Arial"/>
          <w:sz w:val="18"/>
          <w:szCs w:val="18"/>
          <w:color w:val="auto"/>
        </w:rPr>
      </w:pPr>
    </w:p>
    <w:p>
      <w:pPr>
        <w:ind w:left="960" w:right="20" w:hanging="318"/>
        <w:spacing w:after="0" w:line="308" w:lineRule="auto"/>
        <w:tabs>
          <w:tab w:leader="none" w:pos="1495" w:val="left"/>
        </w:tabs>
        <w:numPr>
          <w:ilvl w:val="1"/>
          <w:numId w:val="13"/>
        </w:numPr>
        <w:rPr>
          <w:rFonts w:ascii="Arial" w:cs="Arial" w:eastAsia="Arial" w:hAnsi="Arial"/>
          <w:sz w:val="17"/>
          <w:szCs w:val="17"/>
          <w:color w:val="auto"/>
        </w:rPr>
      </w:pPr>
      <w:r>
        <w:rPr>
          <w:rFonts w:ascii="Arial" w:cs="Arial" w:eastAsia="Arial" w:hAnsi="Arial"/>
          <w:sz w:val="17"/>
          <w:szCs w:val="17"/>
          <w:color w:val="auto"/>
        </w:rPr>
        <w:t>shares of our Class A common stock reserved for future issuance under the 2021 Equity Incentive Plan, or the 2021 Plan, which includes an annual evergreen increase and will become effective in connection with this offering; and</w:t>
      </w:r>
    </w:p>
    <w:p>
      <w:pPr>
        <w:spacing w:after="0" w:line="92" w:lineRule="exact"/>
        <w:rPr>
          <w:rFonts w:ascii="Arial" w:cs="Arial" w:eastAsia="Arial" w:hAnsi="Arial"/>
          <w:sz w:val="17"/>
          <w:szCs w:val="17"/>
          <w:color w:val="auto"/>
        </w:rPr>
      </w:pPr>
    </w:p>
    <w:p>
      <w:pPr>
        <w:ind w:left="960" w:hanging="318"/>
        <w:spacing w:after="0" w:line="342" w:lineRule="auto"/>
        <w:tabs>
          <w:tab w:leader="none" w:pos="1486" w:val="left"/>
        </w:tabs>
        <w:numPr>
          <w:ilvl w:val="1"/>
          <w:numId w:val="13"/>
        </w:numPr>
        <w:rPr>
          <w:rFonts w:ascii="Arial" w:cs="Arial" w:eastAsia="Arial" w:hAnsi="Arial"/>
          <w:sz w:val="16"/>
          <w:szCs w:val="16"/>
          <w:color w:val="auto"/>
        </w:rPr>
      </w:pPr>
      <w:r>
        <w:rPr>
          <w:rFonts w:ascii="Arial" w:cs="Arial" w:eastAsia="Arial" w:hAnsi="Arial"/>
          <w:sz w:val="16"/>
          <w:szCs w:val="16"/>
          <w:color w:val="auto"/>
        </w:rPr>
        <w:t>shares of our Class A common stock reserved for future issuance under our 2021 Employee Stock Purchase Plan, or the ESPP, which includes an annual evergreen increase and will become effective in connection with this offering.</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8</w:t>
      </w:r>
    </w:p>
    <w:p>
      <w:pPr>
        <w:sectPr>
          <w:pgSz w:w="11900" w:h="16838" w:orient="portrait"/>
          <w:cols w:equalWidth="0" w:num="1">
            <w:col w:w="9900"/>
          </w:cols>
          <w:pgMar w:left="1000" w:top="1440" w:right="999" w:bottom="144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3321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3321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
        <w:spacing w:after="0"/>
        <w:rPr>
          <w:sz w:val="20"/>
          <w:szCs w:val="20"/>
          <w:color w:val="auto"/>
        </w:rPr>
      </w:pPr>
      <w:r>
        <w:rPr>
          <w:rFonts w:ascii="Arial" w:cs="Arial" w:eastAsia="Arial" w:hAnsi="Arial"/>
          <w:sz w:val="18"/>
          <w:szCs w:val="18"/>
          <w:color w:val="auto"/>
        </w:rPr>
        <w:t>Unless otherwise indicated, the information in this prospectus assumes:</w:t>
      </w:r>
    </w:p>
    <w:p>
      <w:pPr>
        <w:spacing w:after="0" w:line="171" w:lineRule="exact"/>
        <w:rPr>
          <w:sz w:val="20"/>
          <w:szCs w:val="20"/>
          <w:color w:val="auto"/>
        </w:rPr>
      </w:pPr>
    </w:p>
    <w:p>
      <w:pPr>
        <w:ind w:left="322" w:hanging="322"/>
        <w:spacing w:after="0" w:line="258" w:lineRule="auto"/>
        <w:tabs>
          <w:tab w:leader="none" w:pos="317"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initial public offering price of $per share, which is the midpoint of the estimated offering price range set forth on the cover page of this prospectus;</w:t>
      </w:r>
    </w:p>
    <w:p>
      <w:pPr>
        <w:spacing w:after="0" w:line="363" w:lineRule="exact"/>
        <w:rPr>
          <w:rFonts w:ascii="Arial" w:cs="Arial" w:eastAsia="Arial" w:hAnsi="Arial"/>
          <w:sz w:val="18"/>
          <w:szCs w:val="18"/>
          <w:color w:val="auto"/>
        </w:rPr>
      </w:pPr>
    </w:p>
    <w:p>
      <w:pPr>
        <w:ind w:left="322" w:hanging="322"/>
        <w:spacing w:after="0" w:line="277" w:lineRule="auto"/>
        <w:tabs>
          <w:tab w:leader="none" w:pos="31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and the effectiveness of our amended and restated bylaws, each of which will occur immediately prior to the completion of this offering;</w:t>
      </w:r>
    </w:p>
    <w:p>
      <w:pPr>
        <w:spacing w:after="0" w:line="116" w:lineRule="exact"/>
        <w:rPr>
          <w:rFonts w:ascii="Arial" w:cs="Arial" w:eastAsia="Arial" w:hAnsi="Arial"/>
          <w:sz w:val="18"/>
          <w:szCs w:val="18"/>
          <w:color w:val="auto"/>
        </w:rPr>
      </w:pPr>
    </w:p>
    <w:p>
      <w:pPr>
        <w:ind w:left="322" w:hanging="322"/>
        <w:spacing w:after="0"/>
        <w:tabs>
          <w:tab w:leader="none" w:pos="322"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1-for- reverse stock split of our capital stock to be effected prior to the closing of this offering;</w:t>
      </w:r>
    </w:p>
    <w:p>
      <w:pPr>
        <w:sectPr>
          <w:pgSz w:w="11900" w:h="16838" w:orient="portrait"/>
          <w:cols w:equalWidth="0" w:num="1">
            <w:col w:w="9582"/>
          </w:cols>
          <w:pgMar w:left="1318" w:top="1440" w:right="999" w:bottom="1440" w:gutter="0" w:footer="0" w:header="0"/>
        </w:sectPr>
      </w:pPr>
    </w:p>
    <w:p>
      <w:pPr>
        <w:spacing w:after="0" w:line="171" w:lineRule="exact"/>
        <w:rPr>
          <w:sz w:val="20"/>
          <w:szCs w:val="20"/>
          <w:color w:val="auto"/>
        </w:rPr>
      </w:pPr>
    </w:p>
    <w:p>
      <w:pPr>
        <w:ind w:left="2"/>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right="100" w:hanging="4"/>
        <w:spacing w:after="0" w:line="277" w:lineRule="auto"/>
        <w:rPr>
          <w:sz w:val="20"/>
          <w:szCs w:val="20"/>
          <w:color w:val="auto"/>
        </w:rPr>
      </w:pPr>
      <w:r>
        <w:rPr>
          <w:rFonts w:ascii="Arial" w:cs="Arial" w:eastAsia="Arial" w:hAnsi="Arial"/>
          <w:sz w:val="18"/>
          <w:szCs w:val="18"/>
          <w:color w:val="auto"/>
        </w:rPr>
        <w:t>the automatic conversion of all outstanding shares of our redeemable convertible preferred stock into Class A common stock immediately prior to the completion of this offering;</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shares of our</w:t>
      </w:r>
    </w:p>
    <w:p>
      <w:pPr>
        <w:spacing w:after="0" w:line="409" w:lineRule="exact"/>
        <w:rPr>
          <w:sz w:val="20"/>
          <w:szCs w:val="20"/>
          <w:color w:val="auto"/>
        </w:rPr>
      </w:pPr>
    </w:p>
    <w:p>
      <w:pPr>
        <w:sectPr>
          <w:pgSz w:w="11900" w:h="16838" w:orient="portrait"/>
          <w:cols w:equalWidth="0" w:num="3">
            <w:col w:w="62" w:space="260"/>
            <w:col w:w="7560" w:space="720"/>
            <w:col w:w="980"/>
          </w:cols>
          <w:pgMar w:left="1318" w:top="1440" w:right="999" w:bottom="1440" w:gutter="0" w:footer="0" w:header="0"/>
          <w:type w:val="continuous"/>
        </w:sectPr>
      </w:pPr>
    </w:p>
    <w:p>
      <w:pPr>
        <w:ind w:left="322" w:hanging="322"/>
        <w:spacing w:after="0" w:line="277" w:lineRule="auto"/>
        <w:tabs>
          <w:tab w:leader="none" w:pos="31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reclassification of all 63,371,308 outstanding shares of our Class F common stock into an equal number of shares of our Class B common stock;</w:t>
      </w:r>
    </w:p>
    <w:p>
      <w:pPr>
        <w:spacing w:after="0" w:line="116" w:lineRule="exact"/>
        <w:rPr>
          <w:rFonts w:ascii="Arial" w:cs="Arial" w:eastAsia="Arial" w:hAnsi="Arial"/>
          <w:sz w:val="18"/>
          <w:szCs w:val="18"/>
          <w:color w:val="auto"/>
        </w:rPr>
      </w:pPr>
    </w:p>
    <w:p>
      <w:pPr>
        <w:ind w:left="322" w:hanging="322"/>
        <w:spacing w:after="0"/>
        <w:tabs>
          <w:tab w:leader="none" w:pos="322"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exercise of the outstanding options described above; and</w:t>
      </w:r>
    </w:p>
    <w:p>
      <w:pPr>
        <w:spacing w:after="0" w:line="171" w:lineRule="exact"/>
        <w:rPr>
          <w:rFonts w:ascii="Arial" w:cs="Arial" w:eastAsia="Arial" w:hAnsi="Arial"/>
          <w:sz w:val="18"/>
          <w:szCs w:val="18"/>
          <w:color w:val="auto"/>
        </w:rPr>
      </w:pPr>
    </w:p>
    <w:p>
      <w:pPr>
        <w:ind w:left="322" w:hanging="322"/>
        <w:spacing w:after="0"/>
        <w:tabs>
          <w:tab w:leader="none" w:pos="322"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38"/>
        <w:spacing w:after="0"/>
        <w:rPr>
          <w:sz w:val="20"/>
          <w:szCs w:val="20"/>
          <w:color w:val="auto"/>
        </w:rPr>
      </w:pPr>
      <w:r>
        <w:rPr>
          <w:rFonts w:ascii="Arial" w:cs="Arial" w:eastAsia="Arial" w:hAnsi="Arial"/>
          <w:sz w:val="16"/>
          <w:szCs w:val="16"/>
          <w:b w:val="1"/>
          <w:bCs w:val="1"/>
          <w:color w:val="auto"/>
        </w:rPr>
        <w:t>9</w:t>
      </w:r>
    </w:p>
    <w:p>
      <w:pPr>
        <w:sectPr>
          <w:pgSz w:w="11900" w:h="16838" w:orient="portrait"/>
          <w:cols w:equalWidth="0" w:num="1">
            <w:col w:w="9582"/>
          </w:cols>
          <w:pgMar w:left="1318" w:top="1440" w:right="999" w:bottom="144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30816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3081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CONSOLIDATED FINANCIAL DATA</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following tables summarize our consolidated financial and other data. The summary consolidated statements of operations data for the years ended December 31, 2019 and 2020 have been derived from our audited consolidated financial statements included elsewhere in this prospectus. The summary consolidated statements of operations data for the six months ended June 30, 2020 and 2021 and the consolidated balance sheet data as of June 30, 2021 have been derived from our unaudited interim consolidated financial statements included elsewhere in this prospectus. In management’s opinion, the unaudited interim consolidated financial statements have been prepared on the same basis as the annual financial statements and reflect all adjustments necessary to state fairly our financial position as of June 30, 2021 and our results of operations and cash flows for the six months ended June 30, 2020 and 2021. Our historical results are not necessarily indicative of the results that may be expected in the future, and our results for the six months ended June 30, 2021 are not necessarily indicative of the results expected for the full year ending December 31, 2021 or any future period. You should read the following summary consolidated financial and other data together with the section titled “Management’s Discussion and Analysis of Financial Condition and Results of Operations” and our consolidated financial statements and related notes included elsewhere in this prospectus. The summary consolidated financial and other data are not intended to replace, and are qualified in their entirety by, our consolidated financial statements and related notes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10</w:t>
      </w:r>
    </w:p>
    <w:p>
      <w:pPr>
        <w:sectPr>
          <w:pgSz w:w="11900" w:h="16838" w:orient="portrait"/>
          <w:cols w:equalWidth="0" w:num="1">
            <w:col w:w="9900"/>
          </w:cols>
          <w:pgMar w:left="1000" w:top="1440" w:right="99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82162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821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Consolidated Statements of Operations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2740" w:type="dxa"/>
            <w:vAlign w:val="bottom"/>
            <w:gridSpan w:val="6"/>
          </w:tcPr>
          <w:p>
            <w:pPr>
              <w:ind w:left="52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6"/>
                <w:szCs w:val="16"/>
                <w:color w:val="auto"/>
              </w:rPr>
            </w:pPr>
          </w:p>
        </w:tc>
        <w:tc>
          <w:tcPr>
            <w:tcW w:w="234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45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5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6"/>
        </w:trPr>
        <w:tc>
          <w:tcPr>
            <w:tcW w:w="45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5"/>
          </w:tcPr>
          <w:p>
            <w:pPr>
              <w:spacing w:after="0"/>
              <w:rPr>
                <w:sz w:val="20"/>
                <w:szCs w:val="20"/>
                <w:color w:val="auto"/>
              </w:rPr>
            </w:pPr>
            <w:r>
              <w:rPr>
                <w:rFonts w:ascii="Arial" w:cs="Arial" w:eastAsia="Arial" w:hAnsi="Arial"/>
                <w:sz w:val="14"/>
                <w:szCs w:val="14"/>
                <w:b w:val="1"/>
                <w:bCs w:val="1"/>
                <w:color w:val="auto"/>
                <w:w w:val="99"/>
              </w:rPr>
              <w:t>(in millions, except per share amounts)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228.3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Costs and expenses:</w:t>
            </w: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Cost of revenue</w:t>
            </w:r>
          </w:p>
        </w:tc>
        <w:tc>
          <w:tcPr>
            <w:tcW w:w="8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0"/>
        </w:trPr>
        <w:tc>
          <w:tcPr>
            <w:tcW w:w="4540" w:type="dxa"/>
            <w:vAlign w:val="bottom"/>
          </w:tcPr>
          <w:p>
            <w:pPr>
              <w:ind w:left="240"/>
              <w:spacing w:after="0"/>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23"/>
                <w:szCs w:val="23"/>
                <w:color w:val="auto"/>
                <w:vertAlign w:val="superscript"/>
              </w:rPr>
              <w:t>(1)</w:t>
            </w:r>
          </w:p>
        </w:tc>
        <w:tc>
          <w:tcPr>
            <w:tcW w:w="8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46.0</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0"/>
        </w:trPr>
        <w:tc>
          <w:tcPr>
            <w:tcW w:w="4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23"/>
                <w:szCs w:val="23"/>
                <w:color w:val="auto"/>
                <w:vertAlign w:val="superscript"/>
              </w:rPr>
              <w:t>(1)</w:t>
            </w:r>
          </w:p>
        </w:tc>
        <w:tc>
          <w:tcPr>
            <w:tcW w:w="80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115.6</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70"/>
        </w:trPr>
        <w:tc>
          <w:tcPr>
            <w:tcW w:w="4540" w:type="dxa"/>
            <w:vAlign w:val="bottom"/>
          </w:tcPr>
          <w:p>
            <w:pPr>
              <w:ind w:left="240"/>
              <w:spacing w:after="0"/>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3"/>
                <w:szCs w:val="23"/>
                <w:color w:val="auto"/>
                <w:vertAlign w:val="superscript"/>
              </w:rPr>
              <w:t>(1)</w:t>
            </w:r>
          </w:p>
        </w:tc>
        <w:tc>
          <w:tcPr>
            <w:tcW w:w="8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1"/>
              </w:rPr>
              <w:t>Change in fair value of contingent considerations related to</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earnouts</w:t>
            </w:r>
          </w:p>
        </w:tc>
        <w:tc>
          <w:tcPr>
            <w:tcW w:w="8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b w:val="1"/>
                <w:bCs w:val="1"/>
                <w:color w:val="auto"/>
              </w:rPr>
              <w:t>Total costs and expenses</w:t>
            </w:r>
          </w:p>
        </w:tc>
        <w:tc>
          <w:tcPr>
            <w:tcW w:w="8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199.9</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8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8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4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8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gains (losses), net</w:t>
            </w:r>
          </w:p>
        </w:tc>
        <w:tc>
          <w:tcPr>
            <w:tcW w:w="8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color w:val="auto"/>
              </w:rPr>
              <w:t>Total other income (expense)</w:t>
            </w:r>
          </w:p>
        </w:tc>
        <w:tc>
          <w:tcPr>
            <w:tcW w:w="8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8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8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80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8"/>
              </w:rPr>
              <w:t>NET INCOME (LOSS) PER SHARE ATTRIBUTABLE TO</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54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00"/>
              <w:spacing w:after="0"/>
              <w:rPr>
                <w:sz w:val="20"/>
                <w:szCs w:val="20"/>
                <w:color w:val="auto"/>
              </w:rPr>
            </w:pPr>
            <w:r>
              <w:rPr>
                <w:rFonts w:ascii="Arial" w:cs="Arial" w:eastAsia="Arial" w:hAnsi="Arial"/>
                <w:sz w:val="18"/>
                <w:szCs w:val="18"/>
                <w:color w:val="auto"/>
              </w:rPr>
              <w:t>COMMON STOCKHOLDERS</w:t>
            </w: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Diluted</w:t>
            </w:r>
          </w:p>
        </w:tc>
        <w:tc>
          <w:tcPr>
            <w:tcW w:w="800" w:type="dxa"/>
            <w:vAlign w:val="bottom"/>
          </w:tcPr>
          <w:p>
            <w:pPr>
              <w:jc w:val="right"/>
              <w:ind w:right="59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0.22</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WEIGHTED-AVERAGE SHARES USED IN COMPUTING</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 PER SHARE ATTRIBUTABLE</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 COMMON STOCKHOLDERS</w:t>
            </w:r>
          </w:p>
        </w:tc>
        <w:tc>
          <w:tcPr>
            <w:tcW w:w="8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220"/>
              <w:spacing w:after="0"/>
              <w:rPr>
                <w:sz w:val="20"/>
                <w:szCs w:val="20"/>
                <w:color w:val="auto"/>
              </w:rPr>
            </w:pPr>
            <w:r>
              <w:rPr>
                <w:rFonts w:ascii="Arial" w:cs="Arial" w:eastAsia="Arial" w:hAnsi="Arial"/>
                <w:sz w:val="18"/>
                <w:szCs w:val="18"/>
                <w:color w:val="auto"/>
              </w:rPr>
              <w:t>Class A:</w:t>
            </w: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Basic</w:t>
            </w:r>
          </w:p>
        </w:tc>
        <w:tc>
          <w:tcPr>
            <w:tcW w:w="8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43"/>
        </w:trPr>
        <w:tc>
          <w:tcPr>
            <w:tcW w:w="4540" w:type="dxa"/>
            <w:vAlign w:val="bottom"/>
          </w:tcPr>
          <w:p>
            <w:pPr>
              <w:ind w:left="460"/>
              <w:spacing w:after="0"/>
              <w:rPr>
                <w:sz w:val="20"/>
                <w:szCs w:val="20"/>
                <w:color w:val="auto"/>
              </w:rPr>
            </w:pPr>
            <w:r>
              <w:rPr>
                <w:rFonts w:ascii="Arial" w:cs="Arial" w:eastAsia="Arial" w:hAnsi="Arial"/>
                <w:sz w:val="18"/>
                <w:szCs w:val="18"/>
                <w:color w:val="auto"/>
              </w:rPr>
              <w:t>Diluted</w:t>
            </w:r>
          </w:p>
        </w:tc>
        <w:tc>
          <w:tcPr>
            <w:tcW w:w="8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Class F:</w:t>
            </w:r>
          </w:p>
        </w:tc>
        <w:tc>
          <w:tcPr>
            <w:tcW w:w="8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540" w:type="dxa"/>
            <w:vAlign w:val="bottom"/>
          </w:tcPr>
          <w:p>
            <w:pPr>
              <w:ind w:left="460"/>
              <w:spacing w:after="0"/>
              <w:rPr>
                <w:sz w:val="20"/>
                <w:szCs w:val="20"/>
                <w:color w:val="auto"/>
              </w:rPr>
            </w:pPr>
            <w:r>
              <w:rPr>
                <w:rFonts w:ascii="Arial" w:cs="Arial" w:eastAsia="Arial" w:hAnsi="Arial"/>
                <w:sz w:val="18"/>
                <w:szCs w:val="18"/>
                <w:color w:val="auto"/>
              </w:rPr>
              <w:t>Basic</w:t>
            </w:r>
          </w:p>
        </w:tc>
        <w:tc>
          <w:tcPr>
            <w:tcW w:w="8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68.6</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70"/>
        </w:trPr>
        <w:tc>
          <w:tcPr>
            <w:tcW w:w="45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Diluted</w:t>
            </w:r>
          </w:p>
        </w:tc>
        <w:tc>
          <w:tcPr>
            <w:tcW w:w="80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 FORMA NET INCOME (LOSS) PER SHARE</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ATTRIBUTABLE TO COMMON STOCKHOLDERS</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Basic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Diluted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WEIGHTED-AVERAGE SHARES USED IN COMPUTING</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 FORMA NET INCOME (LOSS) PER SHARE</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ATTRIBUTABLE TO COMMON STOCKHOLDERS</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Basic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Diluted</w:t>
      </w:r>
    </w:p>
    <w:p>
      <w:pPr>
        <w:sectPr>
          <w:pgSz w:w="11900" w:h="16838" w:orient="portrait"/>
          <w:cols w:equalWidth="0" w:num="1">
            <w:col w:w="9900"/>
          </w:cols>
          <w:pgMar w:left="980" w:top="1440" w:right="1019" w:bottom="5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11</w:t>
      </w:r>
    </w:p>
    <w:p>
      <w:pPr>
        <w:sectPr>
          <w:pgSz w:w="11900" w:h="16838" w:orient="portrait"/>
          <w:cols w:equalWidth="0" w:num="1">
            <w:col w:w="9900"/>
          </w:cols>
          <w:pgMar w:left="980" w:top="1440" w:right="1019" w:bottom="502" w:gutter="0" w:footer="0" w:header="0"/>
          <w:type w:val="continuous"/>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047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720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w:t>
      </w:r>
    </w:p>
    <w:p>
      <w:pPr>
        <w:spacing w:after="0" w:line="13"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4"/>
          <w:szCs w:val="14"/>
          <w:color w:val="auto"/>
        </w:rPr>
        <w:t>(1)</w:t>
        <w:tab/>
        <w:t>Includes stock-based compensation expense as follows:</w:t>
      </w:r>
    </w:p>
    <w:p>
      <w:pPr>
        <w:spacing w:after="0" w:line="39" w:lineRule="exact"/>
        <w:rPr>
          <w:sz w:val="20"/>
          <w:szCs w:val="20"/>
          <w:color w:val="auto"/>
        </w:rPr>
      </w:pPr>
    </w:p>
    <w:tbl>
      <w:tblPr>
        <w:tblLayout w:type="fixed"/>
        <w:tblInd w:w="260" w:type="dxa"/>
        <w:tblCellMar>
          <w:top w:w="0" w:type="dxa"/>
          <w:left w:w="0" w:type="dxa"/>
          <w:bottom w:w="0" w:type="dxa"/>
          <w:right w:w="0" w:type="dxa"/>
        </w:tblCellMar>
      </w:tblPr>
      <w:tr>
        <w:trPr>
          <w:trHeight w:val="186"/>
        </w:trPr>
        <w:tc>
          <w:tcPr>
            <w:tcW w:w="4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10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7"/>
          </w:tcPr>
          <w:p>
            <w:pPr>
              <w:ind w:left="1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4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840" w:type="dxa"/>
            <w:vAlign w:val="bottom"/>
          </w:tcPr>
          <w:p>
            <w:pPr>
              <w:jc w:val="right"/>
              <w:ind w:right="24"/>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2"/>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335"/>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w w:val="99"/>
              </w:rPr>
              <w:t>(in millions)</w:t>
            </w: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0" w:type="dxa"/>
            <w:vAlign w:val="bottom"/>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0" w:type="dxa"/>
            <w:vAlign w:val="bottom"/>
          </w:tcPr>
          <w:p>
            <w:pPr>
              <w:spacing w:after="0"/>
              <w:rPr>
                <w:sz w:val="22"/>
                <w:szCs w:val="22"/>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 expense</w:t>
            </w:r>
          </w:p>
        </w:tc>
        <w:tc>
          <w:tcPr>
            <w:tcW w:w="840" w:type="dxa"/>
            <w:vAlign w:val="bottom"/>
            <w:shd w:val="clear" w:color="auto" w:fill="CCEEFF"/>
          </w:tcPr>
          <w:p>
            <w:pPr>
              <w:jc w:val="right"/>
              <w:ind w:right="664"/>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642"/>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ind w:left="379"/>
              <w:spacing w:after="0"/>
              <w:rPr>
                <w:sz w:val="20"/>
                <w:szCs w:val="20"/>
                <w:color w:val="auto"/>
              </w:rPr>
            </w:pPr>
            <w:r>
              <w:rPr>
                <w:rFonts w:ascii="Arial" w:cs="Arial" w:eastAsia="Arial" w:hAnsi="Arial"/>
                <w:sz w:val="18"/>
                <w:szCs w:val="18"/>
                <w:color w:val="auto"/>
                <w:w w:val="87"/>
              </w:rPr>
              <w:t>2.4</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00" w:type="dxa"/>
            <w:vAlign w:val="bottom"/>
          </w:tcPr>
          <w:p>
            <w:pPr>
              <w:spacing w:after="0"/>
              <w:rPr>
                <w:sz w:val="22"/>
                <w:szCs w:val="22"/>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Sales and marketing expense</w:t>
            </w:r>
          </w:p>
        </w:tc>
        <w:tc>
          <w:tcPr>
            <w:tcW w:w="84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jc w:val="center"/>
              <w:ind w:left="379"/>
              <w:spacing w:after="0"/>
              <w:rPr>
                <w:sz w:val="20"/>
                <w:szCs w:val="20"/>
                <w:color w:val="auto"/>
              </w:rPr>
            </w:pPr>
            <w:r>
              <w:rPr>
                <w:rFonts w:ascii="Arial" w:cs="Arial" w:eastAsia="Arial" w:hAnsi="Arial"/>
                <w:sz w:val="18"/>
                <w:szCs w:val="18"/>
                <w:color w:val="auto"/>
                <w:w w:val="87"/>
              </w:rPr>
              <w:t>2.3</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400" w:type="dxa"/>
            <w:vAlign w:val="bottom"/>
          </w:tcPr>
          <w:p>
            <w:pPr>
              <w:spacing w:after="0"/>
              <w:rPr>
                <w:sz w:val="23"/>
                <w:szCs w:val="23"/>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w:t>
            </w:r>
          </w:p>
        </w:tc>
        <w:tc>
          <w:tcPr>
            <w:tcW w:w="84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center"/>
              <w:ind w:left="379"/>
              <w:spacing w:after="0"/>
              <w:rPr>
                <w:sz w:val="20"/>
                <w:szCs w:val="20"/>
                <w:color w:val="auto"/>
              </w:rPr>
            </w:pPr>
            <w:r>
              <w:rPr>
                <w:rFonts w:ascii="Arial" w:cs="Arial" w:eastAsia="Arial" w:hAnsi="Arial"/>
                <w:sz w:val="18"/>
                <w:szCs w:val="18"/>
                <w:color w:val="auto"/>
                <w:w w:val="87"/>
              </w:rPr>
              <w:t>1.8</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Arial" w:cs="Arial" w:eastAsia="Arial" w:hAnsi="Arial"/>
                <w:sz w:val="16"/>
                <w:szCs w:val="16"/>
                <w:b w:val="1"/>
                <w:bCs w:val="1"/>
                <w:color w:val="auto"/>
              </w:rPr>
              <w:t>Total stock-based compensation expense</w:t>
            </w:r>
          </w:p>
        </w:tc>
        <w:tc>
          <w:tcPr>
            <w:tcW w:w="840" w:type="dxa"/>
            <w:vAlign w:val="bottom"/>
          </w:tcPr>
          <w:p>
            <w:pPr>
              <w:jc w:val="right"/>
              <w:ind w:right="664"/>
              <w:spacing w:after="0"/>
              <w:rPr>
                <w:sz w:val="20"/>
                <w:szCs w:val="20"/>
                <w:color w:val="auto"/>
              </w:rPr>
            </w:pPr>
            <w:r>
              <w:rPr>
                <w:rFonts w:ascii="Arial" w:cs="Arial" w:eastAsia="Arial" w:hAnsi="Arial"/>
                <w:sz w:val="16"/>
                <w:szCs w:val="16"/>
                <w:color w:val="auto"/>
                <w:w w:val="89"/>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3"/>
                <w:szCs w:val="23"/>
                <w:color w:val="auto"/>
              </w:rPr>
            </w:pPr>
          </w:p>
        </w:tc>
        <w:tc>
          <w:tcPr>
            <w:tcW w:w="820" w:type="dxa"/>
            <w:vAlign w:val="bottom"/>
          </w:tcPr>
          <w:p>
            <w:pPr>
              <w:jc w:val="right"/>
              <w:ind w:right="642"/>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6.4</w:t>
            </w:r>
          </w:p>
        </w:tc>
        <w:tc>
          <w:tcPr>
            <w:tcW w:w="8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4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jc w:val="center"/>
              <w:ind w:left="379"/>
              <w:spacing w:after="0"/>
              <w:rPr>
                <w:sz w:val="20"/>
                <w:szCs w:val="20"/>
                <w:color w:val="auto"/>
              </w:rPr>
            </w:pPr>
            <w:r>
              <w:rPr>
                <w:rFonts w:ascii="Arial" w:cs="Arial" w:eastAsia="Arial" w:hAnsi="Arial"/>
                <w:sz w:val="18"/>
                <w:szCs w:val="18"/>
                <w:color w:val="auto"/>
                <w:w w:val="87"/>
              </w:rPr>
              <w:t>6.5</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ind w:left="80"/>
              <w:spacing w:after="0"/>
              <w:rPr>
                <w:sz w:val="20"/>
                <w:szCs w:val="20"/>
                <w:color w:val="auto"/>
              </w:rPr>
            </w:pPr>
            <w:r>
              <w:rPr>
                <w:rFonts w:ascii="Arial" w:cs="Arial" w:eastAsia="Arial" w:hAnsi="Arial"/>
                <w:sz w:val="18"/>
                <w:szCs w:val="18"/>
                <w:b w:val="1"/>
                <w:bCs w:val="1"/>
                <w:i w:val="1"/>
                <w:iCs w:val="1"/>
                <w:color w:val="auto"/>
              </w:rPr>
              <w:t>Consolidated Balance Sheet Data</w:t>
            </w: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88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June 30,</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86"/>
        </w:trPr>
        <w:tc>
          <w:tcPr>
            <w:tcW w:w="4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center"/>
              <w:ind w:left="379"/>
              <w:spacing w:after="0"/>
              <w:rPr>
                <w:sz w:val="20"/>
                <w:szCs w:val="20"/>
                <w:color w:val="auto"/>
              </w:rPr>
            </w:pPr>
            <w:r>
              <w:rPr>
                <w:rFonts w:ascii="Arial" w:cs="Arial" w:eastAsia="Arial" w:hAnsi="Arial"/>
                <w:sz w:val="14"/>
                <w:szCs w:val="14"/>
                <w:b w:val="1"/>
                <w:bCs w:val="1"/>
                <w:color w:val="auto"/>
                <w:w w:val="96"/>
              </w:rPr>
              <w:t>2021</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00" w:type="dxa"/>
            <w:vAlign w:val="bottom"/>
            <w:gridSpan w:val="4"/>
          </w:tcPr>
          <w:p>
            <w:pPr>
              <w:ind w:left="4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6"/>
        </w:trPr>
        <w:tc>
          <w:tcPr>
            <w:tcW w:w="38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1"/>
              </w:rPr>
              <w:t>41.1</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 xml:space="preserve">Working capital </w:t>
            </w:r>
            <w:r>
              <w:rPr>
                <w:rFonts w:ascii="Arial" w:cs="Arial" w:eastAsia="Arial" w:hAnsi="Arial"/>
                <w:sz w:val="23"/>
                <w:szCs w:val="23"/>
                <w:color w:val="auto"/>
                <w:vertAlign w:val="superscript"/>
              </w:rPr>
              <w:t>(2)</w:t>
            </w: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8"/>
                <w:szCs w:val="18"/>
                <w:color w:val="auto"/>
                <w:w w:val="91"/>
              </w:rPr>
              <w:t>45.6</w:t>
            </w:r>
          </w:p>
        </w:tc>
        <w:tc>
          <w:tcPr>
            <w:tcW w:w="8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242.8</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Total liabilities</w:t>
            </w: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4"/>
          </w:tcPr>
          <w:p>
            <w:pPr>
              <w:jc w:val="right"/>
              <w:ind w:right="140"/>
              <w:spacing w:after="0"/>
              <w:rPr>
                <w:sz w:val="20"/>
                <w:szCs w:val="20"/>
                <w:color w:val="auto"/>
              </w:rPr>
            </w:pPr>
            <w:r>
              <w:rPr>
                <w:rFonts w:ascii="Arial" w:cs="Arial" w:eastAsia="Arial" w:hAnsi="Arial"/>
                <w:sz w:val="18"/>
                <w:szCs w:val="18"/>
                <w:color w:val="auto"/>
              </w:rPr>
              <w:t>121.6</w:t>
            </w: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1"/>
              </w:rPr>
              <w:t>66.7</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Additional paid-in capital</w:t>
            </w: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4"/>
          </w:tcPr>
          <w:p>
            <w:pPr>
              <w:jc w:val="right"/>
              <w:ind w:right="140"/>
              <w:spacing w:after="0"/>
              <w:rPr>
                <w:sz w:val="20"/>
                <w:szCs w:val="20"/>
                <w:color w:val="auto"/>
              </w:rPr>
            </w:pPr>
            <w:r>
              <w:rPr>
                <w:rFonts w:ascii="Arial" w:cs="Arial" w:eastAsia="Arial" w:hAnsi="Arial"/>
                <w:sz w:val="18"/>
                <w:szCs w:val="18"/>
                <w:color w:val="auto"/>
              </w:rPr>
              <w:t>112.5</w:t>
            </w: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4"/>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(58.8)</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Total stockholders’ equity</w:t>
            </w: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8"/>
                <w:szCs w:val="18"/>
                <w:color w:val="auto"/>
                <w:w w:val="91"/>
              </w:rPr>
              <w:t>54.5</w:t>
            </w: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340" w:right="20" w:hanging="326"/>
        <w:spacing w:after="0" w:line="273" w:lineRule="auto"/>
        <w:tabs>
          <w:tab w:leader="none" w:pos="332"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 See our consolidated financial statements and related notes included elsewhere in this prospectus for further details regarding our current assets and current liabilities.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Key Operating Metric and Non-GAAP Financial Measure</w:t>
      </w:r>
    </w:p>
    <w:p>
      <w:pPr>
        <w:spacing w:after="0" w:line="171" w:lineRule="exact"/>
        <w:rPr>
          <w:sz w:val="20"/>
          <w:szCs w:val="20"/>
          <w:color w:val="auto"/>
        </w:rPr>
      </w:pPr>
    </w:p>
    <w:p>
      <w:pPr>
        <w:jc w:val="both"/>
        <w:ind w:left="20" w:right="20" w:firstLine="324"/>
        <w:spacing w:after="0" w:line="263" w:lineRule="auto"/>
        <w:rPr>
          <w:sz w:val="20"/>
          <w:szCs w:val="20"/>
          <w:color w:val="auto"/>
        </w:rPr>
      </w:pPr>
      <w:r>
        <w:rPr>
          <w:rFonts w:ascii="Arial" w:cs="Arial" w:eastAsia="Arial" w:hAnsi="Arial"/>
          <w:sz w:val="18"/>
          <w:szCs w:val="18"/>
          <w:color w:val="auto"/>
        </w:rPr>
        <w:t>In addition to the measures presented in our consolidated financial statements, we use the following key operating metric and non-GAAP measure to help us evaluate our business, identify trends affecting our business, formulate business plans, and make strategic decisions.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22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20" w:type="dxa"/>
            <w:vAlign w:val="bottom"/>
            <w:gridSpan w:val="3"/>
          </w:tcPr>
          <w:p>
            <w:pPr>
              <w:jc w:val="right"/>
              <w:ind w:right="376"/>
              <w:spacing w:after="0"/>
              <w:rPr>
                <w:sz w:val="20"/>
                <w:szCs w:val="20"/>
                <w:color w:val="auto"/>
              </w:rPr>
            </w:pPr>
            <w:r>
              <w:rPr>
                <w:rFonts w:ascii="Arial" w:cs="Arial" w:eastAsia="Arial" w:hAnsi="Arial"/>
                <w:sz w:val="14"/>
                <w:szCs w:val="14"/>
                <w:b w:val="1"/>
                <w:bCs w:val="1"/>
                <w:color w:val="auto"/>
                <w:w w:val="95"/>
              </w:rPr>
              <w:t>Six Months Ended June 30,</w:t>
            </w:r>
          </w:p>
        </w:tc>
      </w:tr>
      <w:tr>
        <w:trPr>
          <w:trHeight w:val="25"/>
        </w:trPr>
        <w:tc>
          <w:tcPr>
            <w:tcW w:w="45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45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6"/>
                <w:szCs w:val="16"/>
                <w:color w:val="auto"/>
              </w:rPr>
            </w:pPr>
          </w:p>
        </w:tc>
        <w:tc>
          <w:tcPr>
            <w:tcW w:w="960" w:type="dxa"/>
            <w:vAlign w:val="bottom"/>
          </w:tcPr>
          <w:p>
            <w:pPr>
              <w:jc w:val="right"/>
              <w:ind w:right="396"/>
              <w:spacing w:after="0"/>
              <w:rPr>
                <w:sz w:val="20"/>
                <w:szCs w:val="20"/>
                <w:color w:val="auto"/>
              </w:rPr>
            </w:pPr>
            <w:r>
              <w:rPr>
                <w:rFonts w:ascii="Arial" w:cs="Arial" w:eastAsia="Arial" w:hAnsi="Arial"/>
                <w:sz w:val="14"/>
                <w:szCs w:val="14"/>
                <w:b w:val="1"/>
                <w:bCs w:val="1"/>
                <w:color w:val="auto"/>
              </w:rPr>
              <w:t>2021</w:t>
            </w:r>
          </w:p>
        </w:tc>
      </w:tr>
      <w:tr>
        <w:trPr>
          <w:trHeight w:val="25"/>
        </w:trPr>
        <w:tc>
          <w:tcPr>
            <w:tcW w:w="45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4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
        </w:trPr>
        <w:tc>
          <w:tcPr>
            <w:tcW w:w="4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Monthly Unique Users</w:t>
            </w:r>
          </w:p>
        </w:tc>
        <w:tc>
          <w:tcPr>
            <w:tcW w:w="8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840" w:type="dxa"/>
            <w:vAlign w:val="bottom"/>
          </w:tcPr>
          <w:p>
            <w:pPr>
              <w:jc w:val="right"/>
              <w:ind w:right="642"/>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44.1</w:t>
            </w:r>
          </w:p>
        </w:tc>
        <w:tc>
          <w:tcPr>
            <w:tcW w:w="900" w:type="dxa"/>
            <w:vAlign w:val="bottom"/>
          </w:tcPr>
          <w:p>
            <w:pPr>
              <w:jc w:val="right"/>
              <w:ind w:right="639"/>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(7.6)</w:t>
            </w:r>
          </w:p>
        </w:tc>
      </w:tr>
    </w:tbl>
    <w:p>
      <w:pPr>
        <w:spacing w:after="0" w:line="175" w:lineRule="exact"/>
        <w:rPr>
          <w:sz w:val="20"/>
          <w:szCs w:val="20"/>
          <w:color w:val="auto"/>
        </w:rPr>
      </w:pPr>
    </w:p>
    <w:p>
      <w:pPr>
        <w:jc w:val="both"/>
        <w:ind w:left="20" w:firstLine="324"/>
        <w:spacing w:after="0" w:line="259" w:lineRule="auto"/>
        <w:rPr>
          <w:sz w:val="20"/>
          <w:szCs w:val="20"/>
          <w:color w:val="auto"/>
        </w:rPr>
      </w:pPr>
      <w:r>
        <w:rPr>
          <w:rFonts w:ascii="Arial" w:cs="Arial" w:eastAsia="Arial" w:hAnsi="Arial"/>
          <w:sz w:val="18"/>
          <w:szCs w:val="18"/>
          <w:color w:val="auto"/>
        </w:rPr>
        <w:t>For additional information about the key operating metric and non-GAAP financial measure and reconciliations of the non-GAAP financial measure to the most directly comparable financial measure stated in accordance with generally accepted accounting principles in the United States, or GAAP, see the section titled “Management’s Discussion and Analysis of Financial Condition and Results of Operations—Key Operating Metric and Non-GAAP Financial Measure.”</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12</w:t>
      </w:r>
    </w:p>
    <w:p>
      <w:pPr>
        <w:sectPr>
          <w:pgSz w:w="11900" w:h="16838" w:orient="portrait"/>
          <w:cols w:equalWidth="0" w:num="1">
            <w:col w:w="9920"/>
          </w:cols>
          <w:pgMar w:left="980" w:top="1440" w:right="999" w:bottom="1440" w:gutter="0" w:footer="0" w:header="0"/>
          <w:type w:val="continuous"/>
        </w:sectPr>
      </w:pPr>
    </w:p>
    <w:bookmarkStart w:id="20" w:name="page21"/>
    <w:bookmarkEnd w:id="20"/>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Investing in our Class A common stock involves a high degree of risk. You should carefully consider the following risks, together with all of the other information contained in this prospectus, before deciding to invest in our Class A common stock. Our business, financial condition, results of operations or prospects could be materially and adversely affected by any of these risks or uncertainties. In that case, the trading price of our Class A common stock could decline, and you may lose all or part of your investment.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75"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depend on relationships with our financial services partners, and any adverse changes in their financial strength, tightening of their underwriting standards or adverse changes to their online marketing strategy would adversely affect our business, financial condition and results of operations.</w:t>
      </w:r>
    </w:p>
    <w:p>
      <w:pPr>
        <w:spacing w:after="0" w:line="4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success depends on the financial strength and underwriting standards of credit card issuers, lenders, insurers and other participants on our platform. If our financial services partners experience financial difficulties, they may cease participating on our platform or tighten underwriting standards, which would result in fewer opportunities for us to earn fees from matching consumers with them. In times of financial difficulty, financial services providers may also fail to pay fees when due or drop the quality of their services to consumers. Our partners could also change their online marketing strategies or implement cost-reduction initiatives that decrease spending through our platform. The occurrence of one or more of these events, alone or in combination, with a significant number of financial services partners could harm our business, financial condition and results of operations.</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consumers do not find value in our platform or do not like the consumer experience on our platform, the number of matches on our platform may decline, and would harm our business, financial condition and results of operations.</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believe that the growth of our business and revenue depends upon our ability to engage our existing users and to add new users in our current as well as new markets. If we lose users or user engagement diminishes, our business and financial condition will be negatively impacted. If we fail to remain competitive on customer experience, editorial articles and product offerings, our ability to grow our business may also be adversely affected.</w:t>
      </w:r>
    </w:p>
    <w:p>
      <w:pPr>
        <w:spacing w:after="0" w:line="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While a key part of our business strategy is to engage users in our existing markets, we also intend to expand our operations into new markets. In doing so, we may incur losses or otherwise fail to enter new markets successfully. Our expansion into new markets may place us in unfamiliar competitive environments and involve various risks, including competition, government regulation, the need to invest significant resources and the possibility that returns on such investments will not be achieved for several years or at all. There are many factors that could negatively affect our ability to grow our user base and engagement, including if:</w:t>
      </w:r>
    </w:p>
    <w:p>
      <w:pPr>
        <w:spacing w:after="0" w:line="13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lose users to new market entrants and/or existing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do not obtain regulatory approvals necessary for expansion into new verticals, geographies or to launch new product features and tools;</w:t>
      </w:r>
    </w:p>
    <w:p>
      <w:pPr>
        <w:spacing w:after="0" w:line="18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fail to effectively use search engines, social media platforms, digital app stores, content-based online advertising, and other online sources for generating traffic to our platform;</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platform experiences disruptions or outages;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suffer reputational harm to our brand including from negative publicity, whether accurate or inaccurate;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fail to expand geographically;</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fail to offer new and competitive products, to provide effective updates to our existing products or to keep pace with technological improvements in our industry;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technical or other problems frustrate the user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13</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44"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unable to address user concerns regarding the content, privacy, and security of our digital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unable to continue to innovate and improve our platform by generating compelling content and tools;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existing or new financial services providers use incentives to directly cross-sell their products, reducing consumer benefits of using multiple providers;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unable to successfully launch new verticals.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inability to overcome these challenges could impair our ability to engage users, and could harm our business, operating results and financial condition.</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are dependent on internet search engines, in particular, Google, to direct traffic to our websites and refer new users to our platform. If search engines’ algorithms, methodologies, and/or policies are modified or enforced in ways we do not anticipate, or if our search results page rankings decline for other reasons, traffic to our platform or user growth or engagement could decline, any of which would harm our business, financial condition and results of operations.</w:t>
      </w:r>
    </w:p>
    <w:p>
      <w:pPr>
        <w:spacing w:after="0" w:line="13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are dependent on internet search engines, primarily Google, to direct traffic to our platform, including our website. Search engines, such as Google, may modify their search algorithms and policies or enforce those policies in ways that are detrimental to us, and without prior notice to us. If that occurs, we may experience significant declines in the organic search ranking of our search results, leading to a decrease in traffic to our platform. We have experienced declines in traffic and user growth as a result of these changes in the past, and anticipate fluctuations as a result of such actions in the future.</w:t>
      </w:r>
    </w:p>
    <w:p>
      <w:pPr>
        <w:spacing w:after="0" w:line="10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addition, Google may take action against websites for behavior that it believes unfairly influences search results. Google does not publish guidelines explaining the types of behavior that may trigger an action. For example, in 2017, Google took action against us which temporarily resulted in lower search rankings and decreased traffic to our website. Our ability to appeal these actions is limited, and we may not be able to revise our content strategies to recover the loss in domain authority, page rankings, traffic or user growth resulting from such actions. Any significant reduction in the number of users directed to our website or mobile application from search engines would harm our business, revenue and financial results.</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maintain our reputation and brand recognition and attract and engage users in a cost-effective manner would harm our business, financial condition and results of operations.</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order to attract consumers to our platform, convert these consumers into matches with financial services partners and generate repeat visits, we must market our platform and maintain consumer trust. Promoting and maintaining our brand requires the expenditure of considerable money and resources for online and offline marketing and advertising, the continued provision of high-quality products and services that meet user needs, the ability to maintain consumers’ trust, and the ability to successfully differentiate our brand, products and services from those of our competitors.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Brand recognition is a key differentiating factor between us and our competitors. We believe that continuing to build and maintain the recognition of our brand is important to achieving increased demand for the products we provide. Accordingly, we have spent, and expect to continue to spend, significant amounts on, and devote significant resources to, branding, advertising and other marketing initiatives, which may not be successful or cost-effective. Our brand promotion activities may not generate consumer awareness or yield increased revenue, and even if they do, any increased revenue may not offset the expenses we incur in building our brand.</w:t>
      </w:r>
    </w:p>
    <w:p>
      <w:pPr>
        <w:spacing w:after="0" w:line="13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strength of our brand may be harmed by adverse publicity from many sources. Adverse publicity and the potential corresponding impact on our reputation may be accelerated and amplified by the widespread use of social media platforms. Furthermore, adverse publicity, from legal proceedings against us or our business, including governmental proceedings and consumer class action or other litigation, or the disclosure of information from security breaches or other incidents, could negatively impact our reputation and our brand, which could materially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14</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adversely affect our business and financial condition and results of operations. In addition, the actions of our third-party marketing partners who engage in advertising on our behalf could negatively impact our reputation and our various brands.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failure of our business to maintain or enhance its reputation and brand recognition and attract and retain consumers in a cost-effective manner could materially and adversely affect our business, financial condition and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make decisions based on the best interests of our users in order to build long-term trust that may result in us forgoing short-term gains.</w:t>
      </w:r>
    </w:p>
    <w:p>
      <w:pPr>
        <w:spacing w:after="0" w:line="19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One of our fundamental values is to build our business by making decisions based upon the best interests of our users, which we believe has been essential to our success in building user trust in our platform and increasing our user growth rate and engagement. We believe this best serves the long-term interests of our company and our stockholders. In the past, we have forgone, and we may in the future continue to forgo, certain expansion or short-term revenue opportunities that we do not believe are in the best interests of our platform and our users, even if such decisions adversely affect our results of operations in the short term. For example, we do not use impression-based advertising on our platform (i.e., where payment is based on digital views or engagement); we publish editorial content on topics that do not generate revenue for us, and our editorial team maintains editorial independence from our business teams. Reviews and ratings of financial services products are neither influenced by whether a product is offered on our platform nor by the pricing we may have with a financial services partner. However, this strategy of focusing on building long-term trust instead of short-term revenue opportunities may not result in the long-term benefits that we expect, in which case our user traffic and engagement, business, financial condition and results of operations could be harmed.</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compete in a highly competitive and rapidly evolving market with a number of other companies and we face the possibility of new entrants disrupting our market over time.</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currently compete with a number of companies that market financial services online, as well as with more traditional sources of financial information, and with financial institutions offering their products directly, and we expect that competition will intensify. Our online competitors include marketplaces such as Bankrate, Credit Karma, LendingTree, and Zillow, and we also face direct or indirect competition from providers of consumer personal finance guidance and online search engines. Some of these existing competitors may have more capital or complementary products or services than we do, and they may leverage their greater capital or diversification in a manner that adversely affects our competitive position, including by making strategic acquisitions. In addition, we also face the possibility of new competitors. New competitors may enter the market and may be able to innovate and bring products and services to market faster, or anticipate and meet consumer or financial services partner demand before we do. Other newcomers, including major search engines and content aggregators, may be able to leverage their existing products and services or access to data to our disadvantage. We may be forced to expend significant resources to remain competitive with current and potential competitors. If any of our competitors are more successful than we are at attracting and engaging users or financial services partners, our business, financial condition and results of operations could be materially and adversely affected.</w:t>
      </w:r>
    </w:p>
    <w:p>
      <w:pPr>
        <w:spacing w:after="0" w:line="12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recent international expansion subjects us to additional costs and risks which could harm our business, revenue and financial results, and our continued international expansion may be unsuccessful.</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Historically, all of our business has been generated in the United States and we have little experience operating internationally. In 2020, we entered the United Kingdom (UK) market with our acquisition of Notice Media Ltd. (doing business as Know Your Money), an online provider of financial guidance and tools based in the UK. We entered the Canadian market organically in the third quarter of 2021. We believe our growth strategy depends, in part, on our continued international expansion. We continue to adapt to and develop strategies to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15</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international markets, but there is no guarantee that such efforts will be successful. Our international operations and further international expansion are subject to a number of difficulties and risks, including:</w:t>
      </w:r>
    </w:p>
    <w:p>
      <w:pPr>
        <w:spacing w:after="0" w:line="116" w:lineRule="exact"/>
        <w:rPr>
          <w:sz w:val="20"/>
          <w:szCs w:val="20"/>
          <w:color w:val="auto"/>
        </w:rPr>
      </w:pPr>
    </w:p>
    <w:p>
      <w:pPr>
        <w:ind w:left="660" w:hanging="328"/>
        <w:spacing w:after="0" w:line="308"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challenges inherent to efficiently recruiting and retaining talented and capable employees in foreign countries and maintaining our company culture and employee programs across all of our offices, including those resulting from cultural differences and geographic dispersion;</w:t>
      </w:r>
    </w:p>
    <w:p>
      <w:pPr>
        <w:spacing w:after="0" w:line="92" w:lineRule="exact"/>
        <w:rPr>
          <w:rFonts w:ascii="Arial" w:cs="Arial" w:eastAsia="Arial" w:hAnsi="Arial"/>
          <w:sz w:val="17"/>
          <w:szCs w:val="17"/>
          <w:color w:val="auto"/>
        </w:rPr>
      </w:pPr>
    </w:p>
    <w:p>
      <w:pPr>
        <w:jc w:val="both"/>
        <w:ind w:left="660" w:hanging="328"/>
        <w:spacing w:after="0" w:line="286"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and the UK Bribery Act of 2010 and other anti-corruption laws;</w:t>
      </w:r>
    </w:p>
    <w:p>
      <w:pPr>
        <w:spacing w:after="0" w:line="111"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required compliance with U.S. laws such as the Foreign Corrupt Practices Act, and other U.S. federal laws and regulations established by the office of Foreign Asset Control and other governmental entities;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difficulties identifying, obtaining, and maintaining the government approvals or licensures required to conduct our business in foreign markets;</w:t>
      </w:r>
    </w:p>
    <w:p>
      <w:pPr>
        <w:spacing w:after="0" w:line="194"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and the impact of local and regional financial crises on demand and payment for our products;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obtaining intellectual property protection, enforcing our intellectual property rights, and defending against third-party intellectual property infringement claims;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challenges successfully addressing novel sources of competition, including in the context of foreign laws and business practices that may favor local companies;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managing fluctuations in currency exchange rates and foreign exchange controls;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potentially adverse tax consequences, including multiple and possibly overlapping tax regimes, the complexities of foreign value-added tax systems, and changes in tax rates.</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we continue to expand our international operations, our success will depend in large part on our ability to anticipate and effectively manage these risks, which in turn will require significant management attention and financial resources. If we are unable to successfully manage any of these risks, our international operations and any future international expansion could be compromised, which could harm our business, financial condition and results of operations. In addition, certain international markets are subject to significant political and economic uncertainty, including, for example, the UK, owing to the uncertain consequences of its withdrawal from the European Union (EU). Significant political and economic developments in international markets where we intend to operate, or the perception that any of them could occur, creates further challenges for operating in these markets.</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making substantial investments in new product offerings and technologies, and expect to increase such investments in the future. These efforts are inherently risky, and we may never realize any expected benefits from them.</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made substantial investments to develop new product offerings and technologies, including our mobile application, personal finance management tools, our data infrastructure and our recommendation engine, and we intend to continue investing significant resources in developing new technologies, tools, features, services, products and product offerings. We expect to increase our investments in these new initiatives in the near term which may result in lower margins. Additionally, following our acquisition of Fundera, we plan to invest significant resources to integrate, develop and expand new offerings and technologies in the markets in which Fundera operates. We also expect to spend substantial amounts as we seek to grow the verticals in which we operate our platform and increase our scale, and to expand our offerings to additional geographic markets. If we do not spend our development budget efficiently or effectively on commercially successful and innovative technologies, we may not realize the expected benefits of our strategy. Our new initiatives also have a high degree of risk, as each involves strategies, technologies and regulatory requirements with which we have limited or no prior development or operating experience. There can be no assurance that consumer demand for such initiatives will exist or be sustained at the levels that we anticipate,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16</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or that any of these initiatives will gain sufficient traction or market acceptance to generate sufficient revenue to offset any new expenses or liabilities associated with these new investments. It is also possible that product offerings developed by others will render our product offerings noncompetitive or obsolete. Further, our development efforts with respect to new product offerings and technologies could distract management from current operations, and will divert capital and other resources from our more established product offerings and technologies. Even if we are successful in developing new product offerings or technologies, regulatory authorities may subject us to new rules or restrictions in response to our innovations that could increase our expenses or prevent us from successfully commercializing new product offerings or technologies. If we do not realize the expected benefits of our investments, our business, financial condition and operating results may be harmed.</w:t>
      </w:r>
    </w:p>
    <w:p>
      <w:pPr>
        <w:spacing w:after="0" w:line="1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financial performance is dependent on our ability to successfully refer users to financial services partners, and these partners are not precluded from offering products and services outside of our platform.</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ability to earn revenue is dependent on referring users of our site to our financial services partners and our users seeking to transact with such partners. However, having obtained the information they were looking for in our editorial articles, tools and other product offerings, users may leave our platform and transact directly with a financial services partner or with another party. When users transact directly with financial services partners or another party, we are not able to earn revenue on these users’ transactions, limiting our ability to realize a return on our investments in product features and editorial articles which could harm our business, revenue and financial results.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Because we do not have exclusive relationships with our financial services partners, users may obtain financial products without having to use our platform. Our financial services partners may offer and market their products to prospective customers online directly through their own marketing campaigns or via other methods of distribution, including through our competitors. If a significant number of users seek financial products and services directly from our financial services partners or from our online competitors, as opposed to through our platform, our business, financial condition and results of operations could be adversely affected.</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maintain the quality of our products, expand our product offerings or continue technological innovation and improvements, our prospects for future growth may be harmed.</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believe our success depends on users’ finding our product offerings to be of value to them. Our ability to attract and engage users depends, in part, on our ability to successfully expand our product offerings and editorial articles. For example, we initially built our content and began matching consumers with financial services providers in the credit card market, we later expanded into loan products and have continued to add other verticals since then. To penetrate new verticals, we will need to develop a deep understanding of those new markets and the associated business challenges faced by participants in them. Developing this level of understanding may require substantial investments of time and resources, and we may not be successful. In addition to the need for substantial resources, government regulation could limit our ability to introduce new product offerings. If we fail to penetrate new verticals successfully, our revenue may grow at a slower rate than we anticipate, and our business, financial condition and results of operations could be materially adversely affected. We must also continue to innovate and improve on our technology and product offerings in order to continue future growth and successfully compete with other companies in our markets, or our brand and future growth could be materially adversely affected.</w:t>
      </w:r>
    </w:p>
    <w:p>
      <w:pPr>
        <w:spacing w:after="0" w:line="1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the market for financial services products is rapidly evolving, fragmented and highly competitive. Competition in this market has intensified, and we expect this trend to continue as the list of financial services providers grows. There are many established and emerging technology centric financial services providers providing a multitude of products to consumers across all financial verticals. If we fail to successfully anticipate and identify new trends, products and emerging financial services providers, and provide up-to-date educational content, tools and other relevant resources timely, our ability to engage consumers and financial services providers may suffer, which would harm our business, financial condition and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lack of geographic diversity exposes us to risk.</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operations are geographically limited and primarily dependent upon consumers in the United States and economic conditions in the U.S. As a result of this geographical concentration, we are more vulnerable to downturns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17</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 other conditions that affect the U.S. economy. Any downturn or other adverse conditions in the U.S. economy could harm our business and financial results.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our acquisition of Know Your Money (KYM), we entered the UK market, and we believe our growth strategy depends, in part, on our continued international expansion. As we expand in the UK and internationally, we will be vulnerable to economic downturns or other conditions that affect the economy in the UK and in other countries where we expand. However, until our international operations expand significantly, we will continue to be primarily dependent on U.S. consumers and U.S. economic conditions.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less experience operating in some of the newer market verticals to which we have expanded.</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expanded to new verticals over the last several years, including SMB products and insurance products. We do not have as much experience with these newer verticals as we do with the other more established verticals on our platform. Accordingly, newer verticals may be subject to greater risks than the more established verticals on our platform.</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success of our entry into new verticals will depend on a number of factors, including:</w:t>
      </w:r>
    </w:p>
    <w:p>
      <w:pPr>
        <w:spacing w:after="0" w:line="17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Implementing in a cost effective manner product features expected by consumers and financial services providers;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acceptance of an intermediary by consumers and financial services providers;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Offerings by current and future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attract and retain management and other skilled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collect amounts owed to us from our financial services partners;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develop successful and cost-effective marketing campaigns;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timely adjust marketing expenditures in relation to changes in demand for the underlying products and services offered by our financial services partners in these newer verticals.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results of operations may suffer if we fail to successfully anticipate and manage these issues associated with expansion into new verticals.</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rely on the data provided to us by users and third parties to operate and improve our product offerings, and if we are unable to maintain and grow the use of such data, we may be unable to provide users with a platform experience that is relevant and effective, which would harm our business, financial condition and results of operations.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analyze first-party data from users, third-party data from financial account aggregators and credit reports to understand our users’ unique financial situations. The large amount of information we use in operating and improving our platform is critical to the experience we provide for our users. If we are unable to maintain, grow and efficiently handle the data provided to us, the value that we provide to consumers and the quality of matches with financial services partners may be limited. In addition, if we do not maintain the quality, accuracy and timeliness of this information, user experience may suffer, which would harm our business, financial condition and results of operations.</w:t>
      </w:r>
    </w:p>
    <w:p>
      <w:pPr>
        <w:spacing w:after="0" w:line="13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track certain operational metrics, which are subject to inherent challenges in measurement, and real or perceived inaccuracies in such metrics may harm our reputation and adversely affect our stock price, business, results of operations, and financial condition.</w:t>
      </w:r>
    </w:p>
    <w:p>
      <w:pPr>
        <w:spacing w:after="0" w:line="9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track certain operational metrics, including metrics such as Monthly Unique Users (MUUs), which may differ from estimates or similar metrics published by third parties due to differences in sources, methodologies, or the assumptions on which we rely. Our internal systems and tools are subject to a number of limitations, and our methodologies for tracking these metrics may change over time, which could result in unexpected changes 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4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metrics, including the metrics we publicly disclose. If the internal systems and tools we use to track these metrics undercount or overcount or contain algorithmic or other technical errors, the data we report may not be accurate. While these numbers are based on what we believe to be reasonable estimates of our metrics for the applicable period of measurement, there are inherent challenges in measuring how our platform is used. For example, the number of MUUs on our platform is based on activity associated with a unique device identifier during a certain time period. Certain individuals may have more than one device and therefore may be counted more than once in our count of Monthly Unique Users. Limitations or errors with respect to how we measure data or with respect to the data that we measure may affect our understanding of certain details of our business, which could affect our long-term strategies. If our operational metrics are not accurate representations of our business, or if investors do not perceive these metrics to be accurate, or if we discover material inaccuracies with respect to these figures, our reputation may be significantly harmed, our stock price could decline, we may be subject to stockholder litigation, and our business, financial results and results of operations could be adversely affected.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manage our growth effectively.</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growth has placed, and may continue to place, significant demands on our management and our operational and financial resources. For example, we grew our employee base from 397 as of December 31, 2019 to 587 as of December 31, 2020 both organically and through our acquisitions. We have hired and expect to continue hiring additional personnel to support our rapid growth. Our organizational structure is becoming more complex as we add staff, and we will need to enhance our operational, financial and management controls as well as our reporting systems and procedures as we transition from being a private company to a public company. We will require significant capital expenditures and the allocation of valuable management resources to grow and change in these areas without undermining our corporate culture of rapid innovation, teamwork and attention to the user experience.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 and the Consumer Finance Economy</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Adverse conditions in the consumer finance markets, or poor or uncertain macroeconomic conditions, could harm our business, financial condition and results of operations.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business is dependent on the consumer finance markets and the demand for the products offered by our financial services partners. Both our financial services partners and users may be affected by prevailing economic, political, market, health and social events or conditions. A decline in these conditions could impact our users, and could reduce their demand for credit cards, mortgage loans, personal loans, and other financial service products, which could ultimately impact our revenues. Similarly, during such conditions our financial services partners may tighten underwriting standards, implement cost-reduction initiatives that reduce or eliminate marketing budgets and decrease spending on our platform. Any of these events could adversely affect our business, financial condition and results of operations.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Trends in the credit card industry, as well as the impact of the general economy on the ability of users to qualify for credit cards, could harm our business, financial condition and results of operations.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credit card market is an important part of our business. Our participation in this market is subject to particular risks, each of which could negatively affect our traffic and results of operations:</w:t>
      </w:r>
    </w:p>
    <w:p>
      <w:pPr>
        <w:spacing w:after="0" w:line="116" w:lineRule="exact"/>
        <w:rPr>
          <w:sz w:val="20"/>
          <w:szCs w:val="20"/>
          <w:color w:val="auto"/>
        </w:rPr>
      </w:pPr>
    </w:p>
    <w:p>
      <w:pPr>
        <w:jc w:val="both"/>
        <w:ind w:left="660" w:hanging="328"/>
        <w:spacing w:after="0" w:line="311"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Adverse conditions in the economy may affect credit card issuers and their willingness to issue new credit which would negatively affect revenue. For example, beginning in the Spring of 2020 some credit card issuers tightened underwriting standards and reduced marketing budgets due to deteriorating economic conditions and rising unemployment caused by the COVID-19 pandemic and associated shelter-in-place orders;</w:t>
      </w:r>
    </w:p>
    <w:p>
      <w:pPr>
        <w:spacing w:after="0" w:line="94"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Credit losses among credit card issuers may increase beyond normal and budgeted levels which could cause a reduction in credit card issuers’ ability to extend credit;</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 rate increases may make balance transfer cards less profitable for issuers, decreasing the fees we earn from matching users with such cards;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19</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4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Credit card issuers may be unwilling to partner with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Lower approval rates by credit card issuers due to tighter underwriting or other factors;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Decreases in consumer interest in credit card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competition;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are unable to provide competitive service to credit card issuers and to consumers using our platform;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are unable to develop new product offerings and enhance existing ones.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loan markets could harm our business, financial condition and results of operations.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loan market, including student loans, mortgages and personal loans, is an important part of our business. Fluctuations and constraints in the loan markets in the past have harmed, and may in the future, harm our business, financial condition and results of operations. Economic factors such as increased interest rates, slow economic growth or recessionary conditions, the pace of home price appreciation or the lack of it, changes in household debt levels, and increased unemployment or stagnant or declining wages can affect the loan markets. National or global events, including but not limited to the COVID-19 pandemic, can also affect such macroeconomic conditions. Such macroeconomic factors can affect the number of loan applications and loan approval rates which can adversely affect our business. For example, increases in interest rates adversely affect the ability of our mortgage partners to close loans due to lower consumer demand, and adverse economic trends may limit the ability of our mortgage partners to offer home loans other than low-margin conforming loans. Decreased consumer demand for mortgage refinancing typically leads to decreased traffic to our platform and results in higher associated marketing costs with generating traffic. Conversely, during periods with decreased interest rates, mortgage partners have less incentive to use our platform due to high consumer demand or in the case of sudden increases in consumer demand, our financial services providers may lack the ability to support such increases in volume. For example, in the Spring and Summer of 2020 the rapid surge in demand for mortgage refinancing due to low interest rates reached such levels that our mortgage partners did not have the capacity to process all of the demand, thus reducing the need to pay to acquire consumers, which in turn constrained our mortgage business. Situations like this could harm our business, financial condition and results of operations.</w:t>
      </w:r>
    </w:p>
    <w:p>
      <w:pPr>
        <w:spacing w:after="0" w:line="120"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The COVID-19 pandemic has negatively impacted our business and our business recovery will depend on future developments, which are uncertain and cannot be predicted, including the scope and duration of the pandemic and actions taken by governmental authorities in response to the pandemic.</w:t>
      </w:r>
    </w:p>
    <w:p>
      <w:pPr>
        <w:spacing w:after="0" w:line="4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COVID-19 pandemic has negatively impacted the global economy and led to temporary closures of businesses and increased unemployment. In addition, the institution of social distancing and sheltering in place has adversely impacted the travel sector which has, in turn, reduced interest in credit cards that have travel-related benefits. The unstable socioeconomic backdrop has impacted consumer finances and caused some financial services providers to tighten underwriting standards. Consumer demand in our verticals, in particular credit cards, has been and may continue to be significantly impacted. Demand from our financial services partners has also impacted our credit card vertical market, as credit card issuers paused or limited their customer acquisition efforts with us during portions of 2020. For parts of the 2020 calendar year some of our financial services partners were slower to approve applications for products such as mortgages, and others reduced advertising budgets given the inherent economic uncertainty during the year. As a result of these factors, we experienced lower growth in 2020 as compared to 2019, particularly in the second half of the year.</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extent to which the COVID-19 pandemic will continue to impact our business, financial condition and results of operations depends on future developments, which are highly uncertain and cannot be predicted, including vaccine distribution, vaccine acceptance, the scope and duration of the pandemic and actions taken by governmental authorities and other third parties in response to the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a variety of U.S. financial regulations, many of which are overlapping, ambiguous and still developing, which could subject us to claims or otherwise harm our business.</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Aspects of our business are subject to a variety of federal and state financial and other laws, including laws and state licensing requirements relating to matching consumers with financial services providers and marketing of mortgages, credit cards, personal loans, insurance, and other financial products and services; privacy and data security; investment advisory services; and other laws that are frequently evolving and developing. The scope and interpretation of such laws are often uncertain and may be conflicting or ambiguous. It is difficult to predict how existing laws, some of which were enacted prior to the widespread adoption of the internet and mobile devices, will be applied to our business and the new laws to which we may become subject. In addition, as our business grows into new markets or expands and we collect, use and share more user data internally and with financial services partners, we may become subject to additional laws and regulations. With the new U.S. Presidential administration, we anticipate that federal regulators that are relevant to our business, such as the Federal Trade Commission and the Consumer Financial Protection Bureau, may pursue more enforcement actions as compared to the prior Presidential administration. In addition, Congress, federal agencies, state legislatures and state regulators may from time to time enact new laws, regulations or guidance that may harm our business.</w:t>
      </w:r>
    </w:p>
    <w:p>
      <w:pPr>
        <w:spacing w:after="0" w:line="13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If we are not able to comply with applicable financial and other laws or regulations or if we become liable under these laws or regulations, we could be directly harmed, and we may be forced to implement new measures to reduce our exposure to this liability. This may require us to expend substantial resources or to discontinue certain products or features, which would negatively affect our business. In addition, negative publicity resulting from regulatory actions against us or others in our industry could harm our reputation or otherwise impact the growth of our business. Any costs incurred to prevent or mitigate this potential liability could also harm our business, financial condition and operating results.</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Failure to obtain proper business licenses or other documentation or to otherwise comply with local laws and requirements regarding marketing or matching consumer with financial services providers, may result in civil or criminal penalties and restrictions on our ability to conduct business in that jurisdiction.</w:t>
      </w:r>
    </w:p>
    <w:p>
      <w:pPr>
        <w:spacing w:after="0" w:line="13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Most states require companies to hold licenses in order to solicit or broker loans secured by residential mortgages, and in many cases require the licensure or registration of individual employees or contractors engaged in aspects of these businesses. States also require licenses to undertake certain insurance brokerage activities and in many cases require the licensure or registration of individual employees or contractors engaged in aspects of these activities. In addition, some states may require licenses to conduct similar activity with respect to commercial loans, credit cards and unsecured personal loans to residents of those states, although the applicability of these requirements to our business varies depending on our products as well as the loan products, terms, and the types of institutions that we partner with. Compliance with these requirements may render it more difficult for us and our financial services partners to operate or may raise our internal costs or the costs of our financial services partners, which may be passed on to us through less favorable commercial arrangements. While we have endeavored to comply with applicable requirements, the application of these requirements to persons operating online is not always clear and the failure to comply with any such applicable requirements may require us to expend significant capital and resources to investigate and remedy the noncompliance and subject us to litigation, regulatory enforcement action, fines, penalties, and other liability, which could adversely affect our business, financial condition and results of operations. Moreover, any of the licenses or rights currently held by us or our employees may be revoked prior to, or may not be renewed upon, their expiration. In addition, we or our employees may not be granted new licenses or rights for which they may be required to apply from time to time in the future.</w:t>
      </w:r>
    </w:p>
    <w:p>
      <w:pPr>
        <w:spacing w:after="0" w:line="13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Regulations promulgated by some states may also impose compliance obligations on directors, executive officers, and any person who acquires a certain percentage (for example, 10% or more) of the equity in a licensed entity, including requiring such persons to periodically file financial and other personal and business information with state regulators. If any such person refuses or fails to comply with these requirements, we may be unable to obtain certain licenses and existing licensing arrangements may be jeopardized. The inability to obtain, or the loss of, required licenses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21</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collect, store use and otherwise process personal information, including financial information and other sensitive data, which subjects us to governmental regulation and other legal obligations related to data privacy and security. Our actual or perceived failure to comply with such obligations could harm our business.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collect, store, use and process personal information and other user data, including financial information, credit report information and other sensitive information for our Registered Users. We rely on this data provided to us by users and third parties to offer, improve and innovate our products. If we are unable to maintain and grow such data we may be unable to provide consumers with a platform experience that is relevant, efficient and effective, which could adversely affect our business, financial condition and results of operations.</w:t>
      </w:r>
    </w:p>
    <w:p>
      <w:pPr>
        <w:spacing w:after="0" w:line="13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There are numerous federal, state and local laws and regulations regarding data privacy and the storing, sharing, use, processing, disclosure and protection of personal information and other user data, the scope of which are changing and subject to differing interpretations. In addition, as we continue to expand internationally, we are subject to foreign data privacy and security laws and regulations. These data privacy laws and regulations are complex, continue to evolve, and on occasion may be inconsistent between jurisdictions leading to uncertainty in interpreting such laws. We are also subject to the terms of our privacy policies and privacy-related obligations to third parties, and, given the recent change in administration, we expect a heightened level of scrutiny on the financial data we handle. It is possible that these laws, regulations, and other obligations may be interpreted and applied in a manner that is inconsistent from one regulatory body to another and may conflict with other rules or our practices.</w:t>
      </w:r>
    </w:p>
    <w:p>
      <w:pPr>
        <w:spacing w:after="0" w:line="12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Most of the jurisdictions in which we operate have established their own data privacy and security legal frameworks. For example, in the U.S., we are subject to the Gramm–Leach–Bliley Act (GLBA) which governs non-public personal information of individuals who obtain financial products or services from financial institutions primarily for personal, family or household purposes as well as the Fair Credit Reporting Act (FCRA) which generally governs the collection of credit information and access to credit reports. These laws restrict the collection, use, storage and disposal of information about individuals that we may collect during the provision of our products and impose certain disclosure obligations on us. Failure to comply with these laws can result in regulatory fines or penalties. Certain of our products that are not otherwise subject to the GLBA or FCRA may be subject to additional laws and regulations. For example, the California Consumer Privacy Act (CCPA) created new data privacy rights for California-resident users that will be expanded when the California Privacy Rights Act (CPRA), which was approved in November 2020, goes into effect. In addition, Virginia recently passed the Consumer Data Protection Act, which will go into effect at the same time as CPRA and many other states are considering enacting privacy laws. These laws, as well as any associated regulations, may increase our operating costs and potential liability (particularly in the event of a data breach), delay or impede the development of new products, and have a material adverse effect on our business, including how we use information about individuals, our financial condition and the results of our operations or prospects.</w:t>
      </w:r>
    </w:p>
    <w:p>
      <w:pPr>
        <w:spacing w:after="0" w:line="1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we expand internationally, we will also be subject to international laws regarding privacy and the storing, sharing, use, processing, disclosure and protection of personal information and other user data. For example, following our recent expansion into the UK market, we are subject to privacy, data security, and data protection risks in connection with requirements of the UK’s data protection regime, consisting primarily of the Data Protection Act 2018 and the Data Protection, Privacy and Electronic Communications Regulations 2019 as amended by the Data Protection, Privacy and Electronic Communications Regulations 2020, or the UK GDPR, and other data protection regulations. Among other stringent requirements, the UK GDPR (like its EU counterpart) restricts transfers of data from the UK to third countries deemed to lack adequate privacy protections (such as the U.S.), unless an appropriate safeguard is implemented.</w:t>
      </w:r>
    </w:p>
    <w:p>
      <w:pPr>
        <w:spacing w:after="0" w:line="14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Following the result of a referendum in 2016, the UK left the EU on January 31, 2020, commonly referred to as Brexit. Brexit has created uncertainty with regard to the regulation of data protection in the UK. Although UK privacy, data protection and data security laws are designed to be consistent with the EU’s GDPR, uncertainty remains regarding how privacy, data protection, information security and data transfers to and from the UK will be regulated notwithstanding Brexit. For example, authorities in the UK may, like their EU counterparts, invalidate use of the EU-U.S. Privacy Shield and raise questions on the viability of the European Commission’s Standard Contractual Clauses. With substantial uncertainty over the interpretation and application of data transfer, privacy, data protection, and information security in the UK, we may face challenges in addressing their requirements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22</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making necessary changes to our policies and practices, and may incur significant costs and expenses in an effort to do so. Any failure or perceived failure by us to comply with applicable laws and regulations or any of our other legal obligations relating to privacy, data protection, or information security may result in governmental investigations or enforcement actions, litigation, claims, or public statements against us. Any of the foregoing could result in significant liability or cause our users to lose trust in us, any of which could have an adverse effect on our reputation, operations, financial performance and business. Furthermore, the costs of compliance with, and other burdens imposed by, the laws, regulations, and policies that are applicable to the businesses of our customers may limit the adoption and use of, and reduce the overall demand for, our products and services.</w:t>
      </w:r>
    </w:p>
    <w:p>
      <w:pPr>
        <w:spacing w:after="0" w:line="11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are also subject to and actively taking steps to comply with evolving UK privacy laws on cookies and e-marketing. In the UK, informed consent is required for the placement of certain cookies or similar technologies on a user’s device and for direct electronic marketing and valid consent is tightly defined, including, a prohibition on pre-checked consents and, in the context of cookies, a requirement to obtain separate consents for each type of cookie or similar technology. Strict enforcement of these requirements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may negatively impact our efforts to understand users and match them with products.</w:t>
      </w:r>
    </w:p>
    <w:p>
      <w:pPr>
        <w:spacing w:after="0" w:line="11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Any failure or perceived failure by us to comply with our privacy policies, our privacy-related obligations to users or other third parties, or our privacy-related legal obligations, or any compromise of security that results in the unauthorized release or transfer of personally identifiable information or other user data, may result in governmental enforcement actions, litigation or negative publicity and could cause our users and financial partners to lose trust in us, which would have a material and adverse effect on our business. We may also be subject to remedies that may harm our business, including fines, demands or orders that we modify or cease existing or planned business practices.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to comply with economic and trade sanctions laws and regulations of the United States could materially adversely affect our reputation, business, financial condition and results of operations.</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business must be conducted in compliance with applicable economic and trade sanctions laws and regulations, such as those administered and enforced by the U.S. Department of Treasury’s Office of Foreign Assets Control, the U.S. Department of State, the U.S. Department of Commerce, the United Nations Security Council and other relevant sanctions authorities. Our failure to comply with these laws and regulations may expose us to reputational harm as well as significant penalties, including criminal fines, imprisonment, civil fines, disgorgement of profits, injunctions and debarment from government contracts, as well as other remedial measures. Investigations of alleged violations can be expensive and disruptive. Despite our compliance efforts and activities we cannot assure compliance by our employees or representatives for which we may be held responsible, and any such violation could materially adversely affect our reputation, business, financial condition and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Human Capital</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our executive team and other key employees to manage the business and the loss of one or more of these employees or an inability to attract and retain highly skilled employees could materially harm our business.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success depends largely upon the continued high performance of our executive team and other key employees. We rely on our executive team for leadership in critical areas of our business, including product development, engineering, marketing, security, business development, and general and administrative functions. The loss of one or more of our executives or key employees would have an adverse effect on our business. From time to time, there may be changes in executives due to hiring or departures, which could disrupt our business. We do not have employment agreements with executives or other key personnel that require them to continue to work for us for any specified period and, therefore, they could terminate their employment at any time.</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depend on our senior management, including Tim Chen, our founder and Chief Executive Officer, and Lauren StClair, our Chief Financial Officer, as well as other key personnel. We may not be able to retain the services of any of our senior management or other key personnel, as their employment is at-will and they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23</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leave at any time. If we lose the services of one or more of our senior management and other key personnel, including as a result of the COVID-19 pandemic, we may not be able to successfully manage our business, meet competitive challenges or achieve our growth objectives. Further, to the extent that our business grows, we will need to attract and retain additional qualified management personnel in a timely manner, and we may not be able to do so. Our future success depends on our continuing ability to identify, hire, develop, motivate, retain and integrate highly skilled personnel in all areas of our organization.</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stiff competition for qualified personnel and if we fail to attract new personnel or fail to retain and motivate our current personnel, our business, financial condition and results of operations could be materially and adversely affected.</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To execute our growth plan, we must attract and retain highly qualified personnel. Competition for these personnel is intense, especially for engineers experienced in designing and developing online and mobile products. We have experienced and we expect to continue to experience difficulty in hiring and retaining employees with appropriate qualifications. To attract and retain top talent, we have had to offer, and we believe we will need to continue to offer, competitive compensation and benefits packages. Many of the companies with which we compete for experienced personnel have greater operating histories and resources than we have or are publicly traded which may make them more attractive to candidates.</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attrition creates challenges as we must expend significant time and resources to identify, recruit, train and integrate new employees. If we are unable to retain qualified personnel or to effectively manage our hiring needs and successfully integrate new hires, then our efficiency, ability to meet forecasts, employee morale, productivity and retention could suffer, which could adversely affect our business.</w:t>
      </w:r>
    </w:p>
    <w:p>
      <w:pPr>
        <w:spacing w:after="0" w:line="13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have recently decided to allow our employees to work remotely on an indefinite basis and we plan to continue recruiting employees working remotely, which could result in reduced morale and cohesiveness and increased cybersecurity risk, which could negatively affect our business.</w:t>
      </w:r>
    </w:p>
    <w:p>
      <w:pPr>
        <w:spacing w:after="0" w:line="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During the COVID-19 pandemic we transitioned all of our employees to a remote work environment in order to mitigate the spread of COVID-19 and comply with local shelter in place policies. Subsequently we adopted a new policy that allows for almost all roles to be open to remote employees on an ongoing basis, even if local shelter in place restrictions are lifted. The transition to remote work may reduce employee morale or cohesiveness among our employees while our company culture adjusts from a headquarters-centric company to a distributed workforce. In addition, our new remote employment policy may exacerbate certain risks to our business, including an increased demand for information technology resources, increased risk of phishing and other cybersecurity attacks, increased risk of unauthorized dissemination of sensitive information and increased complexity in coordinating the actions of the organization, any of which could adversely affect our business. As a result, our culture, information technology requirements, cybersecurity risk, and business operations could be adversely affected.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Technology and Intellectual Property</w:t>
      </w:r>
    </w:p>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Security incidents, or real or perceived errors, failures or bugs in our systems and platform could impair our operations, compromise our confidential information or our users’ personal information, damage our reputation and brand, and harm our business and operating results.</w:t>
      </w:r>
    </w:p>
    <w:p>
      <w:pPr>
        <w:spacing w:after="0" w:line="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continued success depends on our systems, applications, and software continuing to operate and to meet the changing needs of our customers and users and financial services partners. We rely on our technology and engineering staff and vendors to successfully implement changes to and maintain our systems and services in an efficient and secure manner. Like all information systems and technology, our platform may contain or develop material errors, failures, vulnerabilities or bugs, particularly when new features or capabilities are released, and may be subject to computer viruses or malicious code, break-ins, phishing impersonation attacks, attempts to overload our servers with denial-of-service or other attacks, ransomware and similar incidents or disruptions from unauthorized use of our computer systems, as well as unintentional incidents causing data leakage, any of which could lead to interruptions, delays or shutdown of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24</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4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Operating our business and products involves the collection, storage, use and transmission of large volumes of sensitive, proprietary and confidential information, including financial and personal information, pertaining to our current, prospective and past users, as well as our staff, contractors, and business partners. The security measures we take to protect this information may be breached as a result of computer malware, viruses, social engineering, ransomware attacks, account takeover attacks, hacking and cyberattacks, including by state-sponsored and other sophisticated organizations. Such incidents have become more prevalent in recent years. Our security measures could also be compromised by our personnel, theft or errors, or be insufficient to prevent exploitation of security vulnerabilities in software or systems on which we rely. Such incidents may in the future result in unauthorized, unlawful or inappropriate use, destruction or disclosure of, access to, or inability to access the sensitive, proprietary and confidential information that we handle. These incidents may remain undetected for extended periods of time.</w:t>
      </w:r>
    </w:p>
    <w:p>
      <w:pPr>
        <w:spacing w:after="0" w:line="12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Because there are many different cybercrime and hacking techniques and such techniques continue to evolve, we may be unable to anticipate attempted security breaches, react in a timely manner or implement adequate preventative measures. While we have developed systems and processes designed to protect the integrity, confidentiality and security of our and our users’ confidential and personal information under our control, we cannot assure you that any security measures that we or our third party service providers have implemented will be effective against current or future security threats.</w:t>
      </w:r>
    </w:p>
    <w:p>
      <w:pPr>
        <w:spacing w:after="0" w:line="10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 security breach or other security incident, or the perception that one has occurred, could result in a loss of confidence by both our users and financial services partners and damage our reputation and brand; reduce demand for our products; disrupt normal business operations; require us to expend significant capital and resources to investigate and remedy the incident and prevent recurrence; and subject us to litigation, regulatory enforcement action, fines, penalties, and other liability, which could adversely affect our business, financial condition and results of operations. Even if we take steps that we believe are adequate to protect us from cyber threats, hacking against our competitors or other companies in our industry could create the perception among our users and financial services partners that our digital platform is not safe to use. Security incidents could also damage our IT systems and our ability to make the financial reports and other public disclosures required of public companies. These risks are likely to continue to increase as we continue to grow and process, store and transmit an increasingly larger and larger volumes of data.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 party service providers to support our platform and information technology systems.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rely on third-party service providers to provide critical services that help us deliver our products and operate our business, including hosting our platform. These providers may support or operate critical business systems for us or store or process the same sensitive, proprietary and confidential information that we handle. We do not have redundant network or rapid disaster recovery capabilities in most cases for the services provided by third-party service providers. These service providers may not have adequate security measures and could experience a security incident that compromises the confidentiality, integrity or availability of the systems they operate for us or the information they process on our behalf. Such occurrences could adversely affect our business to the same degree as if we had experienced these occurrences directly and we may not have recourse to the responsible third-party service providers for the resulting liability we incur.</w:t>
      </w:r>
    </w:p>
    <w:p>
      <w:pPr>
        <w:spacing w:after="0" w:line="14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Any significant disruption to the infrastructure of our third-party service providers and/or any changes in our third-party service providers’ service levels may significantly impact our business operations, including making our platform unavailable to our users. A lengthy interruption in the availability of our platform would result in a loss of matches with our financial partners and corresponding revenue, which would impact our operating results and cash flow. In addition, it would negatively impact search engine ranking, user experience and our reputation with our financial partners. Furthermore, in the event that any of our agreements with our third-party service providers are terminated, we may experience significant costs or downtime in connection with the transfer to, or the addition of, new hosting providers. Although alternative providers could host our platform on a substantially similar basis, such transition could potentially be disruptive and we could incur significant costs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25</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infringed their proprietary technology or other intellectual property rights could harm our business.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Companies in the internet and technology industries are frequently subject to litigation based on allegations of infringement, misappropriation or other violations of intellectual property rights. In addition, certain companies and rights holders seek to enforce and monetize patents or other intellectual property rights they own, have purchased or have otherwise obtained. As we gain an increasingly high public profile, the possibility of intellectual property rights claims against us grows. Third parties have in the past and may in the future assert claims of infringement of intellectual property rights against us. Although we may have meritorious defenses, there can be no assurance that we will be successful in defending against these allegations or in reaching a business resolution that is satisfactory to us. Our competitors and others may now and in the future have patent portfolios that are used against us. In addition, future litigation may involve patent holding companies or other adverse patent owners who have no relevant product or service revenue and against whom our own patents may therefore provide little or no deterrence or protection. Many potential litigants, including some of our competitors and patent-holding companies, have the ability to dedicate substantial resources to the assertion of their intellectual property rights. Any claim of infringement by a third party, even those without merit, could cause us to incur substantial costs defending against the claim, could distract our management from our business and could require us to cease use of such intellectual property. Furthermore, because of the substantial amount of discovery required in connection with intellectual property litigation, we risk compromising our confidential information during this type of litigation. We may be required to pay substantial damages, royalties or other fees in connection with a claimant securing a judgment against us, we may be subject to an injunction or other restrictions that prevent us from using or distributing our intellectual property, or from operating under our brand, or we may agree to a settlement that prevents us from distributing our offerings or a portion thereof, which could adversely affect our business, results of operations and financial condition.</w:t>
      </w:r>
    </w:p>
    <w:p>
      <w:pPr>
        <w:spacing w:after="0" w:line="11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With respect to any intellectual property rights claim, we may have to seek out a license to continue operations found or alleged to violate such rights, which may not be available on favorable or commercially reasonable terms and may significantly increase our operating expenses. Some licenses may be non-exclusive, and therefore our competitors may have access to the same technology licensed to us. If a third party does not offer us a license to its intellectual property on reasonable terms, or at all, we may be required to develop alternative, non-infringing technology, which could require significant time (during which we would be unable to continue to offer our affected offerings), effort and expense and may ultimately not be successful. Any of these events could adversely affect our business, results of operations and financial condition.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protect or enforce our intellectual property rights could harm our business, financial condition and results of operations.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strive to protect our intellectual property rights by relying on a combination of federal, state and common law trademark, copyright, and trade secret protection laws, as well as contractual restrictions and business practices. In particular, we must maintain and protect the “NerdWallet” name and related marks and intellectual property and also police copying of our editorial articles. In addition, we typically enter into confidentiality and invention assignment agreements with employees and contractors, and confidentiality agreements with parties with whom we conduct business in order to limit access to, and disclosure and use of, our confidential or proprietary information. However, these contractual arrangements and the other steps we have taken to protect our intellectual property may not prevent the misappropriation or disclosure of our proprietary information nor deter independent development of similar technologies by others. Failure to protect or maintain our intellectual property could harm our business, financial condition and results of operations.</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While our content, software and other works may be protected under copyright law, we have chosen not to register any copyrights in these works. In order to bring a copyright infringement lawsuit in the United States, the copyright must be registered. Accordingly, the remedies and damages available to us for unauthorized use of our software may be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26</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continue to obtain licenses to third-party software and intellectual property on reasonable terms or at all, which may disrupt our business and harm our financial results.</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license third-party software and other intellectual property for use in connection with our platform, including for various third party product integrations with our platform. Our third party licenses typically limit our use of intellectual property to specific uses and include other contractual obligations with which we must comply. These licenses may need to be renegotiated or renewed from time to time, or we may need to obtain new licenses in the future. Third parties may stop adequately supporting or maintaining their offerings or they or their technology may be acquired by our competitors. If we are unable to obtain licenses to these third-party software and intellectual property on reasonable terms or at all, the functionalities available through our platform may be adversely impacted, which could in turn harm our business. Further, if we or our third-party licensors were to breach any material term of a license, such a breach could, among other things, prompt costly litigation, result in the license being invalidated and or result in fines and other damages. If any of the following were to occur, it could harm our business, financial results and our reputation.</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also cannot be certain that our licensors are not infringing the intellectual property rights of others or that our licensors have sufficient rights to the intellectual property to grant us the applicable licenses. Although we seek to mitigate this risk contractually, we may not be able to sufficiently limit our potential liability. If we are unable to obtain or maintain rights to any of this intellectual property because of intellectual property infringement claims brought by third parties against our licensors or against us, our ability to provide functionalities through our platform using such intellectual property could be severely limited and our business could be harmed. Furthermore, regardless of outcome, infringement claims may require us to use significant resources and may divert management’s attention.</w:t>
      </w:r>
    </w:p>
    <w:p>
      <w:pPr>
        <w:spacing w:after="0" w:line="138"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rely on operating system providers and app stores to support our platform, and any disruption, deterioration or change in their services, policies, practices, guidelines and/or terms of service could have a material adverse effect on our business, financial condition and results of operations.</w:t>
      </w:r>
    </w:p>
    <w:p>
      <w:pPr>
        <w:spacing w:after="0" w:line="4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success of our platform depends upon the effective operation of certain mobile operating systems, networks and standards that are run by operating system providers and app stores, or Providers. We do not control these Providers and, as a result, we are subject to risks and uncertainties related to the actions taken, or not taken, by these Providers. We largely utilize Android-based and iOS-based technology for our digital application platform. If any Providers, including either Google (for Android) or Apple (for iOS) stop providing us with access to their platform or infrastructure, fail to provide reliable access, cease operations, modify or introduce new systems, change or interpret their terms of service, guidelines or policies, or otherwise terminate services, the delay caused by qualifying and switching to other operating systems could be time consuming and costly and could materially and adversely affect our business, financial condition and results of operations. In addition, Providers may limit the use of personal information and other data for advertising purposes or restrict how users can share information on their platform or across other platforms, which could materially and adversely affect our business, financial condition and results of operations or otherwise require us to change the way we conduct our business. Any limitation on or discontinuation of our or our users’ access to any Provider’s platform or app store could materially and adversely affect our business, financial condition, results of operations or otherwise require us to change the way we conduct our business.</w:t>
      </w:r>
    </w:p>
    <w:p>
      <w:pPr>
        <w:spacing w:after="0" w:line="1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Some of our products and services contain open source software, which may pose particular risks to our proprietary software, products, and services in a manner that could have a negative effect on our business.</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use open source software in our platform and anticipate continuing to use open source software in the future. Some open source software licenses require those who distribute open source software as part of their own software product to publicly disclose all or part of the source code of such software product or to make available any derivative works of the open source code on unfavorable terms or at no cost, and we may be subject to such terms. The terms of certain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Additionally, we could face claims from third parties claiming ownership of, or demanding release of, the open source software or derivative works that we develop using such software, which could include our proprietary source code,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27</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such source code to eliminate use of such open source software. This re-engineering process could require us to expend significant additional research and development resources, and we may not be able to complete the re-engineering process successfully. In addition to risks related to license requirements, use of certain open source software can lead to greater risks than use of third-party commercial software, as open source licensors generally do not provide warranties, assurance of title or controls on the origin or operation of the open source software, which are risks that cannot be eliminated, and could, if not properly addressed, negatively affect our business. We cannot be sure that all of our use of open source software is in a manner that is consistent with our current policies and procedures, or will not subject us to liability. Any of these risks could be difficult to eliminate or manage, and, if not addressed, would have a negative effect on our business, financial condition and operating results.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Operations and Accounting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agreements contain certain restrictions that may limit our ability to operate our business.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terms of our existing credit agreement and the related collateral documents with Silicon Valley Bank (SVB) as administrative agent contain, and any future indebtedness may contain, a number of restrictive covenants that impose significant operating and financial restrictions on us, including restrictions on our ability, and the ability of our subsidiaries, to take actions that may be in our best interests, including, among others, disposing of assets, entering into change of control transactions, mergers or acquisitions, incurring additional indebtedness, granting liens on our assets, declaring and paying dividends and agreeing to do any of the foregoing. Our credit agreement requires us to satisfy specified financial covenants, including a minimum adjusted quick ratio, tested monthly, and a minimum consolidated adjusted EBITDA covenant, tested quarterly. Our ability to meet those financial covenants can be affected by events beyond our control, and we may not be able to continue to meet those covenants. A breach of any of these covenants or the occurrence of other events (including an event or condition that has had a material adverse effect (as defined in the credit agreement)) specified in the credit agreement and/or the related collateral documents could result in an event of default under the credit agreement. Upon the occurrence of an event of default, SVB and/or our lenders under the credit agreement could elect to declare all amounts outstanding under the credit agreement, if any, to be immediately due and payable and terminate all commitments to extend further credit. If we were unable to repay those amounts, SVB and our lenders could proceed against the collateral granted to them to secure such indebtedness, which consists of all of our assets other than our intellectual property. We have, and certain of our subsidiaries have, pledged substantially all of our respective assets as collateral under the loan documents. If SVB and our lenders accelerate the repayment of borrowings, if any, we may not have sufficient funds to repay our debt.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existing debt agreement may not be sufficient for our capital needs and we may require additional capital to support business growth, which might not be available on acceptable terms, if at all.</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intend to continue to make investments to support our business growth and we may require additional funds to continue to do so. Depending on availability of capital under our existing debt facility, profitability and cash flow, we may need to engage in equity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Class A common stock. Any debt financing we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if at all. If we are unable to obtain adequate financing or financing on satisfactory terms when required, our ability to continue to support our business growth and respond to business challenges could be significantly impaired, delayed or abandoned, and our business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28</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4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may be unable to make acquisitions and investments, successfully integrate acquired companies into our business, or our acquisitions and investments may not meet our expectations, any of which could adversely affect our business, financial condition, and results of operations.</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acquired KYM and Fundera in the third and fourth quarters of 2020, respectively. We do not have extensive experience acquiring and integrating other businesses and technologies and there are inherent risks in integrating the acquired personnel, operations and technologies and managing the combined business effectively following the acquisition.</w:t>
      </w:r>
    </w:p>
    <w:p>
      <w:pPr>
        <w:spacing w:after="0" w:line="13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may in the future acquire or invest in, businesses, offerings, technologies, or talent that we believe could complement or expand our existing product offerings, enhance our technical capabilities, or otherwise offer growth opportunities. The pursuit of future potential acquisitions and investments may divert the attention of management and cause us to incur significant expenses related to identifying, investigating, and pursuing suitable acquisitions and investments, whether or not they are consummated. Furthermore, even if we successfully acquire or invest in additional businesses or technologies, we may not achieve the anticipated benefits or synergies due to a number of factors, including, without limitation:</w:t>
      </w:r>
    </w:p>
    <w:p>
      <w:pPr>
        <w:spacing w:after="0" w:line="122" w:lineRule="exact"/>
        <w:rPr>
          <w:sz w:val="20"/>
          <w:szCs w:val="20"/>
          <w:color w:val="auto"/>
        </w:rPr>
      </w:pPr>
    </w:p>
    <w:p>
      <w:pPr>
        <w:ind w:left="660" w:right="2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 including claims related to the acquired company, its product offerings, or technology;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incurrence of acquisition-related or investment-related expenses, which would be recognized as a current period expense;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or investment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maintain relationships with customers and partners of the acquired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challenges maintaining quality and security standards consistent with our brand;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identify security vulnerabilities in acquired technology;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achieve anticipated synergies or unanticipated difficulty with integration into our corporate culture;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need to integrate or implement additional controls, procedures, and policies;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challenges caused by distance and cultural differences;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harm to our existing business relationships with business partners as a result of the acquisition or investment;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 diversion of management and employee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unanticipated complexity in accounting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or the incurrence of debt to consummate the acquisition;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disputes that may arise out of earn-outs, escrows, and other arrangements related to an acquisition of a company.</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Acquisitions also increase the risk of unforeseen legal liability, including for potential violations of applicable law or industry rules and regulations, arising from prior or ongoing acts or omissions by the acquired businesses that are not discovered by due diligence during the acquisition process. In addition, our acquisition agreements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29</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KYM and Fundera contain earn-out provisions. Disputes over whether the earn-out targets have been met could lead to litigation, management distraction and significant expense.</w:t>
      </w:r>
    </w:p>
    <w:p>
      <w:pPr>
        <w:spacing w:after="0" w:line="11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may have to pay cash, incur additional debt, or issue equity to pay for any future acquisitions or investments, each of which could adversely affect our financial condition. The sale of equity to finance any future acquisitions or investments could result in dilution to our stockholders. The incurrence of additional indebtedness would result in increased fixed obligations and could also include additional covenants or other restrictions that would impede our ability to manage our operations. Any of the foregoing could adversely affect our business, financial condition, and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acquisition agreements contain contingent consideration, the value of which may impact future operating results.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acquisition agreements include contingent earn-out consideration, the fair value of which was estimated as of the acquisition date based on the then-present value of the expected contingent payments as determined using weighted probabilities of possible future payments. These fair value estimates contain unobservable inputs and estimates that could materially differ from the actual future results. The fair value of the contingent earn-out consideration could increase or decrease, up to the contracted limit, as applicable. Changes in the fair value of contingent earn-outs will be reflected in our results of operations in the period in which changes in value occur, the amount of which may be material and cause volatility in our operating results.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or liabilities resulting from litigation could materially adversely affect our results of operations and financial condition.</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and may become party to various legal proceedings and other claims that arise in the ordinary course of business, or otherwise in the future. Such matters are subject to many uncertainties and outcomes are not predictable with assurance. In addition, any such claims or litigation may be time-consuming and costly, divert management resources, require us to change our platform or have other adverse effects on our business. While we cannot assure the ultimate outcome of any legal proceeding or contingency in which we are or may become involved, we do not believe that any pending legal claim or proceeding arising in the ordinary course will be resolved in a manner that would have a material adverse effect on our business. However, if one or more of these legal matters resulted in an adverse monetary judgment against us, such a judgment could harm our results of operations and financial condition.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continue to grow at historical rates or achieve or maintain profitability in the future.</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may not realize sufficient revenue to achieve or maintain profitability. As we grow our business, we expect our revenue growth rates may slow in future periods due to a number of reasons, which may include slowing demand for our service, increasing competition, a decrease in the growth of our overall markets, and our failure to capitalize on growth opportunities or the maturation of our business. Our growth rate may slow for a number of reasons, including insufficient growth or a decline in the number of users increasing competition, as well as other risks described in these Risk Factors, and we may encounter unforeseen expenses, difficulties, complications and delays and other unknown factors. We expect to continue to make investments in the development and expansion of our business, which may not result in increased or sufficient revenue or growth, as a result of which we may not be able to achieve or maintain sustained profitability.</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made significant estimates and judgments in calculating our income tax provision and other tax assets and liabilities. If these estimates or judgments are incorrect, our operating results and financial condition may be materially affected.</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subject to regular review and audit by both domestic and foreign tax authorities. Any adverse outcome of such a review or audit could have a negative effect on our operating results and financial condition. In addition, the determination of our provision for income taxes and other tax assets and liabilities requires significant judgment, and there are many transactions and calculations where the ultimate tax determination is uncertain at the present time. Although we believe our estimates and judgments are reasonable, the ultimate tax outcome may differ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30</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amounts recorded in our financial statements and may have a material effect on our operating results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of December 31, 2020, we had federal net operating loss carryforwards of approximately $31.6 million, of which $13.1 million, if not utilized, will begin to expire in 2033, and the remaining $18.5 million can be carried forward indefinitely. As of December 31, 2020, we had state net operating loss carryforwards of approximately $17.4 million, the majority of which, if not utilized, will begin to expire on various dates beginning in 2032. In addition, we have approximately $8.8 million and $10.6 million of federal and California research and development credit carryforwards, respectively. The federal credits will start to expire in 2037, while the California credits can be carried forward indefinitely. If we experience one or more ownership changes in the future as a result of future transactions in our stock, our ability to utilize net operating loss carryforwards could be limited. Under the Tax Cuts and Jobs Act of 2017, as modified by the Coronavirus Aid, Relief, and Economic Security (CARES) Act, U.S. federal net operating losses incurred in taxable years beginning after December 31, 2017, may be carried forward indefinitely, but the deductibility of such federal net operating losses in taxable years beginning after December 31, 2020, is limited.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Class A Common Stock</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our Co-Founder and CEO, Tim Chen, which will limit or preclude your ability to influence corporate matters.</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Class B common stock has ten votes per share, and our Class A common stock, which is the stock we are offering in our initial public offering, has one vote per share. Tim Chen, our founder and chief executive officer, and his affiliated trusts hold all outstanding shares of Class B common stock, which</w:t>
      </w:r>
    </w:p>
    <w:p>
      <w:pPr>
        <w:jc w:val="both"/>
        <w:spacing w:after="0" w:line="265" w:lineRule="auto"/>
        <w:rPr>
          <w:sz w:val="20"/>
          <w:szCs w:val="20"/>
          <w:color w:val="auto"/>
        </w:rPr>
      </w:pPr>
      <w:r>
        <w:rPr>
          <w:rFonts w:ascii="Arial" w:cs="Arial" w:eastAsia="Arial" w:hAnsi="Arial"/>
          <w:sz w:val="17"/>
          <w:szCs w:val="17"/>
          <w:color w:val="auto"/>
        </w:rPr>
        <w:t>will constitute approximately % of the voting power of our outstanding capital stock following our initial public offering, based on the number of shares outstanding as of , 2021. Because of the ten-to-one voting ratio between our Class B and Class A common stock, the holders of our Class B</w:t>
      </w:r>
    </w:p>
    <w:p>
      <w:pPr>
        <w:jc w:val="both"/>
        <w:spacing w:after="0" w:line="253" w:lineRule="auto"/>
        <w:rPr>
          <w:sz w:val="20"/>
          <w:szCs w:val="20"/>
          <w:color w:val="auto"/>
        </w:rPr>
      </w:pPr>
      <w:r>
        <w:rPr>
          <w:rFonts w:ascii="Arial" w:cs="Arial" w:eastAsia="Arial" w:hAnsi="Arial"/>
          <w:sz w:val="18"/>
          <w:szCs w:val="18"/>
          <w:color w:val="auto"/>
        </w:rPr>
        <w:t>common stock collectively will continue to control a majority of the combined voting power of our common stock and therefore be able to control all matters submitted to our stockholders for approval so long as the shares of Class B common stock represent at least 9.1% of all outstanding shares of our Class A and Class B common stock. This concentrated control will limit or preclude your ability to influence corporate governance matters and transactions for the foreseeable future.</w:t>
      </w:r>
    </w:p>
    <w:p>
      <w:pPr>
        <w:spacing w:after="0" w:line="13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Future transfers by holders of Class B common stock will generally result in those shares converting to Class A common stock, subject to limited exceptions, such as certain transfers effected for tax or estate planning purposes. The conversion of Class B common stock to Class A common stock will have the effect, over time, of increasing the relative voting power of those holders of Class B common stock who retain their shares in the long-term. If, for example, Mr. Chen retains a significant portion of his holdings of Class B common stock for an extended period of time, he could, in the future, continue to control a majority of the combined voting power of our Class A common stock and Class B common stock.</w:t>
      </w:r>
    </w:p>
    <w:p>
      <w:pPr>
        <w:spacing w:after="0" w:line="12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Mr. Chen and his affiliated trusts have the ability to control the outcome of all matters submitted to our stockholders for approval, including the election, removal, and replacement of directors and any merger, consolidation, or sale of all or substantially all of our assets. If Mr. Chen’s employment with us is terminated, he will continue to have the ability to exercise the same significant voting power and potentially control the outcome of all matters submitted to our stockholders for approval. Mr. Chen’s and his affiliated trusts’ shares of Class B common stock will automatically convert into Class A common stock, on a one-to-one basis, upon any sale or transfer of the applicable shares (other than transfers to certain permitted entities) or upon his death. This concentrated control could delay, defer, or prevent a change of control, merger, consolidation, or sale of all or substantially all of our assets that our other stockholders support. Conversely, this concentrated control could allow Mr. Chen to consummate such a transaction that our other stockholders do not support. In addition, Mr. Chen may make long-term strategic investment decisions and take risks that may not be successful and may seriously harm our business.</w:t>
      </w:r>
    </w:p>
    <w:p>
      <w:pPr>
        <w:spacing w:after="0" w:line="14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our CEO, Mr. Chen has control over our day-to-day management and the implementation of major strategic investments of our company, subject to authorization and oversight by our board of directors. As a board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31</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officer, Mr. Chen owes a fiduciary duty to our stockholders and must act in good faith in a manner he reasonably believes to be in the best interests of our stockholders. As a stockholder, Mr. Chen and his affiliated trusts are entitled to vote their shares, and shares over which they have voting control, in their own interests, which may not always be in the interests of our stockholders generally. For a description of the rights of the Class A common stock and Class B common stock, see the section titled “Description of Capital Stock.”</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be a “controlled company” within the meaning of the Nasdaq Listing Rules and, as a result, will be exempt from certain corporate governance requirements.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Upon the completion of this offering, Mr. Chen and his affiliated trusts will hold capital stock representing a majority of our outstanding voting power. So long as Mr. Chen and his affiliated trusts maintain holdings of more than 50% of the voting power of our capital stock for the election of directors, we will be a “controlled company” within the meaning of the Nasdaq Listing Rules and Nasdaq corporate governance standards. Under these standards, a listed company of which more than 50% of the voting power is held by an individual, group or another company is a “controlled company” and may elect not to comply with certain Nasdaq corporate governance requirements, including:</w:t>
      </w:r>
    </w:p>
    <w:p>
      <w:pPr>
        <w:spacing w:after="0" w:line="134"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 as defined under Nasdaq rules;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requirement that we have a compensation committee that is composed entirely of independent directors;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requirement that we have a nominating and corporate governance committee or otherwise have director nominees selected by vote of a majority of the independent directors.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intend to use these exemptions following this offering. As a result, following this offering, we do not intend to have a compensation committee composed entirely of independent directors, nor do we intend to have a nominating and corporate governance committee or an independent nominating function. Our full board of directors will be directly responsible for nominating members of our board.</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Even as a controlled company, we will remain subject to the rules of Sarbanes-Oxley as well as the Nasdaq Listing Rules that require us to have an audit committee composed entirely of independent directors, subject to permitted phase-in rules. Under these phase-in rules, we are required to have one independent audit committee member upon the listing date of our Class A common stock, a majority of independent audit committee members within 90 days from the listing date and all independent audit committee members within one year from the listing date. Upon our listing, we expect that our audit committee will be comprised of three members, two of whom will be independent.</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we are no longer eligible to rely on the “controlled company” exceptions, we will need to comply with all applicable Nasdaq corporate governance requirements, but we will be able to rely on phase-in periods for certain of these requirements in accordance with the Nasdaq Listing Rules. Accordingly, our stockholders may not have the same protections afforded to stockholders of companies that are subject to all Nasdaq corporate governance requirements.</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do not know whether an active, liquid and orderly trading market will develop for our Class A common stock or what the market price of our Class A common stock will be, and as a result it may be difficult for you to sell your shares of our Class A common stock.</w:t>
      </w:r>
    </w:p>
    <w:p>
      <w:pPr>
        <w:spacing w:after="0" w:line="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Prior to this offering there has been no public market for shares of our Class A common stock. An active trading market for our shares may never develop or be sustained following this offering. You may not be able to sell your shares quickly or at the market price if trading in shares of our Class A common stock is not active. The initial public offering price for our Class A common stock will be determined through negotiations with the underwriters, and the negotiated price may not be indicative of the market price of the Class A common stock after the offering. As a result of these and other factors, you may be unable to resell your shares of our Class A common stock at or above the initial public offering price. Further, an inactive market may also impair our ability to raise capital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32</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shares of our Class A common stock and may impair our ability to enter into strategic partnerships or acquire companies or products by using our shares of Class A common stock as consideration.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dual class structure may have on the market price of our Class A common stock.</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cannot predict whether our dual class structure, combined with the concentrated control of our co-founder and chief executive officer, Tim Chen, and his affiliated trusts, will result in a lower or more volatile market price of our Class A common stock or in adverse publicity or other adverse consequences. For example, certain index providers have announced restrictions on including companies with multiple class share structures in certain of their indexes. For example, in July 2017, FTSE Russell and Standard &amp; Poor’s announced that they would cease to allow most newly public companies utilizing dual or multi-class capital structures to be included in their indices. Under the announced policies, our dual class capital structure would make us ineligible for inclusion in any of these indices. Given the sustained flow of investment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stock may be volatile, and you could lose all or part of your investment.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trading price of our Class A common stock could be volatile, and you could lose all or part of your investment. The following factors, in addition to other factors described in this “Risk Factors” section and included elsewhere in this prospectus, may have a significant impact on the market price of our Class A common stock:</w:t>
      </w:r>
    </w:p>
    <w:p>
      <w:pPr>
        <w:spacing w:after="0" w:line="13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operating and financial performance, quarterly or annual earnings relative to similar companies;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publication of research reports or news stories about us, our competitors or our industry, or positive or negative recommendations or withdrawal of research coverage by securities analysts;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by us or our competitors of acquisitions, business plans or commercial relationships;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major change in our board of directors or senior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of our Class A common stock by us, our directors, executive officers, principal stockholders, or senior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market reaction to any indebtedness we may incur or refinance or securities we may issue in the future;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short sales, hedging and other derivative transactions in our Class A common stock;</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exposure to capital market risks related to changes in interest rates, realized investment losses, credit spreads, equity prices, and foreign exchange rates;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creditworthiness, financial condition, performance, and prospects;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dividend policy and whether dividends on our Class A common stock have been, and are likely to be, declared and paid from time to time;</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perceptions of the investment opportunity associated with our Class A common stock relative to other investment alternatives;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or legal developments;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general market, economic, and political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33</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4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conditions or trends in our industry, geographies or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threatened or actual litigation or government investigations.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addition, broad market and industry factors may negatively affect the market price of our Class A common stock, regardless of our actual operating performance, and factors beyond our control may cause our stock price to decline rapidly and unexpectedly. In addition,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harm our business, financial condition, results of operations or prospects. Any adverse determination in litigation could also subject us to significant liabilities.</w:t>
      </w:r>
    </w:p>
    <w:p>
      <w:pPr>
        <w:spacing w:after="0" w:line="10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results of operations may fluctuate on a quarterly and annual basis, which may impact our stock price and make it difficult to predict our future performance.</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revenue and results of operations could vary significantly from quarter to quarter and year to year and may fail to match periodic expectations as a result of a variety of factors, many of which are outside of our control. Our results may vary from period to period as a result of fluctuations in the number of users using our platform to apply for or sign up for financial services products as well as fluctuations in the timing and amount of our expenses. Fluctuations and variability across our industry and the general economy may also affect our revenue. As a result, comparing our results of operations on a period-to-period basis may not be meaningful, and the results of any one period should not be relied on as an indication of future performance. Our results of operations may not meet the expectations of investors or public market analysts who follow us, which may adversely affect our stock price. In addition to other risk factors discussed in this “Risk Factors” section and elsewhere in this prospectus, factors that may contribute to the variability of our quarterly and annual results include:</w:t>
      </w:r>
    </w:p>
    <w:p>
      <w:pPr>
        <w:spacing w:after="0" w:line="138"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attract new users and retain existing users, including in a cost-effective manner;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accurately forecast revenue and losses and appropriately plan our expenses;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effects of changes in search engine algorithms and prominence of our editorial articles in search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effects of increased competition on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successfully maintain our position in and expand in existing markets as well as successfully enter new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and changes in, governmental or other regulation affecting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maintain an adequate rate of growth and effectively manage that growth;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keep pace with technological changes in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success of our sales and marketing efforts;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protect our existing intellectual property and to create new intellectual property;</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associated with defending claims, including accident and coverage claims, intellectual property infringement claims, misclassifications and related judgments or settlements;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attraction and retention of qualified employees and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effectiveness of our internal controls;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our tax rates or exposure to additional tax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34</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you purchase our Class A common stock in this offering, you will incur immediate and substantial dilution in the book value of your shares.</w:t>
      </w:r>
    </w:p>
    <w:p>
      <w:pPr>
        <w:spacing w:after="0" w:line="19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initial public offering price is substantially higher than the pro forma as adjusted net tangible book value per share of our Class A common stock. Investors purchasing Class A common stock in this offering will pay a price per share that substantially exceeds the pro forma as adjusted book value of our</w:t>
      </w:r>
    </w:p>
    <w:p>
      <w:pPr>
        <w:jc w:val="both"/>
        <w:spacing w:after="0" w:line="281" w:lineRule="auto"/>
        <w:rPr>
          <w:sz w:val="20"/>
          <w:szCs w:val="20"/>
          <w:color w:val="auto"/>
        </w:rPr>
      </w:pPr>
      <w:r>
        <w:rPr>
          <w:rFonts w:ascii="Arial" w:cs="Arial" w:eastAsia="Arial" w:hAnsi="Arial"/>
          <w:sz w:val="16"/>
          <w:szCs w:val="16"/>
          <w:color w:val="auto"/>
        </w:rPr>
        <w:t>tangible assets after subtracting our liabilities. Based on the assumed initial public offering price of $ per share, which is the midpoint of the estimated price range set forth on the cover page of this prospectus, you will experience immediate dilution of $ per share, representing the difference between our</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pro forma as adjusted net tangible book value per share after this offering and the initial public offering price per share. After this offering, we will also have outstanding options to purchase Class A common stock with exercise prices lower than the initial public offering price. To the extent these outstanding options are exercised, there will be further dilution to investors in this offering. See the section titled “Dilution” for additional information.</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Class A common stock less attractive to investors.</w:t>
      </w:r>
    </w:p>
    <w:p>
      <w:pPr>
        <w:spacing w:after="0" w:line="116"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reduced disclosure obligations regarding executive compensation in this prospectus and our periodic reports and proxy statements and exemptions from the requirements of holding nonbinding advisory votes on executive compensation and stockholder approval of any golden parachute payments not previously approved. We could be an emerging growth company for up to five years following the year in which we complete this offering, although circumstances could cause us to lose that status earlier. We will remain an emerging growth company until the earlier of (1) the last day of the fiscal year (a) following the fifth anniversary of the completion of this offering, (b) in which we have total annual gross revenue of at least $1.07 billion or</w:t>
      </w:r>
    </w:p>
    <w:p>
      <w:pPr>
        <w:spacing w:after="0" w:line="2" w:lineRule="exact"/>
        <w:rPr>
          <w:sz w:val="20"/>
          <w:szCs w:val="20"/>
          <w:color w:val="auto"/>
        </w:rPr>
      </w:pPr>
    </w:p>
    <w:p>
      <w:pPr>
        <w:jc w:val="both"/>
        <w:ind w:firstLine="8"/>
        <w:spacing w:after="0" w:line="255"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which we are deemed to be a large accelerated filer, which requires the market value of our Class A common stock that is held by non-affiliates to exceed $700 million as of the prior June 30th, and (2) the date on which we have issued more than $1 billion in non-convertible debt during the prior three-year period.</w:t>
      </w:r>
    </w:p>
    <w:p>
      <w:pPr>
        <w:spacing w:after="0" w:line="13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 If some investors find our Class A common stock less attractive as a result, there may be a less active trading market for our Class A common stock, and our stock price may be more volatile.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public company, we will be subject to more stringent federal and state law requirements.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a public company, we will be subject to the reporting requirements of the Securities Exchange Act of 1934, as amended, or the Exchange Act, the Sarbanes-Oxley Act, the Dodd–Frank Act, the listing requirements of Nasdaq and other applicable securities rules and regulations. Despite reforms made possible by the JOBS Act, compliance with these rules and regulations will nonetheless increase our legal and financial compliance costs, make some activities more difficult, time-consuming or costly and increase demand on our systems and resources, particularly after we are no longer an emerging growth company. The Exchange Act requires, among other things, that we file annual, quarterly and current reports with respect to our business and operating results.</w:t>
      </w:r>
    </w:p>
    <w:p>
      <w:pPr>
        <w:spacing w:after="0" w:line="13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a result of disclosure of information in this prospectus and in filings required of a public company, our business and financial condition will become more visible, which we believe may result in threatened or actual litigation, including by competitors and other third parties. If such claims are successful, our business, results of operations, financial condition and prospects could be harmed, and even if the claims do not result in litigation or are resolved in our favor, these claims, and the time and resources necessary to resolve them, could divert the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35</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of our management and adversely affect our brand and reputation, business, results of operations, financial condition and prospects. We also expect that being a public company and the associated rules and regulations will make it more expensive for us to obtain director and officer liability insurance, and we may be required to accept reduced coverage or incur substantially higher costs to obtain adequate coverage. These factors could also make it more difficult for us to attract and retain qualified members of our board of directors, particularly to serve on our audit committee and compensation committee, and qualified executive officers.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any cash dividends for the foreseeable future.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never declared or paid cash dividends on our capital stock, and do not anticipate paying any cash dividends in the foreseeable future. We currently intend to retain future earnings, if any, to fund the development and growth of our business. Any future determination to pay dividends will be at the discretion of the Board of Directors and will be dependent upon our financial condition, results of operations, capital requirements, applicable contractual restrictions and such other factors as the Board of Directors may deem relevant.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The failure by our management to apply these funds effectively could harm our business. Pending their use, we may invest the net proceeds from this offering in short- and intermediate-term, interest-bearing instruments, certificates of deposit or direct or guaranteed obligations of the U.S. government.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incur significant increased costs as a result of operating as a public company, and our management will be required to devote substantial time to new compliance initiatives.</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a public company, and particularly after we are no longer an emerging growth company, we will incur significant legal, accounting, investor relations and other expenses that we did not incur as a private company. In addition, the Sarbanes-Oxley Act and rules subsequently implemented by the SEC and Nasdaq have imposed various requirements on public companies, including establishment and maintenance of effective disclosure and financial controls and corporate governance practices. Stockholder activism, the current political environment and the current high level of U.S. government intervention and regulatory reform may also lead to substantial new regulations and disclosure obligations, which may in turn lead to additional compliance costs and impact the manner in which we operate our business in ways we do not currently anticipate. Our management and other personnel will need to devote a substantial amount of time to comply with these requirements. Moreover, these requirements will increase our legal and financial compliance costs and will make some activities more time-consuming and costly. For example, we expect that these rules and regulations may make it more difficult and more expensive for us to obtain director and officer liability insurance. We cannot predict or estimate the amount or timing of additional costs we may incur to respond to these requirements.</w:t>
      </w:r>
    </w:p>
    <w:p>
      <w:pPr>
        <w:spacing w:after="0" w:line="13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Class A common stock may decline.</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Pursuant to Section 404 of the Sarbanes-Oxley Act,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The rules governing the standards that must be met for management to assess our internal control over financial reporting are complex and require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36</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documentation, testing and possible remediation. To comply with the Sarbanes-Oxley Act, the requirements of being a reporting company under the Exchange Act and any complex accounting rules in the future, we may need to upgrade our information technology systems; implement additional financial and management controls, reporting systems and procedures; and hire additional accounting and finance staff. We are currently in the process of hiring additional accounting and finance staff as we grow our business. If we are unable to hire the additional accounting and finance staff necessary to comply with these requirements, we may need to retain additional outside consultants. If we or, if required, our auditors, are unable to conclude that our internal control over financial reporting is effective, investors may lose confidence in our financial reporting and the trading price of our Class A common stock may decline.</w:t>
      </w:r>
    </w:p>
    <w:p>
      <w:pPr>
        <w:spacing w:after="0" w:line="14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There can be no assurance that there will not be material weaknesses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that we have a material weakness in our internal control over financial reporting, investors may lose confidence in the accuracy and completeness of our financial reports, the market price of our Class A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Class A common stock by our existing stockholders in the public market could cause our stock price to fall.</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If our existing stockholders sell, or indicate an intention to sell, substantial amounts of our Class A common stock in the public market after the lock-up and other legal restrictions on resale discussed in this prospectus lapse, the trading price of our Class A common stock could decline. Based on shares outstanding as of June 30, 2021, upon the closing of this offering, we will have outstanding a total of 51,002,876 shares of Class A common stock (including shares of our redeemable convertible preferred stock on an as-converted basis, assuming a 1:1 conversion) and 63,371,308 shares of Class B common stock. Of these shares, only the shares of Class A common stock sold in this offering by us, plus any shares sold upon exercise of the underwriters’ option to purchase additional shares, will be freely tradable without restriction in the public market immediately following this offering.</w:t>
      </w:r>
    </w:p>
    <w:p>
      <w:pPr>
        <w:spacing w:after="0" w:line="11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Shares of Class A common stock that are either subject to outstanding options or restricted stock unit awards will become eligible for sale in the public market to the extent permitted by the provisions of various vesting schedules, the lock-up agreements and Rule 144 and Rule 701 under the Securities Act of 1933, as amended, or the Securities Act. If these additional shares of Class A common stock are sold, or if it is perceived that they will be sold, in the public market, the trading price of our Class A common stock could decline.</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After this offering, the holders of 31,344,009 shares of our capital stock will be entitled to rights with respect to the registration of their shares under the Securities Act, subject to the lock-up agreements described above. See the section titled “Description of Capital Stock—Registration Rights”.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harm the trading price of our Class A common stock.</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trading market for our Class A common stock will depend in part on the research and reports that securities or industry analysts publish about us or our business. Securities and industry analysts do not currently, and may never, publish research on our company. If no securities or industry analysts commence coverage of our company, the trading price for our stock would likely be negatively impacted. In the event securities or industry analysts initiate coverage, if one or more of the analysts who covers us downgrades our stock or publishes inaccurate or unfavorable research about our business, our stock price may decline. If one or more of these analysts ceases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37</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coverage of our company or fails to publish reports on us regularly, demand for our stock could decrease, which might cause our stock price and trading volume to decline.</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that will become effective upon the closing of this offering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Class A common stock, thereby depressing the market price of our Class A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the following:</w:t>
      </w:r>
    </w:p>
    <w:p>
      <w:pPr>
        <w:spacing w:after="0" w:line="141" w:lineRule="exact"/>
        <w:rPr>
          <w:sz w:val="20"/>
          <w:szCs w:val="20"/>
          <w:color w:val="auto"/>
        </w:rPr>
      </w:pPr>
    </w:p>
    <w:p>
      <w:pPr>
        <w:jc w:val="both"/>
        <w:ind w:left="660" w:hanging="328"/>
        <w:spacing w:after="0" w:line="263"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a dual class common stock structure, which provides Mr. Chen and his affiliated trusts with the ability to control the outcome of matters requiring stockholder approval, even if he owns significantly less than a majority of the shares of our outstanding Class A and Class B common stock;</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only our chairperson, our chief executive officer, a holder of more than 21,000,000 shares of Class B common stock (subject to adjustment for stock splits, stock dividends, stock combinations and the like), or a majority of our board of directors will be authorized to call a special meeting of stockholders;</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advance notice procedures will apply for stockholders to nominate candidates for election as directors or to bring matters before an annual meeting of stockholders;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restated certificate of incorporation will authorize undesignated preferred stock, the terms of which may be established, and shares of which may be issued, without stockholder approval;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certain litigation against us can only be brought in Delaware.</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or DGCL,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Class A common stock, including transactions that may be in your best interests. These provisions may also prevent changes in our management or limit the price that investors are willing to pay for our stock.</w:t>
      </w:r>
    </w:p>
    <w:p>
      <w:pPr>
        <w:spacing w:after="0" w:line="11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information regarding these and other provisions, see the section titled “Description of Capital Stock—Anti-Takeover Effects of Delaware Law and Our Certificate of Incorporation and Bylaws.”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amended and restated certificate of incorporation and amended and restated bylaws that will become effective upon the closing of this offering will provide that we will indemnify our directors and officers, in each case, to the fullest extent permitted by Delaware law. Delaware law provides that directors of a corporation will not be personally liable for monetary damages for any breach of fiduciary duties as directors, except liability for:</w:t>
      </w:r>
    </w:p>
    <w:p>
      <w:pPr>
        <w:spacing w:after="0" w:line="95"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38</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44"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amended and restated bylaws that will be in effect upon the completion of this offering will provide that we are required to indemnify our directors and officers to the fullest extent permitted by Delaware law and may indemnify our other employees and agents. Our amended and restated bylaws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and executive officers. With certain exceptions, these agreements provide for indemnification for related expenses, including attorneys’ fees, judgments, fines and settlement amounts incurred by any of these individuals in connection with any action, proceeding or investigation. We believe that these amended and restated certificate of incorporation and amended and restated bylaws provisions and indemnification agreements are necessary to attract and retain qualified persons as directors and officers.</w:t>
      </w:r>
    </w:p>
    <w:p>
      <w:pPr>
        <w:spacing w:after="0" w:line="1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While we maintain directors’ and officers’ liability insurance, such insurance may not be adequate to cover all liabilities that we may incur, which may reduce our available funds to satisfy third-party claims and may adversely impact our cash position.</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amended and restated certificate of incorporation that will become effective upon the completion of this offering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amended and restated certificate of incorporation that will become effective upon the completion of this offering will provide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exclusive forum for the following claims or causes of action under Delaware statutory or common law:</w:t>
      </w:r>
    </w:p>
    <w:p>
      <w:pPr>
        <w:spacing w:after="0" w:line="133"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derivative claim or cause of action brought on our behalf;</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claim or cause of action for breach of a fiduciary duty owed by any of our current or former directors, officers or other employees to us or our stockholders;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claim or cause of action against us or any of our current or former directors, officers or other employees, arising out of or pursuant to any provision of the DGCL, our certificate of incorporation or our bylaws;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any claim or cause of action seeking to interpret, apply, enforce or determine the validity of our certificate of incorporation or our bylaws;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action or proceeding as to which the DGCL confers jurisdiction to the Court of Chancery of the State of Delaware; and</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claim or cause of action against us or any of our current or former directors, officers or other employees that is governed by the internal-affairs doctrine, in all cases to the fullest extent permitted by law and subject to the court having personal jurisdiction over the indispensable parties named as defendants.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39</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4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This provision would not apply to claims or causes of action brought to enforce a duty or liability created by the Exchange Act, or any other claim for which the federal courts have exclusive jurisdiction, or the Securities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that will become effective upon the completion of this offering will provide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1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additional costs associated with resolving the dispute in other jurisdictions, which could seriously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40</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prospectus contains forward-looking statements about us and our industry that involve substantial risks and uncertainties. All statements other than statements of historical facts contained in this prospectus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statements concerning the following:</w:t>
      </w:r>
    </w:p>
    <w:p>
      <w:pPr>
        <w:spacing w:after="0" w:line="134"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expectations regarding our future financial performance, including total revenue, costs of revenue, Adjusted EBITDA and MUUs;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grow traffic and engagement on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convert users into Registered Users and improve repeat user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convert consumers into matches with financial services partners;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grow within existing and new verticals;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expand geographically;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ability to maintain and expand our relationships with our existing financial services partners and to identify new financial services partners;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build efficient and scalable technical capabilities to deliver personalized guidance and nudge users;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maintain and enhance our brand awareness and consumer trust;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generate high quality, engaging consumer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adapt to the evolving financial interests of consumers;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compete with existing and new competitors in existing and new market verticals;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maintain the security and availability of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identify, attract and retain highly skilled, diverse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stay in compliance with laws and regulations that currently apply or become applicable to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sufficiency of our cash, cash equivalents, and investments to meet our liquidity needs;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effectively manage our growth and expand our infrastructure and maintain our corporate culture;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successfully identify, manage, and integrate any existing and potential acquisitions.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41</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3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prospectus.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0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42</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AND INDUSTRY DATA</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prospectus contains estimates and information concerning our industry, including market size and growth rates of the markets in which we participate, that are based on industry publications and reports. This information involves a number of assumptions and limitations, and you are cautioned not to give undue weight to these estimates. We have not independently verified the accuracy or completeness of the data contained in these industry publications and reports. The industry in which we operate is subject to a high degree of uncertainty and risk due to a variety of factors, including those described in the section titled “Risk Factors.” These and other factors could cause results to differ materially from those expressed in these publications and reports.</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information in the text of this prospectus is contained in independent industry publications. The source of these independent industry publications is provided below:</w:t>
      </w:r>
    </w:p>
    <w:p>
      <w:pPr>
        <w:spacing w:after="0" w:line="116"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Tallo, Tallo Data: GenZ + Personal Finance Data March 11, 2021;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National Financial Educators Council, National Financial Literacy Test Results March 9, 2021;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IDC, Worldwide Digital Advertising Market Model (DAMM);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eMarketer, US Financial Services Digital Ad Spending 2020, August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43</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ind w:left="340"/>
        <w:spacing w:after="0"/>
        <w:tabs>
          <w:tab w:leader="none" w:pos="7200" w:val="left"/>
          <w:tab w:leader="none" w:pos="10260" w:val="left"/>
        </w:tabs>
        <w:rPr>
          <w:sz w:val="20"/>
          <w:szCs w:val="20"/>
          <w:color w:val="auto"/>
        </w:rPr>
      </w:pPr>
      <w:r>
        <w:rPr>
          <w:rFonts w:ascii="Arial" w:cs="Arial" w:eastAsia="Arial" w:hAnsi="Arial"/>
          <w:sz w:val="18"/>
          <w:szCs w:val="18"/>
          <w:color w:val="auto"/>
        </w:rPr>
        <w:t>We estimate that we will receive net proceeds from this offering of approximately $</w:t>
      </w:r>
      <w:r>
        <w:rPr>
          <w:sz w:val="20"/>
          <w:szCs w:val="20"/>
          <w:color w:val="auto"/>
        </w:rPr>
        <w:tab/>
      </w:r>
      <w:r>
        <w:rPr>
          <w:rFonts w:ascii="Arial" w:cs="Arial" w:eastAsia="Arial" w:hAnsi="Arial"/>
          <w:sz w:val="18"/>
          <w:szCs w:val="18"/>
          <w:color w:val="auto"/>
        </w:rPr>
        <w:t>million (or approximately $</w:t>
      </w:r>
      <w:r>
        <w:rPr>
          <w:sz w:val="20"/>
          <w:szCs w:val="20"/>
          <w:color w:val="auto"/>
        </w:rPr>
        <w:tab/>
      </w:r>
      <w:r>
        <w:rPr>
          <w:rFonts w:ascii="Arial" w:cs="Arial" w:eastAsia="Arial" w:hAnsi="Arial"/>
          <w:sz w:val="17"/>
          <w:szCs w:val="17"/>
          <w:color w:val="auto"/>
        </w:rPr>
        <w:t>million if the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underwriters exercise their option to purchase additional shares of Class A common stock in full) based on an assumed initial public offering price of</w:t>
      </w:r>
    </w:p>
    <w:p>
      <w:pPr>
        <w:spacing w:after="0" w:line="21" w:lineRule="exact"/>
        <w:rPr>
          <w:sz w:val="20"/>
          <w:szCs w:val="20"/>
          <w:color w:val="auto"/>
        </w:rPr>
      </w:pPr>
    </w:p>
    <w:p>
      <w:pPr>
        <w:ind w:firstLine="8"/>
        <w:spacing w:after="0" w:line="260" w:lineRule="auto"/>
        <w:tabs>
          <w:tab w:leader="none" w:pos="889"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 share of Class A common stock, the midpoint of the estimated price range set forth on the cover page of this prospectus, after deducting estimated underwriting discounts and commissions and estimated offering expenses.</w:t>
      </w:r>
    </w:p>
    <w:p>
      <w:pPr>
        <w:spacing w:after="0" w:line="131"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A $1.00 increase (decrease) in the assumed initial public offering price of $ per share of Class A common stock would increase (decrease) the net proceeds to us from this offering by approximately $ million, assuming the number of shares offered by us, as set forth on the cover page of</w:t>
      </w:r>
    </w:p>
    <w:p>
      <w:pPr>
        <w:jc w:val="both"/>
        <w:spacing w:after="0" w:line="280" w:lineRule="auto"/>
        <w:rPr>
          <w:sz w:val="20"/>
          <w:szCs w:val="20"/>
          <w:color w:val="auto"/>
        </w:rPr>
      </w:pPr>
      <w:r>
        <w:rPr>
          <w:rFonts w:ascii="Arial" w:cs="Arial" w:eastAsia="Arial" w:hAnsi="Arial"/>
          <w:sz w:val="16"/>
          <w:szCs w:val="16"/>
          <w:color w:val="auto"/>
        </w:rPr>
        <w:t>this prospectus, remains the same, and after deducting estimated underwriting discounts and commissions. Similarly, each increase (decrease) of 1.0 million shares in the number of shares of Class A common stock offered by us would increase (decrease) the net proceeds to us from this offering by approximately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million, assuming the assumed initial public offering price of $ per share of Class A common stock remains the same, and after estimated deducting underwriting discounts and commissions.</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principal purposes of this offering are to increase our capitalization and financial flexibility, and create a public market for our Class A common stock. We intend to use the net proceeds we receive from this offering for general corporate purposes, including working capital, operating expenses and capital expenditures. In addition, we intend to use approximately $28.7 million of the net proceeds we receive from this offering to repay all outstanding principal amounts and accrued interest under certain promissory notes held by family trusts affiliated with Jacob Gibson, one of our co-founders. These promissory notes bear interest at the rate of 4.29% per year and mature in January 2026, and are also required to be repaid upon a deemed liquidation event or an initial public offering. We cannot specify with certainty all of the particular uses for the remaining net proceeds to us from this offering. We may also use a portion of the net proceeds for acquisitions and/or strategic investments in complementary businesses, products, services or technologies. However, we do not have agreements or commitments to enter into any such acquisitions or investments at this time. We will have broad discretion over how to use the net proceeds to us from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44</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 The terms of our credit agreement with Silicon Valley Bank and certain other lenders restrict our ability to pay dividends, and we may enter into additional agreements in the future that could also contain restrictions on payments of cash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45</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40"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CAPITALIZATION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cash and cash equivalents and restricted cash, and our capitalization as of June 30, 2021 as follows:</w:t>
      </w:r>
    </w:p>
    <w:p>
      <w:pPr>
        <w:spacing w:after="0" w:line="171"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71"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a pro forma basis to reflect (1) the automatic conversion of all outstanding shares of our redeemable convertible preferred stock as of June 30, 2021 into 15,169,664 shares of Class A common stock immediately prior to the completion of this offering, (2) the reclassification of all 63,371,308 outstanding shares of our Class F common stock into an equal number of shares of our Class B common stock immediately prior to the completion of this offering and, and (3) the filing of our amended and restated certificate of incorporation immediately prior to the completion of this offering; and</w:t>
      </w:r>
    </w:p>
    <w:p>
      <w:pPr>
        <w:sectPr>
          <w:pgSz w:w="11900" w:h="16838" w:orient="portrait"/>
          <w:cols w:equalWidth="0" w:num="1">
            <w:col w:w="11240"/>
          </w:cols>
          <w:pgMar w:left="320" w:top="1440" w:right="339" w:bottom="1440" w:gutter="0" w:footer="0" w:header="0"/>
        </w:sectPr>
      </w:pPr>
    </w:p>
    <w:p>
      <w:pPr>
        <w:spacing w:after="0" w:line="1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ind w:hanging="4"/>
        <w:spacing w:after="0" w:line="258" w:lineRule="auto"/>
        <w:rPr>
          <w:sz w:val="20"/>
          <w:szCs w:val="20"/>
          <w:color w:val="auto"/>
        </w:rPr>
      </w:pPr>
      <w:r>
        <w:rPr>
          <w:rFonts w:ascii="Arial" w:cs="Arial" w:eastAsia="Arial" w:hAnsi="Arial"/>
          <w:sz w:val="18"/>
          <w:szCs w:val="18"/>
          <w:color w:val="auto"/>
        </w:rPr>
        <w:t>on a pro forma as adjusted basis to give further effect to our issuance and sale of</w:t>
      </w:r>
      <w:r>
        <w:rPr>
          <w:sz w:val="20"/>
          <w:szCs w:val="20"/>
          <w:color w:val="auto"/>
        </w:rPr>
        <w:t xml:space="preserve"> </w:t>
      </w:r>
      <w:r>
        <w:rPr>
          <w:rFonts w:ascii="Arial" w:cs="Arial" w:eastAsia="Arial" w:hAnsi="Arial"/>
          <w:sz w:val="18"/>
          <w:szCs w:val="18"/>
          <w:color w:val="auto"/>
        </w:rPr>
        <w:t>shares of Class A common stock in this offering at an assumed initial public offering price of $ per share, the midpoint of the price range set forth on the cover page of this prospectus, after</w:t>
      </w:r>
    </w:p>
    <w:p>
      <w:pPr>
        <w:spacing w:after="0" w:line="1" w:lineRule="exact"/>
        <w:rPr>
          <w:sz w:val="20"/>
          <w:szCs w:val="20"/>
          <w:color w:val="auto"/>
        </w:rPr>
      </w:pPr>
    </w:p>
    <w:p>
      <w:pPr>
        <w:sectPr>
          <w:pgSz w:w="11900" w:h="16838" w:orient="portrait"/>
          <w:cols w:equalWidth="0" w:num="2">
            <w:col w:w="400" w:space="260"/>
            <w:col w:w="10580"/>
          </w:cols>
          <w:pgMar w:left="320" w:top="1440" w:right="339" w:bottom="1440" w:gutter="0" w:footer="0" w:header="0"/>
          <w:type w:val="continuous"/>
        </w:sectPr>
      </w:pPr>
    </w:p>
    <w:p>
      <w:pPr>
        <w:ind w:left="660"/>
        <w:spacing w:after="0"/>
        <w:rPr>
          <w:sz w:val="20"/>
          <w:szCs w:val="20"/>
          <w:color w:val="auto"/>
        </w:rPr>
      </w:pPr>
      <w:r>
        <w:rPr>
          <w:rFonts w:ascii="Arial" w:cs="Arial" w:eastAsia="Arial" w:hAnsi="Arial"/>
          <w:sz w:val="18"/>
          <w:szCs w:val="18"/>
          <w:color w:val="auto"/>
        </w:rPr>
        <w:t>deducting estimated underwriting discounts and commissions and estimated offering expenses payable by us.</w:t>
      </w:r>
    </w:p>
    <w:p>
      <w:pPr>
        <w:spacing w:after="0" w:line="157"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The pro forma and pro forma as adjusted information below is illustrative only, and our capitalization following the completion of this offering will be adjusted based on the actual initial public offering price and other terms of this offering determined at pricing. You should read this information in conjunction with our consolidated financial statements and the related notes included in this prospectus and the “Management’s Discussion and Analysis of Financial Condition and Results of Operations” section and other financial information contained in this prospectus.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4"/>
          </w:tcPr>
          <w:p>
            <w:pPr>
              <w:jc w:val="center"/>
              <w:ind w:right="1308"/>
              <w:spacing w:after="0"/>
              <w:rPr>
                <w:sz w:val="20"/>
                <w:szCs w:val="20"/>
                <w:color w:val="auto"/>
              </w:rPr>
            </w:pPr>
            <w:r>
              <w:rPr>
                <w:rFonts w:ascii="Arial" w:cs="Arial" w:eastAsia="Arial" w:hAnsi="Arial"/>
                <w:sz w:val="14"/>
                <w:szCs w:val="14"/>
                <w:b w:val="1"/>
                <w:bCs w:val="1"/>
                <w:color w:val="auto"/>
                <w:w w:val="92"/>
              </w:rPr>
              <w:t>As of June 30, 2021</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1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ind w:right="8"/>
              <w:spacing w:after="0" w:line="157" w:lineRule="exact"/>
              <w:rPr>
                <w:sz w:val="20"/>
                <w:szCs w:val="20"/>
                <w:color w:val="auto"/>
              </w:rPr>
            </w:pPr>
            <w:r>
              <w:rPr>
                <w:rFonts w:ascii="Arial" w:cs="Arial" w:eastAsia="Arial" w:hAnsi="Arial"/>
                <w:sz w:val="14"/>
                <w:szCs w:val="14"/>
                <w:b w:val="1"/>
                <w:bCs w:val="1"/>
                <w:color w:val="auto"/>
              </w:rPr>
              <w:t>Pro Forma as</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Actual</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left="239"/>
              <w:spacing w:after="0"/>
              <w:rPr>
                <w:sz w:val="20"/>
                <w:szCs w:val="20"/>
                <w:color w:val="auto"/>
              </w:rPr>
            </w:pPr>
            <w:r>
              <w:rPr>
                <w:rFonts w:ascii="Arial" w:cs="Arial" w:eastAsia="Arial" w:hAnsi="Arial"/>
                <w:sz w:val="14"/>
                <w:szCs w:val="14"/>
                <w:b w:val="1"/>
                <w:bCs w:val="1"/>
                <w:color w:val="auto"/>
                <w:w w:val="97"/>
              </w:rPr>
              <w:t>Pro Forma</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18"/>
                <w:szCs w:val="18"/>
                <w:b w:val="1"/>
                <w:bCs w:val="1"/>
                <w:color w:val="auto"/>
                <w:vertAlign w:val="superscript"/>
              </w:rPr>
              <w:t>(1)</w:t>
            </w:r>
          </w:p>
        </w:tc>
        <w:tc>
          <w:tcPr>
            <w:tcW w:w="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580" w:type="dxa"/>
            <w:vAlign w:val="bottom"/>
            <w:gridSpan w:val="6"/>
          </w:tcPr>
          <w:p>
            <w:pPr>
              <w:jc w:val="center"/>
              <w:ind w:right="668"/>
              <w:spacing w:after="0"/>
              <w:rPr>
                <w:sz w:val="20"/>
                <w:szCs w:val="20"/>
                <w:color w:val="auto"/>
              </w:rPr>
            </w:pPr>
            <w:r>
              <w:rPr>
                <w:rFonts w:ascii="Arial" w:cs="Arial" w:eastAsia="Arial" w:hAnsi="Arial"/>
                <w:sz w:val="14"/>
                <w:szCs w:val="14"/>
                <w:b w:val="1"/>
                <w:bCs w:val="1"/>
                <w:color w:val="auto"/>
                <w:w w:val="91"/>
              </w:rPr>
              <w:t>(in millions, except share and per share data)</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00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w:t>
            </w: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835"/>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59"/>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gridSpan w:val="3"/>
            <w:shd w:val="clear" w:color="auto" w:fill="CCEEFF"/>
          </w:tcPr>
          <w:p>
            <w:pPr>
              <w:jc w:val="right"/>
              <w:ind w:right="1108"/>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5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4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tcBorders>
              <w:top w:val="single" w:sz="8" w:color="auto"/>
            </w:tcBorders>
          </w:tcPr>
          <w:p>
            <w:pPr>
              <w:jc w:val="right"/>
              <w:ind w:right="835"/>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gridSpan w:val="5"/>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6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Convertible preferred stock, $0.0001 par value per share; 17,301,256 shares</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authorized; 15,169,664 shares issued and outstanding, actual; no shares authorized,</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0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w w:val="98"/>
              </w:rPr>
              <w:t>issued and outstanding, pro forma and pro forma as adjusted</w:t>
            </w:r>
          </w:p>
        </w:tc>
        <w:tc>
          <w:tcPr>
            <w:tcW w:w="38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gridSpan w:val="2"/>
            <w:shd w:val="clear" w:color="auto" w:fill="CCEEFF"/>
          </w:tcPr>
          <w:p>
            <w:pPr>
              <w:jc w:val="right"/>
              <w:ind w:right="835"/>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5000" w:type="dxa"/>
            <w:vAlign w:val="bottom"/>
            <w:gridSpan w:val="3"/>
          </w:tcPr>
          <w:p>
            <w:pPr>
              <w:ind w:left="20"/>
              <w:spacing w:after="0"/>
              <w:rPr>
                <w:sz w:val="20"/>
                <w:szCs w:val="20"/>
                <w:color w:val="auto"/>
              </w:rPr>
            </w:pPr>
            <w:r>
              <w:rPr>
                <w:rFonts w:ascii="Arial" w:cs="Arial" w:eastAsia="Arial" w:hAnsi="Arial"/>
                <w:sz w:val="18"/>
                <w:szCs w:val="18"/>
                <w:color w:val="auto"/>
              </w:rPr>
              <w:t>Stockholders’ deficit (equity):</w:t>
            </w: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360" w:type="dxa"/>
            <w:vAlign w:val="bottom"/>
            <w:gridSpan w:val="5"/>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38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Preferred stock, $0.0001 par value per share: no shares authorized, issued or</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outstanding, actual;</w:t>
            </w:r>
          </w:p>
        </w:tc>
        <w:tc>
          <w:tcPr>
            <w:tcW w:w="5420" w:type="dxa"/>
            <w:vAlign w:val="bottom"/>
            <w:gridSpan w:val="4"/>
            <w:shd w:val="clear" w:color="auto" w:fill="CCEEFF"/>
          </w:tcPr>
          <w:p>
            <w:pPr>
              <w:jc w:val="right"/>
              <w:ind w:right="1075"/>
              <w:spacing w:after="0"/>
              <w:rPr>
                <w:sz w:val="20"/>
                <w:szCs w:val="20"/>
                <w:color w:val="auto"/>
              </w:rPr>
            </w:pPr>
            <w:r>
              <w:rPr>
                <w:rFonts w:ascii="Arial" w:cs="Arial" w:eastAsia="Arial" w:hAnsi="Arial"/>
                <w:sz w:val="18"/>
                <w:szCs w:val="18"/>
                <w:color w:val="auto"/>
                <w:w w:val="89"/>
              </w:rPr>
              <w:t>shares authorized and no shares issued or outstanding, pro</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forma and pro forma as adjusted</w:t>
            </w:r>
          </w:p>
        </w:tc>
        <w:tc>
          <w:tcPr>
            <w:tcW w:w="38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gridSpan w:val="2"/>
            <w:shd w:val="clear" w:color="auto" w:fill="CCEEFF"/>
          </w:tcPr>
          <w:p>
            <w:pPr>
              <w:jc w:val="right"/>
              <w:ind w:right="835"/>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00" w:type="dxa"/>
            <w:vAlign w:val="bottom"/>
            <w:gridSpan w:val="3"/>
          </w:tcPr>
          <w:p>
            <w:pPr>
              <w:ind w:left="20"/>
              <w:spacing w:after="0"/>
              <w:rPr>
                <w:sz w:val="20"/>
                <w:szCs w:val="20"/>
                <w:color w:val="auto"/>
              </w:rPr>
            </w:pPr>
            <w:r>
              <w:rPr>
                <w:rFonts w:ascii="Arial" w:cs="Arial" w:eastAsia="Arial" w:hAnsi="Arial"/>
                <w:sz w:val="18"/>
                <w:szCs w:val="18"/>
                <w:color w:val="auto"/>
                <w:w w:val="94"/>
              </w:rPr>
              <w:t>Common stock, $0.0001 par value per share; 255,000,000 shares</w:t>
            </w: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gridSpan w:val="3"/>
          </w:tcPr>
          <w:p>
            <w:pPr>
              <w:ind w:left="180"/>
              <w:spacing w:after="0"/>
              <w:rPr>
                <w:sz w:val="20"/>
                <w:szCs w:val="20"/>
                <w:color w:val="auto"/>
              </w:rPr>
            </w:pPr>
            <w:r>
              <w:rPr>
                <w:rFonts w:ascii="Arial" w:cs="Arial" w:eastAsia="Arial" w:hAnsi="Arial"/>
                <w:sz w:val="18"/>
                <w:szCs w:val="18"/>
                <w:color w:val="auto"/>
                <w:w w:val="96"/>
              </w:rPr>
              <w:t>authorized; 99,204,520 shares issued and outstanding, actual;</w:t>
            </w:r>
          </w:p>
        </w:tc>
        <w:tc>
          <w:tcPr>
            <w:tcW w:w="2380" w:type="dxa"/>
            <w:vAlign w:val="bottom"/>
            <w:gridSpan w:val="3"/>
          </w:tcPr>
          <w:p>
            <w:pPr>
              <w:jc w:val="right"/>
              <w:ind w:right="1795"/>
              <w:spacing w:after="0"/>
              <w:rPr>
                <w:sz w:val="20"/>
                <w:szCs w:val="20"/>
                <w:color w:val="auto"/>
              </w:rPr>
            </w:pPr>
            <w:r>
              <w:rPr>
                <w:rFonts w:ascii="Arial" w:cs="Arial" w:eastAsia="Arial" w:hAnsi="Arial"/>
                <w:sz w:val="18"/>
                <w:szCs w:val="18"/>
                <w:color w:val="auto"/>
                <w:w w:val="88"/>
              </w:rPr>
              <w:t>shares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3"/>
          </w:tcPr>
          <w:p>
            <w:pPr>
              <w:ind w:left="180"/>
              <w:spacing w:after="0"/>
              <w:rPr>
                <w:sz w:val="20"/>
                <w:szCs w:val="20"/>
                <w:color w:val="auto"/>
              </w:rPr>
            </w:pPr>
            <w:r>
              <w:rPr>
                <w:rFonts w:ascii="Arial" w:cs="Arial" w:eastAsia="Arial" w:hAnsi="Arial"/>
                <w:sz w:val="18"/>
                <w:szCs w:val="18"/>
                <w:color w:val="auto"/>
                <w:w w:val="89"/>
              </w:rPr>
              <w:t>authorized, 114,374,184 shares issued and outstanding, pro forma;</w:t>
            </w:r>
          </w:p>
        </w:tc>
        <w:tc>
          <w:tcPr>
            <w:tcW w:w="380" w:type="dxa"/>
            <w:vAlign w:val="bottom"/>
          </w:tcPr>
          <w:p>
            <w:pPr>
              <w:spacing w:after="0"/>
              <w:rPr>
                <w:sz w:val="18"/>
                <w:szCs w:val="18"/>
                <w:color w:val="auto"/>
              </w:rPr>
            </w:pPr>
          </w:p>
        </w:tc>
        <w:tc>
          <w:tcPr>
            <w:tcW w:w="2000" w:type="dxa"/>
            <w:vAlign w:val="bottom"/>
            <w:gridSpan w:val="2"/>
          </w:tcPr>
          <w:p>
            <w:pPr>
              <w:jc w:val="right"/>
              <w:ind w:right="1395"/>
              <w:spacing w:after="0"/>
              <w:rPr>
                <w:sz w:val="20"/>
                <w:szCs w:val="20"/>
                <w:color w:val="auto"/>
              </w:rPr>
            </w:pPr>
            <w:r>
              <w:rPr>
                <w:rFonts w:ascii="Arial" w:cs="Arial" w:eastAsia="Arial" w:hAnsi="Arial"/>
                <w:sz w:val="18"/>
                <w:szCs w:val="18"/>
                <w:color w:val="auto"/>
                <w:w w:val="92"/>
              </w:rPr>
              <w:t>shares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520" w:type="dxa"/>
            <w:vAlign w:val="bottom"/>
          </w:tcPr>
          <w:p>
            <w:pPr>
              <w:ind w:left="180"/>
              <w:spacing w:after="0"/>
              <w:rPr>
                <w:sz w:val="20"/>
                <w:szCs w:val="20"/>
                <w:color w:val="auto"/>
              </w:rPr>
            </w:pPr>
            <w:r>
              <w:rPr>
                <w:rFonts w:ascii="Arial" w:cs="Arial" w:eastAsia="Arial" w:hAnsi="Arial"/>
                <w:sz w:val="18"/>
                <w:szCs w:val="18"/>
                <w:color w:val="auto"/>
              </w:rPr>
              <w:t>authorized,</w:t>
            </w:r>
          </w:p>
        </w:tc>
        <w:tc>
          <w:tcPr>
            <w:tcW w:w="3860" w:type="dxa"/>
            <w:vAlign w:val="bottom"/>
            <w:gridSpan w:val="3"/>
          </w:tcPr>
          <w:p>
            <w:pPr>
              <w:ind w:left="20"/>
              <w:spacing w:after="0"/>
              <w:rPr>
                <w:sz w:val="20"/>
                <w:szCs w:val="20"/>
                <w:color w:val="auto"/>
              </w:rPr>
            </w:pPr>
            <w:r>
              <w:rPr>
                <w:rFonts w:ascii="Arial" w:cs="Arial" w:eastAsia="Arial" w:hAnsi="Arial"/>
                <w:sz w:val="18"/>
                <w:szCs w:val="18"/>
                <w:color w:val="auto"/>
                <w:w w:val="89"/>
              </w:rPr>
              <w:t>shares issued and outstanding, pro forma as adjusted</w:t>
            </w:r>
          </w:p>
        </w:tc>
        <w:tc>
          <w:tcPr>
            <w:tcW w:w="9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8"/>
              </w:rPr>
              <w:t>Additional paid-in capital</w:t>
            </w:r>
          </w:p>
        </w:tc>
        <w:tc>
          <w:tcPr>
            <w:tcW w:w="30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112.5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gridSpan w:val="3"/>
          </w:tcPr>
          <w:p>
            <w:pPr>
              <w:ind w:left="20"/>
              <w:spacing w:after="0"/>
              <w:rPr>
                <w:sz w:val="20"/>
                <w:szCs w:val="20"/>
                <w:color w:val="auto"/>
              </w:rPr>
            </w:pPr>
            <w:r>
              <w:rPr>
                <w:rFonts w:ascii="Arial" w:cs="Arial" w:eastAsia="Arial" w:hAnsi="Arial"/>
                <w:sz w:val="18"/>
                <w:szCs w:val="18"/>
                <w:color w:val="auto"/>
              </w:rPr>
              <w:t>Accumulated other comprehensive income</w:t>
            </w: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Accumulated deficit</w:t>
            </w:r>
          </w:p>
        </w:tc>
        <w:tc>
          <w:tcPr>
            <w:tcW w:w="440" w:type="dxa"/>
            <w:vAlign w:val="bottom"/>
            <w:tcBorders>
              <w:bottom w:val="single" w:sz="8" w:color="CCEEFF"/>
            </w:tcBorders>
            <w:shd w:val="clear" w:color="auto" w:fill="CCEEFF"/>
          </w:tcPr>
          <w:p>
            <w:pPr>
              <w:spacing w:after="0"/>
              <w:rPr>
                <w:sz w:val="23"/>
                <w:szCs w:val="23"/>
                <w:color w:val="auto"/>
              </w:rPr>
            </w:pPr>
          </w:p>
        </w:tc>
        <w:tc>
          <w:tcPr>
            <w:tcW w:w="30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000" w:type="dxa"/>
            <w:vAlign w:val="bottom"/>
            <w:gridSpan w:val="3"/>
          </w:tcPr>
          <w:p>
            <w:pPr>
              <w:ind w:left="20"/>
              <w:spacing w:after="0"/>
              <w:rPr>
                <w:sz w:val="20"/>
                <w:szCs w:val="20"/>
                <w:color w:val="auto"/>
              </w:rPr>
            </w:pPr>
            <w:r>
              <w:rPr>
                <w:rFonts w:ascii="Arial" w:cs="Arial" w:eastAsia="Arial" w:hAnsi="Arial"/>
                <w:sz w:val="18"/>
                <w:szCs w:val="18"/>
                <w:color w:val="auto"/>
              </w:rPr>
              <w:t>Total stockholders’ (deficit) equity</w:t>
            </w: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tcBorders>
              <w:top w:val="single" w:sz="8" w:color="auto"/>
            </w:tcBorders>
          </w:tcPr>
          <w:p>
            <w:pPr>
              <w:jc w:val="right"/>
              <w:ind w:right="835"/>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1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Total capitalization</w:t>
            </w:r>
          </w:p>
        </w:tc>
        <w:tc>
          <w:tcPr>
            <w:tcW w:w="440" w:type="dxa"/>
            <w:vAlign w:val="bottom"/>
            <w:shd w:val="clear" w:color="auto" w:fill="CCEEFF"/>
          </w:tcPr>
          <w:p>
            <w:pPr>
              <w:spacing w:after="0"/>
              <w:rPr>
                <w:sz w:val="24"/>
                <w:szCs w:val="24"/>
                <w:color w:val="auto"/>
              </w:rPr>
            </w:pPr>
          </w:p>
        </w:tc>
        <w:tc>
          <w:tcPr>
            <w:tcW w:w="30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000" w:type="dxa"/>
            <w:vAlign w:val="bottom"/>
            <w:gridSpan w:val="2"/>
            <w:shd w:val="clear" w:color="auto" w:fill="CCEEFF"/>
          </w:tcPr>
          <w:p>
            <w:pPr>
              <w:jc w:val="right"/>
              <w:ind w:right="835"/>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151.3</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59"/>
              <w:spacing w:after="0"/>
              <w:rPr>
                <w:sz w:val="20"/>
                <w:szCs w:val="20"/>
                <w:color w:val="auto"/>
              </w:rPr>
            </w:pPr>
            <w:r>
              <w:rPr>
                <w:rFonts w:ascii="Arial" w:cs="Arial" w:eastAsia="Arial" w:hAnsi="Arial"/>
                <w:sz w:val="18"/>
                <w:szCs w:val="18"/>
                <w:color w:val="auto"/>
                <w:w w:val="79"/>
              </w:rPr>
              <w:t>$</w:t>
            </w:r>
          </w:p>
        </w:tc>
        <w:tc>
          <w:tcPr>
            <w:tcW w:w="1700" w:type="dxa"/>
            <w:vAlign w:val="bottom"/>
            <w:gridSpan w:val="3"/>
            <w:shd w:val="clear" w:color="auto" w:fill="CCEEFF"/>
          </w:tcPr>
          <w:p>
            <w:pPr>
              <w:jc w:val="right"/>
              <w:ind w:right="110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w:t>
            </w:r>
          </w:p>
        </w:tc>
        <w:tc>
          <w:tcPr>
            <w:tcW w:w="44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5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000" w:type="dxa"/>
            <w:vAlign w:val="bottom"/>
            <w:gridSpan w:val="3"/>
          </w:tcPr>
          <w:p>
            <w:pPr>
              <w:spacing w:after="0"/>
              <w:rPr>
                <w:sz w:val="20"/>
                <w:szCs w:val="20"/>
                <w:color w:val="auto"/>
              </w:rPr>
            </w:pPr>
            <w:r>
              <w:rPr>
                <w:rFonts w:ascii="Arial" w:cs="Arial" w:eastAsia="Arial" w:hAnsi="Arial"/>
                <w:sz w:val="14"/>
                <w:szCs w:val="14"/>
                <w:color w:val="auto"/>
                <w:w w:val="97"/>
              </w:rPr>
              <w:t>(1)  Each $1.00 increase (decrease) in the assumed initial public offering price of $</w:t>
            </w:r>
          </w:p>
        </w:tc>
        <w:tc>
          <w:tcPr>
            <w:tcW w:w="380" w:type="dxa"/>
            <w:vAlign w:val="bottom"/>
          </w:tcPr>
          <w:p>
            <w:pPr>
              <w:spacing w:after="0"/>
              <w:rPr>
                <w:sz w:val="15"/>
                <w:szCs w:val="15"/>
                <w:color w:val="auto"/>
              </w:rPr>
            </w:pPr>
          </w:p>
        </w:tc>
        <w:tc>
          <w:tcPr>
            <w:tcW w:w="5860" w:type="dxa"/>
            <w:vAlign w:val="bottom"/>
            <w:gridSpan w:val="9"/>
          </w:tcPr>
          <w:p>
            <w:pPr>
              <w:ind w:left="200"/>
              <w:spacing w:after="0"/>
              <w:rPr>
                <w:sz w:val="20"/>
                <w:szCs w:val="20"/>
                <w:color w:val="auto"/>
              </w:rPr>
            </w:pPr>
            <w:r>
              <w:rPr>
                <w:rFonts w:ascii="Arial" w:cs="Arial" w:eastAsia="Arial" w:hAnsi="Arial"/>
                <w:sz w:val="14"/>
                <w:szCs w:val="14"/>
                <w:color w:val="auto"/>
                <w:w w:val="93"/>
              </w:rPr>
              <w:t>per share of Class A common stock, the midpoint of the price range set forth on the cover page of</w:t>
            </w:r>
          </w:p>
        </w:tc>
        <w:tc>
          <w:tcPr>
            <w:tcW w:w="0" w:type="dxa"/>
            <w:vAlign w:val="bottom"/>
          </w:tcPr>
          <w:p>
            <w:pPr>
              <w:spacing w:after="0"/>
              <w:rPr>
                <w:sz w:val="1"/>
                <w:szCs w:val="1"/>
                <w:color w:val="auto"/>
              </w:rPr>
            </w:pPr>
          </w:p>
        </w:tc>
      </w:tr>
    </w:tbl>
    <w:p>
      <w:pPr>
        <w:ind w:left="340" w:right="20"/>
        <w:spacing w:after="0" w:line="255" w:lineRule="auto"/>
        <w:rPr>
          <w:sz w:val="20"/>
          <w:szCs w:val="20"/>
          <w:color w:val="auto"/>
        </w:rPr>
      </w:pPr>
      <w:r>
        <w:rPr>
          <w:rFonts w:ascii="Arial" w:cs="Arial" w:eastAsia="Arial" w:hAnsi="Arial"/>
          <w:sz w:val="14"/>
          <w:szCs w:val="14"/>
          <w:color w:val="auto"/>
        </w:rPr>
        <w:t>this prospectus, would increase (decrease) the pro forma as adjusted amount of each of cash, cash equivalents and restricted cash, additional paid-in capital, total stockholders’ (deficit) equity and total capitalization by approximately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46</w:t>
      </w:r>
    </w:p>
    <w:p>
      <w:pPr>
        <w:sectPr>
          <w:pgSz w:w="11900" w:h="16838" w:orient="portrait"/>
          <w:cols w:equalWidth="0" w:num="1">
            <w:col w:w="11240"/>
          </w:cols>
          <w:pgMar w:left="320" w:top="1440" w:right="339" w:bottom="1440" w:gutter="0" w:footer="0" w:header="0"/>
          <w:type w:val="continuous"/>
        </w:sectPr>
      </w:pPr>
    </w:p>
    <w:bookmarkStart w:id="54" w:name="page55"/>
    <w:bookmarkEnd w:id="54"/>
    <w:p>
      <w:pPr>
        <w:spacing w:after="0" w:line="139" w:lineRule="exact"/>
        <w:rPr>
          <w:sz w:val="20"/>
          <w:szCs w:val="20"/>
          <w:color w:val="auto"/>
        </w:rPr>
      </w:pPr>
    </w:p>
    <w:p>
      <w:pPr>
        <w:ind w:left="840" w:hanging="508"/>
        <w:spacing w:after="0"/>
        <w:tabs>
          <w:tab w:leader="none" w:pos="8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per share, assuming that the number of shares offered by us, as set forth on the cover page of this prospectus, remains the same and after deducting estimated underwriting discounts</w:t>
      </w:r>
    </w:p>
    <w:p>
      <w:pPr>
        <w:spacing w:after="0" w:line="36" w:lineRule="exact"/>
        <w:rPr>
          <w:rFonts w:ascii="Arial" w:cs="Arial" w:eastAsia="Arial" w:hAnsi="Arial"/>
          <w:sz w:val="12"/>
          <w:szCs w:val="12"/>
          <w:color w:val="auto"/>
        </w:rPr>
      </w:pPr>
    </w:p>
    <w:p>
      <w:pPr>
        <w:ind w:left="340"/>
        <w:spacing w:after="0"/>
        <w:rPr>
          <w:rFonts w:ascii="Arial" w:cs="Arial" w:eastAsia="Arial" w:hAnsi="Arial"/>
          <w:sz w:val="12"/>
          <w:szCs w:val="12"/>
          <w:color w:val="auto"/>
        </w:rPr>
      </w:pPr>
      <w:r>
        <w:rPr>
          <w:rFonts w:ascii="Arial" w:cs="Arial" w:eastAsia="Arial" w:hAnsi="Arial"/>
          <w:sz w:val="13"/>
          <w:szCs w:val="13"/>
          <w:color w:val="auto"/>
        </w:rPr>
        <w:t>and commissions. Similarly, each increase (decrease) of 1.0 million shares in the number of shares offered by us at the assumed initial public offering price per share would increase</w:t>
      </w:r>
    </w:p>
    <w:p>
      <w:pPr>
        <w:spacing w:after="0" w:line="186" w:lineRule="exact"/>
        <w:rPr>
          <w:sz w:val="20"/>
          <w:szCs w:val="20"/>
          <w:color w:val="auto"/>
        </w:rPr>
      </w:pPr>
    </w:p>
    <w:p>
      <w:pPr>
        <w:ind w:left="340"/>
        <w:spacing w:after="0" w:line="273" w:lineRule="auto"/>
        <w:rPr>
          <w:sz w:val="20"/>
          <w:szCs w:val="20"/>
          <w:color w:val="auto"/>
        </w:rPr>
      </w:pPr>
      <w:r>
        <w:rPr>
          <w:rFonts w:ascii="Arial" w:cs="Arial" w:eastAsia="Arial" w:hAnsi="Arial"/>
          <w:sz w:val="14"/>
          <w:szCs w:val="14"/>
          <w:color w:val="auto"/>
        </w:rPr>
        <w:t>(decrease) the pro forma as adjusted amount of each of cash and cash equivalents, total stockholders’ deficit and total capitalization by approximately $ per share, assuming the assumed initial public offering price of $ per share of Class A common stock remains the same, and after deducting estimated underwriting discounts and commissions.</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number of shares of our Class A common stock that will be outstanding after this offering is based on 51,002,876 shares of our Class A common stock outstanding as of June 30, 2021 (including shares of our redeemable convertible preferred stock on an as-converted basis, assuming a 1:1 conversion) and 63,371,308 shares of our Class B common stock outstanding as of June 30, 2021, and excludes:</w:t>
      </w:r>
    </w:p>
    <w:p>
      <w:pPr>
        <w:spacing w:after="0" w:line="130" w:lineRule="exact"/>
        <w:rPr>
          <w:sz w:val="20"/>
          <w:szCs w:val="20"/>
          <w:color w:val="auto"/>
        </w:rPr>
      </w:pPr>
    </w:p>
    <w:p>
      <w:pPr>
        <w:ind w:left="66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14,907,678 shares of our Class A common stock issuable upon the exercise of options to purchase shares of our Class A common stock outstanding as of June 30, 2021, with a weighted average exercise price of $4.18 per share;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5,542,675 shares of our Class A common stock issuable upon the vesting of RSUs outstanding as of June 30, 2021;</w:t>
      </w:r>
    </w:p>
    <w:p>
      <w:pPr>
        <w:spacing w:after="0" w:line="171" w:lineRule="exact"/>
        <w:rPr>
          <w:rFonts w:ascii="Arial" w:cs="Arial" w:eastAsia="Arial" w:hAnsi="Arial"/>
          <w:sz w:val="18"/>
          <w:szCs w:val="18"/>
          <w:color w:val="auto"/>
        </w:rPr>
      </w:pPr>
    </w:p>
    <w:p>
      <w:pPr>
        <w:ind w:left="1500" w:hanging="1168"/>
        <w:spacing w:after="0"/>
        <w:tabs>
          <w:tab w:leader="none" w:pos="1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equity compensation plans, consisting of:</w:t>
      </w:r>
    </w:p>
    <w:p>
      <w:pPr>
        <w:spacing w:after="0" w:line="171" w:lineRule="exact"/>
        <w:rPr>
          <w:rFonts w:ascii="Arial" w:cs="Arial" w:eastAsia="Arial" w:hAnsi="Arial"/>
          <w:sz w:val="18"/>
          <w:szCs w:val="18"/>
          <w:color w:val="auto"/>
        </w:rPr>
      </w:pPr>
    </w:p>
    <w:p>
      <w:pPr>
        <w:ind w:left="1020" w:hanging="364"/>
        <w:spacing w:after="0"/>
        <w:tabs>
          <w:tab w:leader="none" w:pos="10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2,244,628 shares of our Class A common stock reserved for future issuance under the 2012 Plan, as of June 30, 2021;</w:t>
      </w:r>
    </w:p>
    <w:p>
      <w:pPr>
        <w:spacing w:after="0" w:line="171" w:lineRule="exact"/>
        <w:rPr>
          <w:rFonts w:ascii="Arial" w:cs="Arial" w:eastAsia="Arial" w:hAnsi="Arial"/>
          <w:sz w:val="18"/>
          <w:szCs w:val="18"/>
          <w:color w:val="auto"/>
        </w:rPr>
      </w:pPr>
    </w:p>
    <w:p>
      <w:pPr>
        <w:ind w:left="980" w:hanging="324"/>
        <w:spacing w:after="0" w:line="277" w:lineRule="auto"/>
        <w:tabs>
          <w:tab w:leader="none" w:pos="1616" w:val="left"/>
        </w:tabs>
        <w:numPr>
          <w:ilvl w:val="1"/>
          <w:numId w:val="38"/>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the 2021 Plan, which includes an annual evergreen increase and will become effective in connection with this offering; and</w:t>
      </w:r>
    </w:p>
    <w:p>
      <w:pPr>
        <w:spacing w:after="0" w:line="116" w:lineRule="exact"/>
        <w:rPr>
          <w:rFonts w:ascii="Arial" w:cs="Arial" w:eastAsia="Arial" w:hAnsi="Arial"/>
          <w:sz w:val="18"/>
          <w:szCs w:val="18"/>
          <w:color w:val="auto"/>
        </w:rPr>
      </w:pPr>
    </w:p>
    <w:p>
      <w:pPr>
        <w:ind w:left="980" w:hanging="324"/>
        <w:spacing w:after="0" w:line="277" w:lineRule="auto"/>
        <w:tabs>
          <w:tab w:leader="none" w:pos="1627" w:val="left"/>
        </w:tabs>
        <w:numPr>
          <w:ilvl w:val="1"/>
          <w:numId w:val="38"/>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the ESPP, which includes an annual evergreen increase and will become effective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47</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you invest in our Class A common stock in this offering, your ownership interest will be immediately diluted to the extent of the difference between the initial public offering price per share of Class A common stock and the pro forma as adjusted net tangible book value per share of our Class A common stock after this offering.</w:t>
      </w:r>
    </w:p>
    <w:p>
      <w:pPr>
        <w:spacing w:after="0" w:line="130"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As of , we had a pro forma net tangible book value (deficit) of $ million, or $ per share. Pro forma net tangible book value per share represents the amount of our total tangible assets less our total liabilities, divided by the number of shares of our Class A common stock</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outstanding as of , after giving effect (1) to the automatic conversion of all shares of our redeemable convertible preferred stock outstanding as of into shares of our Class A common stock, (2) the reclassification of all outstanding shares of our Class F common stock into an</w:t>
      </w:r>
    </w:p>
    <w:p>
      <w:pPr>
        <w:spacing w:after="0" w:line="1"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equal number of shares of our Class B common stock and (3) the filing and effectiveness of our amended and restated certificate of incorporation in connection with the closing of this offering.</w:t>
      </w:r>
    </w:p>
    <w:p>
      <w:pPr>
        <w:spacing w:after="0" w:line="131" w:lineRule="exact"/>
        <w:rPr>
          <w:sz w:val="20"/>
          <w:szCs w:val="20"/>
          <w:color w:val="auto"/>
        </w:rPr>
      </w:pPr>
    </w:p>
    <w:p>
      <w:pPr>
        <w:ind w:left="340"/>
        <w:spacing w:after="0"/>
        <w:tabs>
          <w:tab w:leader="none" w:pos="4140" w:val="left"/>
        </w:tabs>
        <w:rPr>
          <w:sz w:val="20"/>
          <w:szCs w:val="20"/>
          <w:color w:val="auto"/>
        </w:rPr>
      </w:pPr>
      <w:r>
        <w:rPr>
          <w:rFonts w:ascii="Arial" w:cs="Arial" w:eastAsia="Arial" w:hAnsi="Arial"/>
          <w:sz w:val="18"/>
          <w:szCs w:val="18"/>
          <w:color w:val="auto"/>
        </w:rPr>
        <w:t>After giving further effect to the sale of</w:t>
      </w:r>
      <w:r>
        <w:rPr>
          <w:sz w:val="20"/>
          <w:szCs w:val="20"/>
          <w:color w:val="auto"/>
        </w:rPr>
        <w:tab/>
      </w:r>
      <w:r>
        <w:rPr>
          <w:rFonts w:ascii="Arial" w:cs="Arial" w:eastAsia="Arial" w:hAnsi="Arial"/>
          <w:sz w:val="16"/>
          <w:szCs w:val="16"/>
          <w:color w:val="auto"/>
        </w:rPr>
        <w:t>shares of Class A common stock that we are offering at an assumed initial public offering price of</w:t>
      </w:r>
    </w:p>
    <w:p>
      <w:pPr>
        <w:spacing w:after="0" w:line="23" w:lineRule="exact"/>
        <w:rPr>
          <w:sz w:val="20"/>
          <w:szCs w:val="20"/>
          <w:color w:val="auto"/>
        </w:rPr>
      </w:pPr>
    </w:p>
    <w:p>
      <w:pPr>
        <w:ind w:left="960" w:hanging="952"/>
        <w:spacing w:after="0"/>
        <w:tabs>
          <w:tab w:leader="none" w:pos="9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per share, the midpoint of the price range set forth on the cover page of this prospectus, and after deducting estimated underwriting discounts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00" w:type="dxa"/>
            <w:vAlign w:val="bottom"/>
            <w:gridSpan w:val="4"/>
          </w:tcPr>
          <w:p>
            <w:pPr>
              <w:spacing w:after="0"/>
              <w:rPr>
                <w:sz w:val="20"/>
                <w:szCs w:val="20"/>
                <w:color w:val="auto"/>
              </w:rPr>
            </w:pPr>
            <w:r>
              <w:rPr>
                <w:rFonts w:ascii="Arial" w:cs="Arial" w:eastAsia="Arial" w:hAnsi="Arial"/>
                <w:sz w:val="18"/>
                <w:szCs w:val="18"/>
                <w:color w:val="auto"/>
                <w:w w:val="97"/>
              </w:rPr>
              <w:t>and commissions and estimated offering expenses payable by us, our pro forma as adjusted net tangible book value as of</w:t>
            </w:r>
          </w:p>
        </w:tc>
        <w:tc>
          <w:tcPr>
            <w:tcW w:w="1740" w:type="dxa"/>
            <w:vAlign w:val="bottom"/>
          </w:tcPr>
          <w:p>
            <w:pPr>
              <w:jc w:val="right"/>
              <w:spacing w:after="0"/>
              <w:rPr>
                <w:sz w:val="20"/>
                <w:szCs w:val="20"/>
                <w:color w:val="auto"/>
              </w:rPr>
            </w:pPr>
            <w:r>
              <w:rPr>
                <w:rFonts w:ascii="Arial" w:cs="Arial" w:eastAsia="Arial" w:hAnsi="Arial"/>
                <w:sz w:val="18"/>
                <w:szCs w:val="18"/>
                <w:color w:val="auto"/>
              </w:rPr>
              <w:t>would have been</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approximately $</w:t>
            </w:r>
          </w:p>
        </w:tc>
        <w:tc>
          <w:tcPr>
            <w:tcW w:w="2820" w:type="dxa"/>
            <w:vAlign w:val="bottom"/>
            <w:gridSpan w:val="2"/>
          </w:tcPr>
          <w:p>
            <w:pPr>
              <w:ind w:left="460"/>
              <w:spacing w:after="0"/>
              <w:rPr>
                <w:sz w:val="20"/>
                <w:szCs w:val="20"/>
                <w:color w:val="auto"/>
              </w:rPr>
            </w:pPr>
            <w:r>
              <w:rPr>
                <w:rFonts w:ascii="Arial" w:cs="Arial" w:eastAsia="Arial" w:hAnsi="Arial"/>
                <w:sz w:val="18"/>
                <w:szCs w:val="18"/>
                <w:color w:val="auto"/>
              </w:rPr>
              <w:t>million, or approximately $</w:t>
            </w:r>
          </w:p>
        </w:tc>
        <w:tc>
          <w:tcPr>
            <w:tcW w:w="6860" w:type="dxa"/>
            <w:vAlign w:val="bottom"/>
            <w:gridSpan w:val="2"/>
          </w:tcPr>
          <w:p>
            <w:pPr>
              <w:jc w:val="right"/>
              <w:spacing w:after="0"/>
              <w:rPr>
                <w:sz w:val="20"/>
                <w:szCs w:val="20"/>
                <w:color w:val="auto"/>
              </w:rPr>
            </w:pPr>
            <w:r>
              <w:rPr>
                <w:rFonts w:ascii="Arial" w:cs="Arial" w:eastAsia="Arial" w:hAnsi="Arial"/>
                <w:sz w:val="18"/>
                <w:szCs w:val="18"/>
                <w:color w:val="auto"/>
                <w:w w:val="95"/>
              </w:rPr>
              <w:t>per share of Class A common stock. This amount represents an immediate increase in pro</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forma net tangible book value of $</w:t>
            </w:r>
          </w:p>
        </w:tc>
        <w:tc>
          <w:tcPr>
            <w:tcW w:w="8160" w:type="dxa"/>
            <w:vAlign w:val="bottom"/>
            <w:gridSpan w:val="3"/>
          </w:tcPr>
          <w:p>
            <w:pPr>
              <w:jc w:val="right"/>
              <w:spacing w:after="0"/>
              <w:rPr>
                <w:sz w:val="20"/>
                <w:szCs w:val="20"/>
                <w:color w:val="auto"/>
              </w:rPr>
            </w:pPr>
            <w:r>
              <w:rPr>
                <w:rFonts w:ascii="Arial" w:cs="Arial" w:eastAsia="Arial" w:hAnsi="Arial"/>
                <w:sz w:val="18"/>
                <w:szCs w:val="18"/>
                <w:color w:val="auto"/>
                <w:w w:val="99"/>
              </w:rPr>
              <w:t>per share to our existing stockholders and an immediate dilution in pro forma net tangible book value of</w:t>
            </w:r>
          </w:p>
        </w:tc>
      </w:tr>
      <w:tr>
        <w:trPr>
          <w:trHeight w:val="230"/>
        </w:trPr>
        <w:tc>
          <w:tcPr>
            <w:tcW w:w="1560" w:type="dxa"/>
            <w:vAlign w:val="bottom"/>
          </w:tcPr>
          <w:p>
            <w:pPr>
              <w:spacing w:after="0"/>
              <w:rPr>
                <w:sz w:val="20"/>
                <w:szCs w:val="20"/>
                <w:color w:val="auto"/>
              </w:rPr>
            </w:pPr>
            <w:r>
              <w:rPr>
                <w:rFonts w:ascii="Arial" w:cs="Arial" w:eastAsia="Arial" w:hAnsi="Arial"/>
                <w:sz w:val="18"/>
                <w:szCs w:val="18"/>
                <w:color w:val="auto"/>
              </w:rPr>
              <w:t>approximately $</w:t>
            </w:r>
          </w:p>
        </w:tc>
        <w:tc>
          <w:tcPr>
            <w:tcW w:w="7940" w:type="dxa"/>
            <w:vAlign w:val="bottom"/>
            <w:gridSpan w:val="3"/>
          </w:tcPr>
          <w:p>
            <w:pPr>
              <w:ind w:left="380"/>
              <w:spacing w:after="0"/>
              <w:rPr>
                <w:sz w:val="20"/>
                <w:szCs w:val="20"/>
                <w:color w:val="auto"/>
              </w:rPr>
            </w:pPr>
            <w:r>
              <w:rPr>
                <w:rFonts w:ascii="Arial" w:cs="Arial" w:eastAsia="Arial" w:hAnsi="Arial"/>
                <w:sz w:val="18"/>
                <w:szCs w:val="18"/>
                <w:color w:val="auto"/>
              </w:rPr>
              <w:t>per share to new investors purchasing shares of Class A common stock in this offering.</w:t>
            </w:r>
          </w:p>
        </w:tc>
        <w:tc>
          <w:tcPr>
            <w:tcW w:w="1740" w:type="dxa"/>
            <w:vAlign w:val="bottom"/>
          </w:tcPr>
          <w:p>
            <w:pPr>
              <w:spacing w:after="0"/>
              <w:rPr>
                <w:sz w:val="20"/>
                <w:szCs w:val="20"/>
                <w:color w:val="auto"/>
              </w:rPr>
            </w:pP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Dilution per share to new investors is determined by subtracting pro forma as adjusted net tangible book value per share after this offering from the initial public offering price per share paid by new investors. The following table illustrates this dilution (without giving effect to any exercise by the underwriters of their option to purchase additional shares of Class A common stock):</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Assumed initial public offering price per share</w:t>
            </w:r>
          </w:p>
        </w:tc>
        <w:tc>
          <w:tcPr>
            <w:tcW w:w="2980" w:type="dxa"/>
            <w:vAlign w:val="bottom"/>
            <w:gridSpan w:val="3"/>
            <w:shd w:val="clear" w:color="auto" w:fill="CCEEFF"/>
          </w:tcPr>
          <w:p>
            <w:pPr>
              <w:jc w:val="right"/>
              <w:ind w:right="1340"/>
              <w:spacing w:after="0"/>
              <w:rPr>
                <w:sz w:val="20"/>
                <w:szCs w:val="20"/>
                <w:color w:val="auto"/>
              </w:rPr>
            </w:pPr>
            <w:r>
              <w:rPr>
                <w:rFonts w:ascii="Arial" w:cs="Arial" w:eastAsia="Arial" w:hAnsi="Arial"/>
                <w:sz w:val="18"/>
                <w:szCs w:val="18"/>
                <w:color w:val="auto"/>
              </w:rPr>
              <w:t>$</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Pro forma net tangible book value per share as of</w:t>
            </w:r>
          </w:p>
        </w:tc>
        <w:tc>
          <w:tcPr>
            <w:tcW w:w="1440" w:type="dxa"/>
            <w:vAlign w:val="bottom"/>
          </w:tcPr>
          <w:p>
            <w:pPr>
              <w:jc w:val="right"/>
              <w:ind w:right="125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8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Increase in pro forma net tangible book value per share attributable to investors purchasing shares in this offering</w:t>
            </w:r>
          </w:p>
        </w:tc>
        <w:tc>
          <w:tcPr>
            <w:tcW w:w="1440" w:type="dxa"/>
            <w:vAlign w:val="bottom"/>
            <w:tcBorders>
              <w:bottom w:val="single" w:sz="8" w:color="CCEEFF"/>
            </w:tcBorders>
            <w:shd w:val="clear" w:color="auto" w:fill="CCEEFF"/>
          </w:tcPr>
          <w:p>
            <w:pPr>
              <w:jc w:val="right"/>
              <w:ind w:right="125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1440" w:type="dxa"/>
            <w:vAlign w:val="bottom"/>
            <w:tcBorders>
              <w:top w:val="single" w:sz="8" w:color="auto"/>
            </w:tcBorders>
          </w:tcPr>
          <w:p>
            <w:pPr>
              <w:spacing w:after="0"/>
              <w:rPr>
                <w:sz w:val="19"/>
                <w:szCs w:val="19"/>
                <w:color w:val="auto"/>
              </w:rPr>
            </w:pPr>
          </w:p>
        </w:tc>
        <w:tc>
          <w:tcPr>
            <w:tcW w:w="1540" w:type="dxa"/>
            <w:vAlign w:val="bottom"/>
            <w:gridSpan w:val="2"/>
          </w:tcPr>
          <w:p>
            <w:pPr>
              <w:jc w:val="right"/>
              <w:ind w:right="1340"/>
              <w:spacing w:after="0"/>
              <w:rPr>
                <w:sz w:val="20"/>
                <w:szCs w:val="20"/>
                <w:color w:val="auto"/>
              </w:rPr>
            </w:pPr>
            <w:r>
              <w:rPr>
                <w:rFonts w:ascii="Arial" w:cs="Arial" w:eastAsia="Arial" w:hAnsi="Arial"/>
                <w:sz w:val="18"/>
                <w:szCs w:val="18"/>
                <w:color w:val="auto"/>
              </w:rPr>
              <w:t>$</w:t>
            </w:r>
          </w:p>
        </w:tc>
      </w:tr>
      <w:tr>
        <w:trPr>
          <w:trHeight w:val="27"/>
        </w:trPr>
        <w:tc>
          <w:tcPr>
            <w:tcW w:w="82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8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Dilution in pro forma as adjusted net tangible book value per share to new investors in this offering</w:t>
            </w:r>
          </w:p>
        </w:tc>
        <w:tc>
          <w:tcPr>
            <w:tcW w:w="2980" w:type="dxa"/>
            <w:vAlign w:val="bottom"/>
            <w:tcBorders>
              <w:bottom w:val="single" w:sz="8" w:color="CCEEFF"/>
            </w:tcBorders>
            <w:gridSpan w:val="3"/>
            <w:shd w:val="clear" w:color="auto" w:fill="CCEEFF"/>
          </w:tcPr>
          <w:p>
            <w:pPr>
              <w:jc w:val="right"/>
              <w:ind w:right="1340"/>
              <w:spacing w:after="0"/>
              <w:rPr>
                <w:sz w:val="20"/>
                <w:szCs w:val="20"/>
                <w:color w:val="auto"/>
              </w:rPr>
            </w:pPr>
            <w:r>
              <w:rPr>
                <w:rFonts w:ascii="Arial" w:cs="Arial" w:eastAsia="Arial" w:hAnsi="Arial"/>
                <w:sz w:val="18"/>
                <w:szCs w:val="18"/>
                <w:color w:val="auto"/>
              </w:rPr>
              <w:t>$</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dilution information discussed above is illustrative only and may change based on the actual initial public offering price and other terms of this</w:t>
      </w:r>
    </w:p>
    <w:p>
      <w:pPr>
        <w:spacing w:after="0" w:line="46"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offering. Each $1.00 increase (decrease) in the assumed initial public offering price of $ per share, the midpoint of the price range set forth on the cover page of this prospectus, would increase (decrease) our pro forma as adjusted net tangible book value per share after this offering by approximately</w:t>
      </w:r>
    </w:p>
    <w:p>
      <w:pPr>
        <w:spacing w:after="0" w:line="1" w:lineRule="exact"/>
        <w:rPr>
          <w:sz w:val="20"/>
          <w:szCs w:val="20"/>
          <w:color w:val="auto"/>
        </w:rPr>
      </w:pPr>
    </w:p>
    <w:p>
      <w:pPr>
        <w:spacing w:after="0"/>
        <w:tabs>
          <w:tab w:leader="none" w:pos="15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per share, and increase (decrease) the dilution in pro forma net tangible book value per share to new investors by approximately</w:t>
      </w:r>
    </w:p>
    <w:p>
      <w:pPr>
        <w:spacing w:after="0" w:line="21" w:lineRule="exact"/>
        <w:rPr>
          <w:sz w:val="20"/>
          <w:szCs w:val="20"/>
          <w:color w:val="auto"/>
        </w:rPr>
      </w:pPr>
    </w:p>
    <w:p>
      <w:pPr>
        <w:jc w:val="both"/>
        <w:ind w:firstLine="8"/>
        <w:spacing w:after="0" w:line="281" w:lineRule="auto"/>
        <w:tabs>
          <w:tab w:leader="none" w:pos="1156" w:val="left"/>
        </w:tabs>
        <w:numPr>
          <w:ilvl w:val="0"/>
          <w:numId w:val="40"/>
        </w:numPr>
        <w:rPr>
          <w:rFonts w:ascii="Arial" w:cs="Arial" w:eastAsia="Arial" w:hAnsi="Arial"/>
          <w:sz w:val="16"/>
          <w:szCs w:val="16"/>
          <w:color w:val="auto"/>
        </w:rPr>
      </w:pPr>
      <w:r>
        <w:rPr>
          <w:rFonts w:ascii="Arial" w:cs="Arial" w:eastAsia="Arial" w:hAnsi="Arial"/>
          <w:sz w:val="16"/>
          <w:szCs w:val="16"/>
          <w:color w:val="auto"/>
        </w:rPr>
        <w:t>per share, in each case, assuming that the number of shares of Class A common stock offered by us, as set forth on the cover page of this prospectus, remains the same and after deducting estimated underwriting discounts and commissions. Each increase (decrease) of 1.0 million shares in the number of shares of Class A common stock offered by us would increase (decrease) our pro forma as adjusted net tangible book value per share after this</w:t>
      </w:r>
    </w:p>
    <w:p>
      <w:pPr>
        <w:spacing w:after="0" w:line="2" w:lineRule="exact"/>
        <w:rPr>
          <w:sz w:val="20"/>
          <w:szCs w:val="20"/>
          <w:color w:val="auto"/>
        </w:rPr>
      </w:pPr>
    </w:p>
    <w:p>
      <w:pPr>
        <w:spacing w:after="0"/>
        <w:tabs>
          <w:tab w:leader="none" w:pos="3380" w:val="left"/>
        </w:tabs>
        <w:rPr>
          <w:sz w:val="20"/>
          <w:szCs w:val="20"/>
          <w:color w:val="auto"/>
        </w:rPr>
      </w:pPr>
      <w:r>
        <w:rPr>
          <w:rFonts w:ascii="Arial" w:cs="Arial" w:eastAsia="Arial" w:hAnsi="Arial"/>
          <w:sz w:val="18"/>
          <w:szCs w:val="18"/>
          <w:color w:val="auto"/>
        </w:rPr>
        <w:t>offering by approximately $</w:t>
      </w:r>
      <w:r>
        <w:rPr>
          <w:sz w:val="20"/>
          <w:szCs w:val="20"/>
          <w:color w:val="auto"/>
        </w:rPr>
        <w:tab/>
      </w:r>
      <w:r>
        <w:rPr>
          <w:rFonts w:ascii="Arial" w:cs="Arial" w:eastAsia="Arial" w:hAnsi="Arial"/>
          <w:sz w:val="17"/>
          <w:szCs w:val="17"/>
          <w:color w:val="auto"/>
        </w:rPr>
        <w:t>per share and decrease (increase) the dilution to investors participating in this offering by approximately</w:t>
      </w:r>
    </w:p>
    <w:p>
      <w:pPr>
        <w:spacing w:after="0" w:line="9" w:lineRule="exact"/>
        <w:rPr>
          <w:sz w:val="20"/>
          <w:szCs w:val="20"/>
          <w:color w:val="auto"/>
        </w:rPr>
      </w:pPr>
    </w:p>
    <w:p>
      <w:pPr>
        <w:ind w:firstLine="8"/>
        <w:spacing w:after="0" w:line="260" w:lineRule="auto"/>
        <w:tabs>
          <w:tab w:leader="none" w:pos="1004"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 share, in each case assuming that the assumed initial public offering price remains the same, and after deducting estimated underwriting discounts and commissions.</w:t>
      </w:r>
    </w:p>
    <w:p>
      <w:pPr>
        <w:spacing w:after="0" w:line="13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If the underwriters exercise in full their option to purchase additional shares of Class A common stock in full, the pro forma as adjusted net tangible book value after the offering would be $ per share, the increase in pro forma net tangible book value per share to existing stockholders would be $ per share and the dilution per share to new investors would be $ per share, in each case assuming an initial public offering price of</w:t>
      </w:r>
    </w:p>
    <w:p>
      <w:pPr>
        <w:ind w:left="820" w:hanging="812"/>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 share, the midpoint of the price range set forth on the cover page of this prospectus.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0"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6"/>
          <w:szCs w:val="16"/>
          <w:b w:val="1"/>
          <w:bCs w:val="1"/>
          <w:color w:val="auto"/>
        </w:rPr>
        <w:t>48</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4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following table summarizes on the pro forma as adjusted basis described above, as of , the differences between the number of shares of Class A common stock purchased from us by our existing stockholders and Class A common stock by new investors purchasing shares in this offering, the total consideration paid to us in cash and the average price per share paid by existing stockholders for shares of Class A common stock issued prior to this offering and the price to be paid by new investors for shares of Class A common stock in this offering. The calculation below is based on the assumed</w:t>
      </w:r>
    </w:p>
    <w:tbl>
      <w:tblPr>
        <w:tblLayout w:type="fixed"/>
        <w:tblInd w:w="0" w:type="dxa"/>
        <w:tblCellMar>
          <w:top w:w="0" w:type="dxa"/>
          <w:left w:w="0" w:type="dxa"/>
          <w:bottom w:w="0" w:type="dxa"/>
          <w:right w:w="0" w:type="dxa"/>
        </w:tblCellMar>
      </w:tblPr>
      <w:tr>
        <w:trPr>
          <w:trHeight w:val="203"/>
        </w:trPr>
        <w:tc>
          <w:tcPr>
            <w:tcW w:w="2620" w:type="dxa"/>
            <w:vAlign w:val="bottom"/>
          </w:tcPr>
          <w:p>
            <w:pPr>
              <w:spacing w:after="0" w:line="203" w:lineRule="exact"/>
              <w:rPr>
                <w:sz w:val="20"/>
                <w:szCs w:val="20"/>
                <w:color w:val="auto"/>
              </w:rPr>
            </w:pPr>
            <w:r>
              <w:rPr>
                <w:rFonts w:ascii="Arial" w:cs="Arial" w:eastAsia="Arial" w:hAnsi="Arial"/>
                <w:sz w:val="18"/>
                <w:szCs w:val="18"/>
                <w:color w:val="auto"/>
              </w:rPr>
              <w:t>initial public offering price of $</w:t>
            </w:r>
          </w:p>
        </w:tc>
        <w:tc>
          <w:tcPr>
            <w:tcW w:w="8620" w:type="dxa"/>
            <w:vAlign w:val="bottom"/>
            <w:gridSpan w:val="11"/>
          </w:tcPr>
          <w:p>
            <w:pPr>
              <w:jc w:val="right"/>
              <w:spacing w:after="0" w:line="203" w:lineRule="exact"/>
              <w:rPr>
                <w:sz w:val="20"/>
                <w:szCs w:val="20"/>
                <w:color w:val="auto"/>
              </w:rPr>
            </w:pPr>
            <w:r>
              <w:rPr>
                <w:rFonts w:ascii="Arial" w:cs="Arial" w:eastAsia="Arial" w:hAnsi="Arial"/>
                <w:sz w:val="18"/>
                <w:szCs w:val="18"/>
                <w:color w:val="auto"/>
                <w:w w:val="93"/>
              </w:rPr>
              <w:t>per share, the midpoint of the price range set forth on the cover page of the prospectus, before deducting estimated</w:t>
            </w:r>
          </w:p>
        </w:tc>
        <w:tc>
          <w:tcPr>
            <w:tcW w:w="0" w:type="dxa"/>
            <w:vAlign w:val="bottom"/>
          </w:tcPr>
          <w:p>
            <w:pPr>
              <w:spacing w:after="0"/>
              <w:rPr>
                <w:sz w:val="1"/>
                <w:szCs w:val="1"/>
                <w:color w:val="auto"/>
              </w:rPr>
            </w:pPr>
          </w:p>
        </w:tc>
      </w:tr>
      <w:tr>
        <w:trPr>
          <w:trHeight w:val="230"/>
        </w:trPr>
        <w:tc>
          <w:tcPr>
            <w:tcW w:w="7040" w:type="dxa"/>
            <w:vAlign w:val="bottom"/>
            <w:gridSpan w:val="7"/>
          </w:tcPr>
          <w:p>
            <w:pPr>
              <w:spacing w:after="0"/>
              <w:rPr>
                <w:sz w:val="20"/>
                <w:szCs w:val="20"/>
                <w:color w:val="auto"/>
              </w:rPr>
            </w:pPr>
            <w:r>
              <w:rPr>
                <w:rFonts w:ascii="Arial" w:cs="Arial" w:eastAsia="Arial" w:hAnsi="Arial"/>
                <w:sz w:val="18"/>
                <w:szCs w:val="18"/>
                <w:color w:val="auto"/>
                <w:w w:val="98"/>
              </w:rPr>
              <w:t>underwriting discounts and commissions and estimated offering expenses payable by us.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340" w:type="dxa"/>
            <w:vAlign w:val="bottom"/>
            <w:gridSpan w:val="5"/>
            <w:vMerge w:val="restart"/>
          </w:tcPr>
          <w:p>
            <w:pPr>
              <w:jc w:val="right"/>
              <w:ind w:right="1300"/>
              <w:spacing w:after="0"/>
              <w:rPr>
                <w:sz w:val="20"/>
                <w:szCs w:val="20"/>
                <w:color w:val="auto"/>
              </w:rPr>
            </w:pPr>
            <w:r>
              <w:rPr>
                <w:rFonts w:ascii="Arial" w:cs="Arial" w:eastAsia="Arial" w:hAnsi="Arial"/>
                <w:sz w:val="14"/>
                <w:szCs w:val="14"/>
                <w:b w:val="1"/>
                <w:bCs w:val="1"/>
                <w:color w:val="auto"/>
              </w:rPr>
              <w:t>Shares Purchased</w:t>
            </w:r>
          </w:p>
        </w:tc>
        <w:tc>
          <w:tcPr>
            <w:tcW w:w="2680" w:type="dxa"/>
            <w:vAlign w:val="bottom"/>
            <w:gridSpan w:val="3"/>
            <w:vMerge w:val="restart"/>
          </w:tcPr>
          <w:p>
            <w:pPr>
              <w:jc w:val="right"/>
              <w:ind w:right="796"/>
              <w:spacing w:after="0"/>
              <w:rPr>
                <w:sz w:val="20"/>
                <w:szCs w:val="20"/>
                <w:color w:val="auto"/>
              </w:rPr>
            </w:pPr>
            <w:r>
              <w:rPr>
                <w:rFonts w:ascii="Arial" w:cs="Arial" w:eastAsia="Arial" w:hAnsi="Arial"/>
                <w:sz w:val="14"/>
                <w:szCs w:val="14"/>
                <w:b w:val="1"/>
                <w:bCs w:val="1"/>
                <w:color w:val="auto"/>
              </w:rPr>
              <w:t>Total Consideration</w:t>
            </w:r>
          </w:p>
        </w:tc>
        <w:tc>
          <w:tcPr>
            <w:tcW w:w="8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19"/>
        </w:trPr>
        <w:tc>
          <w:tcPr>
            <w:tcW w:w="26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340" w:type="dxa"/>
            <w:vAlign w:val="bottom"/>
            <w:gridSpan w:val="5"/>
            <w:vMerge w:val="continue"/>
          </w:tcPr>
          <w:p>
            <w:pPr>
              <w:spacing w:after="0"/>
              <w:rPr>
                <w:sz w:val="10"/>
                <w:szCs w:val="10"/>
                <w:color w:val="auto"/>
              </w:rPr>
            </w:pPr>
          </w:p>
        </w:tc>
        <w:tc>
          <w:tcPr>
            <w:tcW w:w="26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vMerge w:val="restart"/>
          </w:tcPr>
          <w:p>
            <w:pPr>
              <w:jc w:val="center"/>
              <w:spacing w:after="0" w:line="125" w:lineRule="exact"/>
              <w:rPr>
                <w:sz w:val="20"/>
                <w:szCs w:val="20"/>
                <w:color w:val="auto"/>
              </w:rPr>
            </w:pPr>
            <w:r>
              <w:rPr>
                <w:rFonts w:ascii="Arial" w:cs="Arial" w:eastAsia="Arial" w:hAnsi="Arial"/>
                <w:sz w:val="14"/>
                <w:szCs w:val="14"/>
                <w:b w:val="1"/>
                <w:bCs w:val="1"/>
                <w:color w:val="auto"/>
                <w:w w:val="95"/>
              </w:rPr>
              <w:t>Price Per</w:t>
            </w:r>
          </w:p>
        </w:tc>
        <w:tc>
          <w:tcPr>
            <w:tcW w:w="0" w:type="dxa"/>
            <w:vAlign w:val="bottom"/>
          </w:tcPr>
          <w:p>
            <w:pPr>
              <w:spacing w:after="0"/>
              <w:rPr>
                <w:sz w:val="1"/>
                <w:szCs w:val="1"/>
                <w:color w:val="auto"/>
              </w:rPr>
            </w:pPr>
          </w:p>
        </w:tc>
      </w:tr>
      <w:tr>
        <w:trPr>
          <w:trHeight w:val="26"/>
        </w:trPr>
        <w:tc>
          <w:tcPr>
            <w:tcW w:w="2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40" w:type="dxa"/>
            <w:vAlign w:val="bottom"/>
            <w:gridSpan w:val="2"/>
          </w:tcPr>
          <w:p>
            <w:pPr>
              <w:ind w:left="460"/>
              <w:spacing w:after="0"/>
              <w:rPr>
                <w:sz w:val="20"/>
                <w:szCs w:val="20"/>
                <w:color w:val="auto"/>
              </w:rPr>
            </w:pPr>
            <w:r>
              <w:rPr>
                <w:rFonts w:ascii="Arial" w:cs="Arial" w:eastAsia="Arial" w:hAnsi="Arial"/>
                <w:sz w:val="14"/>
                <w:szCs w:val="14"/>
                <w:b w:val="1"/>
                <w:bCs w:val="1"/>
                <w:color w:val="auto"/>
              </w:rPr>
              <w:t>Number</w:t>
            </w:r>
          </w:p>
        </w:tc>
        <w:tc>
          <w:tcPr>
            <w:tcW w:w="180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rPr>
              <w:t>Percent</w:t>
            </w: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1440" w:type="dxa"/>
            <w:vAlign w:val="bottom"/>
          </w:tcPr>
          <w:p>
            <w:pPr>
              <w:jc w:val="right"/>
              <w:ind w:right="396"/>
              <w:spacing w:after="0"/>
              <w:rPr>
                <w:sz w:val="20"/>
                <w:szCs w:val="20"/>
                <w:color w:val="auto"/>
              </w:rPr>
            </w:pPr>
            <w:r>
              <w:rPr>
                <w:rFonts w:ascii="Arial" w:cs="Arial" w:eastAsia="Arial" w:hAnsi="Arial"/>
                <w:sz w:val="14"/>
                <w:szCs w:val="14"/>
                <w:b w:val="1"/>
                <w:bCs w:val="1"/>
                <w:color w:val="auto"/>
              </w:rPr>
              <w:t>Percent</w:t>
            </w:r>
          </w:p>
        </w:tc>
        <w:tc>
          <w:tcPr>
            <w:tcW w:w="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6"/>
        </w:trPr>
        <w:tc>
          <w:tcPr>
            <w:tcW w:w="26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Existing stockholders</w:t>
            </w:r>
          </w:p>
        </w:tc>
        <w:tc>
          <w:tcPr>
            <w:tcW w:w="10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gridSpan w:val="2"/>
            <w:shd w:val="clear" w:color="auto" w:fill="CCEEFF"/>
          </w:tcPr>
          <w:p>
            <w:pPr>
              <w:jc w:val="right"/>
              <w:ind w:right="124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color w:val="auto"/>
              </w:rPr>
              <w:t>New investors</w:t>
            </w:r>
          </w:p>
        </w:tc>
        <w:tc>
          <w:tcPr>
            <w:tcW w:w="10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number of shares of our Class A common stock that will be outstanding after this offering is based on 51,002,876 shares of our Class A common stock outstanding as of June 30, 2021 (including shares of our redeemable convertible preferred stock on an as-converted basis, assuming a 1:1 conversion) and 63,371,308 shares of our Class B common stock outstanding as of June 30, 2021, and excludes:</w:t>
      </w:r>
    </w:p>
    <w:p>
      <w:pPr>
        <w:spacing w:after="0" w:line="130" w:lineRule="exact"/>
        <w:rPr>
          <w:sz w:val="20"/>
          <w:szCs w:val="20"/>
          <w:color w:val="auto"/>
        </w:rPr>
      </w:pPr>
    </w:p>
    <w:p>
      <w:pPr>
        <w:ind w:left="66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14,907,678 shares of our Class A common stock issuable upon the exercise of options to purchase shares of our Class A common stock outstanding as of June 30, 2021, with a weighted-average exercise price of $4.18 per share;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5,542,675 shares of our Class A common stock issuable upon the vesting of RSUs outstanding as of June 30, 2021;</w:t>
      </w:r>
    </w:p>
    <w:p>
      <w:pPr>
        <w:spacing w:after="0" w:line="171" w:lineRule="exact"/>
        <w:rPr>
          <w:rFonts w:ascii="Arial" w:cs="Arial" w:eastAsia="Arial" w:hAnsi="Arial"/>
          <w:sz w:val="18"/>
          <w:szCs w:val="18"/>
          <w:color w:val="auto"/>
        </w:rPr>
      </w:pPr>
    </w:p>
    <w:p>
      <w:pPr>
        <w:ind w:left="1140" w:hanging="808"/>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equity compensation plans, consisting of:</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2,244,628 shares of our Class A common stock reserved for future issuance under the 2012 Plan, as of June 30, 2021;</w:t>
      </w:r>
    </w:p>
    <w:p>
      <w:pPr>
        <w:spacing w:after="0" w:line="171" w:lineRule="exact"/>
        <w:rPr>
          <w:rFonts w:ascii="Arial" w:cs="Arial" w:eastAsia="Arial" w:hAnsi="Arial"/>
          <w:sz w:val="18"/>
          <w:szCs w:val="18"/>
          <w:color w:val="auto"/>
        </w:rPr>
      </w:pPr>
    </w:p>
    <w:p>
      <w:pPr>
        <w:ind w:left="980" w:hanging="324"/>
        <w:spacing w:after="0" w:line="277" w:lineRule="auto"/>
        <w:tabs>
          <w:tab w:leader="none" w:pos="1443" w:val="left"/>
        </w:tabs>
        <w:numPr>
          <w:ilvl w:val="1"/>
          <w:numId w:val="43"/>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the 2021 Plan, which includes an annual evergreen increase and will become effective in connection with this offering; and</w:t>
      </w:r>
    </w:p>
    <w:p>
      <w:pPr>
        <w:spacing w:after="0" w:line="116" w:lineRule="exact"/>
        <w:rPr>
          <w:rFonts w:ascii="Arial" w:cs="Arial" w:eastAsia="Arial" w:hAnsi="Arial"/>
          <w:sz w:val="18"/>
          <w:szCs w:val="18"/>
          <w:color w:val="auto"/>
        </w:rPr>
      </w:pPr>
    </w:p>
    <w:p>
      <w:pPr>
        <w:ind w:left="980" w:right="20" w:hanging="324"/>
        <w:spacing w:after="0" w:line="277" w:lineRule="auto"/>
        <w:tabs>
          <w:tab w:leader="none" w:pos="1443" w:val="left"/>
        </w:tabs>
        <w:numPr>
          <w:ilvl w:val="1"/>
          <w:numId w:val="43"/>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the ESPP, which includes an annual evergreen increase and will become effective in connection with this offering.</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To the extent any outstanding options are exercised, there will be further dilution to new investors. If all of such outstanding options had been</w:t>
      </w:r>
    </w:p>
    <w:p>
      <w:pPr>
        <w:spacing w:after="0" w:line="3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exercised as of , the pro forma as adjusted net tangible book value per share after this offering would be $ , and total dilution per share to new investors would be $ .</w:t>
      </w:r>
    </w:p>
    <w:p>
      <w:pPr>
        <w:sectPr>
          <w:pgSz w:w="11900" w:h="16838" w:orient="portrait"/>
          <w:cols w:equalWidth="0" w:num="1">
            <w:col w:w="11240"/>
          </w:cols>
          <w:pgMar w:left="320" w:top="1440" w:right="339" w:bottom="1440" w:gutter="0" w:footer="0" w:header="0"/>
        </w:sectPr>
      </w:pPr>
    </w:p>
    <w:p>
      <w:pPr>
        <w:spacing w:after="0" w:line="131"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color w:val="auto"/>
        </w:rPr>
        <w:t>If the underwriters exercise in full their option to purchase additional shares of Class A common own % and the investors purchasing shares of our Class A common stock in this offering would own</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right"/>
        <w:spacing w:after="0" w:line="274" w:lineRule="auto"/>
        <w:rPr>
          <w:sz w:val="20"/>
          <w:szCs w:val="20"/>
          <w:color w:val="auto"/>
        </w:rPr>
      </w:pPr>
      <w:r>
        <w:rPr>
          <w:rFonts w:ascii="Arial" w:cs="Arial" w:eastAsia="Arial" w:hAnsi="Arial"/>
          <w:sz w:val="17"/>
          <w:szCs w:val="17"/>
          <w:color w:val="auto"/>
        </w:rPr>
        <w:t>stock, our existing stockholders would % of the total number of shares of our</w:t>
      </w:r>
    </w:p>
    <w:p>
      <w:pPr>
        <w:spacing w:after="0" w:line="1" w:lineRule="exact"/>
        <w:rPr>
          <w:sz w:val="20"/>
          <w:szCs w:val="20"/>
          <w:color w:val="auto"/>
        </w:rPr>
      </w:pPr>
    </w:p>
    <w:p>
      <w:pPr>
        <w:sectPr>
          <w:pgSz w:w="11900" w:h="16838" w:orient="portrait"/>
          <w:cols w:equalWidth="0" w:num="2">
            <w:col w:w="8140" w:space="100"/>
            <w:col w:w="3000"/>
          </w:cols>
          <w:pgMar w:left="320" w:top="1440" w:right="339" w:bottom="1440" w:gutter="0" w:footer="0" w:header="0"/>
          <w:type w:val="continuous"/>
        </w:sectPr>
      </w:pPr>
    </w:p>
    <w:p>
      <w:pPr>
        <w:spacing w:after="0"/>
        <w:rPr>
          <w:sz w:val="20"/>
          <w:szCs w:val="20"/>
          <w:color w:val="auto"/>
        </w:rPr>
      </w:pPr>
      <w:r>
        <w:rPr>
          <w:rFonts w:ascii="Arial" w:cs="Arial" w:eastAsia="Arial" w:hAnsi="Arial"/>
          <w:sz w:val="16"/>
          <w:szCs w:val="16"/>
          <w:color w:val="auto"/>
        </w:rPr>
        <w:t>Class A common stock outstanding immediately after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49</w:t>
      </w:r>
    </w:p>
    <w:p>
      <w:pPr>
        <w:sectPr>
          <w:pgSz w:w="11900" w:h="16838" w:orient="portrait"/>
          <w:cols w:equalWidth="0" w:num="1">
            <w:col w:w="11240"/>
          </w:cols>
          <w:pgMar w:left="320" w:top="1440" w:right="339" w:bottom="1440" w:gutter="0" w:footer="0" w:header="0"/>
          <w:type w:val="continuous"/>
        </w:sectPr>
      </w:pPr>
    </w:p>
    <w:bookmarkStart w:id="57" w:name="page58"/>
    <w:bookmarkEnd w:id="5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mission is to provide clarity for all of life’s financial decisions.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vision is a world where everyone makes financial decisions with confidence.</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At NerdWallet, we empower consumers—both individual consumers and small and mid-sized businesses (SMBs)—to make smarter financial decisions with confidence. Technology, paired with the dramatic growth in innovative financial products, has changed the way consumers manage their financial lives; consumers are more comfortable than ever comparing and shopping for financial products online. At NerdWallet, we are leveraging this transformation to democratize access to trustworthy financial guidance by incorporating our proprietary data science models into our platform—ultimately helping to improve the financial well-being of consumers and the financial services industry as a whole. As the financial industry becomes more fragmented and complex, our value proposition as a trusted, independent and centralized platform for consumers only increases.</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deliver guidance to consumers through educational content, tools and calculators, product marketplaces and our app. Our platform delivers unique value across many financial products, including credit cards, mortgages, insurance, SMB products, personal loans, banking, investing and student loans. We expanded our guidance to the UK with our recent acquisition of Know Your Money (KYM), we also expanded organically into Canada during the third quarter of 2021, and have further plans to expand internationally. Across every touchpoint, the cornerstone of our platform is consumers’ trust in the independent, objective and relevant guidance we provide, free of charge.</w:t>
      </w:r>
    </w:p>
    <w:p>
      <w:pPr>
        <w:spacing w:after="0" w:line="13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This trusted guidance has helped us build a large, loyal and well-informed audience of consumers who turn to us as a resource for many of their money questions and to shop for the best financial products for them. Due to this unique combination of a loyal audience, trusted guidance and tailored recommendations from our underlying machine learning technology, we have become an attractive partner for financial services providers wanting to access these high-value consumers—consumers who might not otherwise trust financial services providers’ recommendations.</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By operating at the intersection of consumers and financial services providers, NerdWallet drives value for both. Through our platform, our financial services partners can reach a substantial audience, comprised of 16 million Monthly Unique Users (MUUs) on average in 2020 and 21 million on average in the first half of 2021. After doing research on our platform, consumers are better informed about the financial decision they’re about to make, which makes them primed and ready to transact. Consumers who visit NerdWallet tend to share a few other characteristics that make them attractive customers to our financial services partners: we have received feedback from our financial services partners that our users’ approval rates can be significantly higher than those applying through other channels and they are more eager to explore additional opportunities and products, driving demand for NerdWallet’s financial services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50</w:t>
      </w:r>
    </w:p>
    <w:p>
      <w:pPr>
        <w:sectPr>
          <w:pgSz w:w="11900" w:h="16838" w:orient="portrait"/>
          <w:cols w:equalWidth="0" w:num="1">
            <w:col w:w="11240"/>
          </w:cols>
          <w:pgMar w:left="320" w:top="1440" w:right="339" w:bottom="1440"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1014730</wp:posOffset>
            </wp:positionV>
            <wp:extent cx="5349240" cy="6875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875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51</w:t>
      </w:r>
    </w:p>
    <w:p>
      <w:pPr>
        <w:sectPr>
          <w:pgSz w:w="11900" w:h="16838" w:orient="portrait"/>
          <w:cols w:equalWidth="0" w:num="1">
            <w:col w:w="9019"/>
          </w:cols>
          <w:pgMar w:left="1440" w:top="1440" w:right="1440" w:bottom="1440" w:gutter="0" w:footer="0" w:header="0"/>
        </w:sectPr>
      </w:pPr>
    </w:p>
    <w:bookmarkStart w:id="59" w:name="page60"/>
    <w:bookmarkEnd w:id="59"/>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Financial Model</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built our business to provide unbiased and trusted guidance to consumers. Through this guidance, we attract users to our platform and use data science models to match them with relevant products from our financial services partners.</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Given our mission is to provide clarity for all of life’s financial decisions, we take actions that aim to prioritize user experience over revenue per user. We believe that taking a long-term view will increase our revenue and grow our business. In addition, we do not always look to maximize the number of our financial services partners on our platform; we instead aim to have products for consumers available on our platform that enable the best match.</w:t>
      </w:r>
    </w:p>
    <w:p>
      <w:pPr>
        <w:spacing w:after="0" w:line="9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seek to increase the number of consumers who come to NerdWallet pursuing our financial content, guidance, and tech-driven recommendations. We generate revenue by successfully matching those consumers with our financial services partners, from whom we generate fees. These fees from which we recognize revenue include revenue per action, revenue per click, revenue per lead, and revenue per funded loan.</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COVID-19 Impact on our Business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world has dramatically changed since the World Health Organization categorized COVID-19 as a global pandemic in March 2020. The pandemic caused millions of people to reevaluate many aspects of their lives, with many choosing to pay closer attention to their personal finances. We benefited from industry-wide tailwinds driven by consumers increasingly managing their money online but also faced the headwinds related to an unstable socioeconomic backdrop, which impacted consumers' finances. While consumer demand for many financial services products was high in 2020, for portions of the year some of our financial services partners tightened underwriting criteria or were slower to approve applications for certain products and some reduced advertising budgets given the inherent economic uncertainty.</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Due to these factors, we experienced lower growth in 2020 as compared to our growth rate in 2019, particularly in the second half of the year. In 2020, our revenue increased 7% versus an increase of 32% in 2019. Our 2020 annual growth was bolstered by a strong first quarter, during which revenue grew 64% when compared to the same period a year prior.</w:t>
      </w:r>
    </w:p>
    <w:p>
      <w:pPr>
        <w:spacing w:after="0" w:line="13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Beginning in the second quarter of 2020, we saw a mix of financial services partner activity across our verticals. Many partners reduced their activity on our platform while others maintained or increased their activity. Credit card approvals slowed during the height of the economic uncertainty and credit card revenue declined 30% compared to 2019. Conversely, revenue from loans and other verticals increased by 44% compared to 2019 as we saw increased demand in investing, mortgages, and insurance. As a result, we benefited from the diversification of the products and providers available on our platform.</w:t>
      </w:r>
    </w:p>
    <w:p>
      <w:pPr>
        <w:spacing w:after="0" w:line="10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seeing revenue trends start to return closer to pre-COVID-19 levels. However, the full impact of the COVID-19 pandemic on the global economy and the extent to which the COVID-19 pandemic will continue to impact our results of operations and cash flows remains uncertain. Our credit cards revenue decreased 30% for the year ended December 31, 2020 compared to the same period in 2019, primarily due to lower approval rates in the market due to economic uncertainty resulting from the pandemic and tighter underwriting criteria. Our credit cards revenue increased 10% for the six months ended June 30, 2021 compared to the same period in 2020, primarily driven by increased activity amid recovery from the economic impacts of the COVID-19 pandemic and higher pricing with our financial services partners. Our loans revenue increased 48% for the year ended December 31, 2020 compared to 2019, and 69% for the six months ended June 30, 2021 compared to the same period in 2020. Mortgage loans revenue increased due to lower interest rates and higher demand from consumers. Our other verticals revenue increased 41% for the year ended December 31, 2020 compared to 2019, and 26% for the six months ended June 30, 2021 compared to the same period in 2020. The other verticals revenue increase in 2020 was attributable to higher consumer demand for insurance and investing activities. The other verticals revenue increase during the six months ended June 30, 2021 was primarily attributable to higher SMB revenue following our acquisition of Fundera.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52</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Ability to Generate High Quality, Engaging Consumer Resources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Delivering financial guidance and resources on a broad set of topics is core to our value proposition. In order to maintain our position as a trusted destination for personal and SMB financial guidance, we produce high-quality financial guidance, which is developed by our independent team of writers and editors. Our editorial and product teams continuously improve our content, tools and resources to ensure that our platform reflects the latest consumer finance trends and related products from our financial services partners. We plan to continue investing in our growing base of high-value content and tools, which enable us to generate more traffic and grow MUUs, enhancing monetizing activities with our financial services partners and ultimately, our financial performance.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Ability to Attract and Engage Consumers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ability to increase user engagement, whether by increasing the frequency with which MUUs visit our platform, or the amount of resources they consume on our platform, is critical to the growth of our business. We focus on attracting users to NerdWallet who are interested in multiple financial products that we review and then use machine learning to help them find financial products for their needs. For example, if an individual comes to our platform to learn more about credit cards, we hope to bring that individual back to NerdWallet at a later time to explore other financial products, often via automated contextual “nudges”. Our ability to attract and engage those visitors directly impacts our ability to earn revenue from financial services partners. As such, we plan to continue investing in content, technology and marketing in order to attract and engage consumers.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Ability to Deepen Our Relationships with Our Financial Services Partners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worked with over 400 financial services partners as of June 30, 2021. These companies are essential to helping us serve consumers and grow our business. Having a broad range of financial services partners across all of our verticals is important in offering consumers a wide selection of attractive products. Furthermore, all of our revenue is generated from our financial services partners, and as such, relationships with new and existing financial services partners are critical to the success of our business. We continuously aim to selectively add new financial services partners to our platform and to add coverage for additional verticals from existing partners. That said, maximizing the number of our financial services partners on our platform isn’t our primary focus—our focus is quality, and we aim to offer all of the top financial products on our platform. The success of our relationships with financial services partners is in large part based on our ability to provide them with interested and qualified consumers.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Economic Conditions and the Financial Well-Being of Consumers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business is reliant on economic conditions in the United States. Any changes in the financial well-being of consumers, including as a result of the COVID-19 pandemic, unemployment, or government stimulus, will affect the demand for various financial services products and therefore impact the number of individuals visiting our platform and our ability to earn revenue from matches completed on our platform. In particular, fluctuations in interest rates affect many of the products offered by our financial services partners, especially mortgages, personal loans, and banking products. Typically, when interest rates decline, we see accelerated consumer demand for loans which in turn leads to increased traffic to our platform. Conversely, when interest rates increase, we see slowed consumer demand for loans and accelerated demand for banking products. The diversity of our revenue, as witnessed during periods impacted by COVID-19, provides us with a resilient business model as evidenced by the 44% increase in revenue from loans and other verticals in 2020 as compared to 2019.</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Marketing</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marketing strategy leverages multiple channels across brand marketing, performance marketing and organic marketing. Sales and marketing expense consists of: brand marketing, primarily advertising costs to increase brand awareness; performance marketing, primarily costs to drive traffic directly to our platform; and organic and other, primarily personnel-related costs for content and other marketing and sales teams. In 2020, approximately 39% of our total marketing expense was attributable to brand marketing, 34% to performance marketing, and the remainder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53</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organic marketing and other marketing expenses. During the first half of 2021, approximately 43% of our total marketing expense was attributable to brand marketing, 33% to performance marketing, and the remainder to organic marketing and other marketing expenses. We evaluate the success of our brand marketing by measuring aided brand awareness, which has grown consistently since 2019.</w:t>
      </w:r>
    </w:p>
    <w:p>
      <w:pPr>
        <w:spacing w:after="0" w:line="13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are able to adjust our marketing spend to reflect changes in external factors and consumer behavior. Performance marketing spend can be adjusted more quickly than brand marketing, which typically involves pre-committing to spend in future periods. During the first and second quarters of 2020, we increased brand marketing by over 100% compared to the same periods in 2019 to increase awareness, but reduced our spend as quickly as possible for the third and fourth quarters by approximately 30% compared to the same periods in 2019 due to the impacts of COVID-19 on our business. We reduced performance marketing earlier in the second, third and fourth quarters of 2020 by approximately 15% compared to the same periods in 2019 in response to fewer financial services partners choosing to market through our platform in certain verticals. The reduction in brand and performance marketing spend reduced the number of MUUs on our platform, which on a quarterly basis declined sequentially in 2020. As the COVID-19 headwinds continue to subside in 2021, we plan to increase both brand and performance marketing to again drive more MUUs to our platform. During the first half of 2021, we increased sales and marketing expense by 73% compared to the first half of 2020, primarily through increases in brand and performance marketing expenses.</w:t>
      </w:r>
    </w:p>
    <w:p>
      <w:pPr>
        <w:spacing w:after="0" w:line="11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the trailing twelve months as of June 30, 2021, approximately 73% of all traffic to NerdWallet came organically through direct or unpaid channels, reflecting the strength of our brand and organic marketing efforts. Our in-house, award-winning and experienced editorial team leverages search-engine optimization best practices and technology, and designs interfaces to help consumers easily find the information they are seeking. Our editorial team also optimizes page structure to increase visibility, not only for organic search results, but also for Google’s premium features such as FAQs, featured snippets, and video results. Personnel-related expenses within organic marketing were up 9% in 2020 compared with the same period in 2019, which is a reflection of our continued investment in building a comprehensive set of skills and expertise across our editorial team. We will continue to invest heavily in our marketing channels going forward, and believe that our marketing strategy will continue to position NerdWallet as the trusted brand of choice in personal finance, improve traffic acquisition at all levels of the funnel, drive engagement and enable us to scale quickly across new consumer finance verticals and geographies. We intend to invest with the goal of maintaining operating profitability on an annual basis, and we anticipate experiencing a decrease in operating margins over the short-term and a return to historical operating margins over time.</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Acquisitions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have made acquisitions to expand into new verticals, to enter new markets and geographies, and to grow our platform so that our users have better outcomes. In the second half of 2020, we made two acquisitions:</w:t>
      </w:r>
    </w:p>
    <w:p>
      <w:pPr>
        <w:spacing w:after="0" w:line="116" w:lineRule="exact"/>
        <w:rPr>
          <w:sz w:val="20"/>
          <w:szCs w:val="20"/>
          <w:color w:val="auto"/>
        </w:rPr>
      </w:pPr>
    </w:p>
    <w:p>
      <w:pPr>
        <w:jc w:val="both"/>
        <w:ind w:left="660" w:hanging="328"/>
        <w:spacing w:after="0" w:line="254"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Fundera. </w:t>
      </w:r>
      <w:r>
        <w:rPr>
          <w:rFonts w:ascii="Arial" w:cs="Arial" w:eastAsia="Arial" w:hAnsi="Arial"/>
          <w:sz w:val="18"/>
          <w:szCs w:val="18"/>
          <w:color w:val="auto"/>
        </w:rPr>
        <w:t>In October 2020, we acquired Fundera, Inc. (Fundera), an online platform which connects SMBs with lenders and other resources.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paid closing consideration of $29.2 million and we may pay up to an additional $66.0 million of contingent earn-out consideration over the next two years based on the achievement of certain financial metrics. Fundera’s SMB-focused advice and loan comparison offerings, together with its strong brand and consultative sales approach, enables us to better support SMBs. This acquisition is a first step to enable deeper integration within existing verticals, which couples our top of funnel strength with Fundera's monetization strategy, including recurring revenue from loan renewals. Combining the strengths of each business will allow NerdWallet to accelerate our growth in the SMB market, and will also serve as a playbook for further vertical integrations.</w:t>
      </w:r>
    </w:p>
    <w:p>
      <w:pPr>
        <w:spacing w:after="0" w:line="140"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Know Your Money. </w:t>
      </w:r>
      <w:r>
        <w:rPr>
          <w:rFonts w:ascii="Arial" w:cs="Arial" w:eastAsia="Arial" w:hAnsi="Arial"/>
          <w:sz w:val="18"/>
          <w:szCs w:val="18"/>
          <w:color w:val="auto"/>
        </w:rPr>
        <w:t>In September 2020, we acquired Notice Media Ltd. (doing business as Know Your Money), an online provider of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guidance and tools geared towards consumers and SMBs in the UK. We paid closing consideration of $12.3 million and we may pay up to an additional $11.0 million of contingent earn-out consideration over the next two years based on the achievement of certain financial metrics. KYM’s UK expertise and our existing brand recognition have provided us a strong foothold in the UK region. We believe the acquisition will allow us to accelerate our international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54</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These acquisitions added 1 percentage point to our revenue growth rate in 2020, all of which occurred in the fourth quarter, and added 10 percentage points to our revenue growth rate in the first half of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 and Non-GAAP Financial Measure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collect, review, and analyze operating and financial data of our business to assess our ongoing performance and compare our results to prior period results. In addition to revenue, net income, and other results under generally accepted accounting principles (GAAP), the following sets forth the key operating metric we use to evaluate our business.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Monthly Unique Users (MUUs)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define a Monthly Unique User (MUU) as a unique user with at least one session in a given month as determined by a unique device identifier. We measure MUUs during a time period longer than one month by averaging the MUUs of each month within that period. We track MUUs to frame the number of users who may transact with the financial services partners on our platform during a given period. During 2020, we grew MUUs by 25% compared to 2019. We experienced the strongest growth in MUUs during the first and second quarters of the year and slower growth during the third and fourth quarters as we reduced sales and marketing spend by over 35% as compared to the first half of 2020 due to underlying economic conditions. During the first half of 2021, we grew MUUs by 23% compared to the first half of 2020 as we increased our sales and marketing expenditures in light of the continued economic recovery. While we expect MUUs to grow over time, the metric may fluctuate from period to period based on economic conditions and our strategic marketing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96520</wp:posOffset>
            </wp:positionV>
            <wp:extent cx="5349240" cy="3703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49240" cy="370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55</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use Adjusted EBITDA in conjunction with GAAP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define Adjusted EBITDA as net income (loss) from continuing operations adjusted to exclude depreciation and amortization, interest expense, net, provision (benefit) for income taxes, and further exclude (1) loss (gain) on impairment and on disposal of assets, (2) remeasurement of the embedded derivative in long-term debt, (3) change in fair value of contingent consideration related to earnouts, (4) deferred compensation related to earnouts, (5) stock-based compensation, and (6) acquisition-related costs.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above items are excluded from our Adjusted EBITDA measure because these items are non-cash in nature, or because the amount is not driven by core operating results and renders comparisons with prior periods less meaningful.</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believe that Adjusted EBITDA provides useful information to investors and others in understanding and evaluating our operating results and in comparing operating results across periods. Moreover, we have included Adjusted EBITDA in this prospectus because it is a key measurement used by our management internally to make operating decisions, including those related to analyzing operating expenses, evaluating performance, and performing strategic planning and annual budgeting. However, the use of this non-GAAP measure has certain limitations because it does not reflect all items of income and expense that affect our operations. Adjusted EBITDA has limitations as a financial measure, should be considered as supplemental in nature, and is not meant as a substitute for the related financial information prepared in accordance with GAAP. These limitations include the following:</w:t>
      </w:r>
    </w:p>
    <w:p>
      <w:pPr>
        <w:spacing w:after="0" w:line="110" w:lineRule="exact"/>
        <w:rPr>
          <w:sz w:val="20"/>
          <w:szCs w:val="20"/>
          <w:color w:val="auto"/>
        </w:rPr>
      </w:pPr>
    </w:p>
    <w:p>
      <w:pPr>
        <w:ind w:left="66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Adjusted EBITDA does not reflect interest income (expense) and other gains (losses), net, which include unrealized and realized gains and losses on foreign currency exchange and the derivative embedded in long-term debt;</w:t>
      </w:r>
    </w:p>
    <w:p>
      <w:pPr>
        <w:spacing w:after="0" w:line="116"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45"/>
        </w:numPr>
        <w:rPr>
          <w:rFonts w:ascii="Arial" w:cs="Arial" w:eastAsia="Arial" w:hAnsi="Arial"/>
          <w:sz w:val="17"/>
          <w:szCs w:val="17"/>
          <w:color w:val="auto"/>
        </w:rPr>
      </w:pPr>
      <w:r>
        <w:rPr>
          <w:rFonts w:ascii="Arial" w:cs="Arial" w:eastAsia="Arial" w:hAnsi="Arial"/>
          <w:sz w:val="17"/>
          <w:szCs w:val="17"/>
          <w:color w:val="auto"/>
        </w:rPr>
        <w:t>Adjusted EBITDA excludes certain recurring, non-cash charges, such as depreciation of property and equipment and amortization of intangible assets, and although these are non-cash charges, the assets being depreciated and amortized may have to be replaced in the future, and Adjusted EBITDA does not reflect all cash requirements for such replacements or for new capital expenditure requirements;</w:t>
      </w:r>
    </w:p>
    <w:p>
      <w:pPr>
        <w:spacing w:after="0" w:line="111"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Adjusted EBITDA excludes stock-based compensation expense, which has been, and will continue to be for the foreseeable future, a significant recurring expense in our business and an important part of our compensation strategy;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Adjusted EBITDA does not include the impact of impairment of assets previously acquired, acquisition-related transaction expenses, contingent consideration fair value adjustments related to earnouts, and deferred compensation related to earnouts.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Adjusted EBITDA as we define it may not be comparable to similarly titled measures used by other companies. Because of these limitations, you should consider Adjusted EBITDA alongside other financial performance measures, including net income (loss) and our other GAAP results.</w:t>
      </w:r>
    </w:p>
    <w:p>
      <w:pPr>
        <w:spacing w:after="0" w:line="13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See the section titled “Management’s Discussion and Analysis of Financial Condition and Results of Operations—Non-GAAP Financial Measure” for a reconciliation of Adjusted EBITDA to net income (loss), the most directly comparable financial measure calculated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56</w:t>
      </w:r>
    </w:p>
    <w:p>
      <w:pPr>
        <w:sectPr>
          <w:pgSz w:w="11900" w:h="16838" w:orient="portrait"/>
          <w:cols w:equalWidth="0" w:num="1">
            <w:col w:w="11240"/>
          </w:cols>
          <w:pgMar w:left="320" w:top="1440" w:right="339" w:bottom="1440" w:gutter="0" w:footer="0" w:header="0"/>
        </w:sectPr>
      </w:pPr>
    </w:p>
    <w:bookmarkStart w:id="64" w:name="page65"/>
    <w:bookmarkEnd w:id="64"/>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generate substantially all of our revenue through fees paid by our financial services partners in the form of either revenue per action, revenue per click, revenue per lead, and revenue per funded loan arrangements. For these revenue arrangements, in which a partner pays only when a consumer satisfies the criteria set forth within the arrangement, revenue is recognized generally when we match the consumer with the financial services partner. For some of our arrangements, the transaction price is considered variable and an estimate of the constrained transaction price is recorded when the match occurs. Our revenue generally includes three product categories: credit cards, loans and other verticals. Credit cards revenue includes revenue from consumer credit cards. Loans revenue includes revenue from home mortgages, personal loans, student loans and auto loans. Other verticals revenue includes revenue from other product sources, including insurance, banking, investing, and SMB products.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 of revenue consists primarily of amortization expense and impairment charges associated with capitalized software development costs, credit scoring fees, account linking fees</w:t>
      </w:r>
      <w:r>
        <w:rPr>
          <w:rFonts w:ascii="Arial" w:cs="Arial" w:eastAsia="Arial" w:hAnsi="Arial"/>
          <w:sz w:val="18"/>
          <w:szCs w:val="18"/>
          <w:b w:val="1"/>
          <w:bCs w:val="1"/>
          <w:color w:val="auto"/>
        </w:rPr>
        <w:t>,</w:t>
      </w:r>
      <w:r>
        <w:rPr>
          <w:rFonts w:ascii="Arial" w:cs="Arial" w:eastAsia="Arial" w:hAnsi="Arial"/>
          <w:sz w:val="18"/>
          <w:szCs w:val="18"/>
          <w:color w:val="auto"/>
        </w:rPr>
        <w:t xml:space="preserve"> and third-party data center costs. We expect our cost of revenue to increase in absolute dollars for the foreseeable future to the extent that our business continues to grow. We expect our cost of revenue to decrease over time as a percentage of revenue as we recognize economies of scale. However, this percentage may fluctuate from year to year in the short term.</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Research and development activities primarily relate to engineering, product management, data enhancement, and improved functionality related to our platform. Research and development expenses primarily consist of personnel related costs, including stock-based compensation, technology and facility-related expenses and contractor expense for our engineering, product management, data and other personnel engaged in maintaining and enhancing the functionality of our platform.</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expect our research and development expenses to increase in absolute dollars for the foreseeable future, primarily for increased headcount to further develop and innovate our platform. Over time, we expect research and development expenses to decrease as a percentage of revenue as our business grows and recognizes economies of scale. However, this percentage may fluctuate from period to period depending on the timing and extent of our research and development expenses.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Sales and marketing expenses include advertising and promotion costs, costs related to brand campaign fees, marketing, business operations team, and editorial personnel and related costs, including stock-based compensation.</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expect our sales and marketing expenses to continue to increase in absolute dollars for the foreseeable future, primarily to support the growth of our existing business and expansion into new verticals. Over time, we expect sales and marketing expenses to decrease as a percentage of revenue as our business grows and recognizes economies of scale. However, this percentage may fluctuate from period to period depending on the timing and extent of our sales and marketing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57</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General and administrative expenses consist of personnel related costs, including stock-based compensation, for certain of our executives as well as our legal, finance, human resources, and other administrative employees; and professional services fees.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expect our general and administrative expenses to increase in absolute dollars for the foreseeable future primarily to support the growth of our business and our public company operations. Additional expenses may include increased headcount, enhanced systems, processes, and controls as well as increased expenses in the areas of insurance, compliance, investor relations, and professional services. For these reasons, we expect general and administrative expenses to increase as a percentage of revenue in the near term, but eventually to decrease as a percentage of revenue as our business grows and recognizes economies of scale. This percentage may fluctuate from period to period depending on the timing and extent of our general and administrative expenses.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 in fair value of contingent consideration related to earnouts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recent acquisitions include earn-out provisions which require us to pay additional consideration based on the achievement of certain performance measures for a stated period after the acquisition date. We measure this contingent consideration at fair value as of the acquisition date and record it as a liability on our consolidated balance sheet. The fair value of each contingent consideration liability is remeasured at the end of each reporting period, with any changes in fair value recognized as income or expense from operations in our consolidated income statement.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income (expense), net is comprised of interest income, interest expense, and other gains (losses), net. Interest income consists primarily of interest earned on our cash and cash equivalents. Interest expense consists of interest costs related to our revolving credit facility and long-term debt, including amortization of the debt premium on our long-term debt. Other gains (losses), net is primarily related to changes in the fair value of the embedded derivative in our long-term debt, as well as realized and unrealized gains and losses on foreign currency transactions and balances. Other gains (losses), net for the six months ended June 30, 2021 includes a nonrecurring gain.</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income tax provision (benefit) consists of federal and state income taxes. As of December 31, 2020, we had federal net operating loss carryforwards (NOLs) of approximately $31.6 million, of which $13.1 million, if not utilized, will begin to expire in 2033, and the remaining $18.5 million can be carried forward indefinitely. As of December 31, 2020, we had state NOLs of approximately $17.4 million, the majority of which, if not utilized, will begin to expire on various dates beginning in 2032. In addition, we have approximately $8.8 million and $10.6 million of federal and California research and development credit carryforwards, respectively. The federal credits will start to expire in 2037, while the California credits can be carried forward indefinitely. Approximately half of our federal NOLs are acquired attributes from Fundera. The remaining carryforwards are primarily NOLs generated in 2020 due to significant tax deductions from excess tax benefits related to stock-based compensation.</w:t>
      </w:r>
    </w:p>
    <w:p>
      <w:pPr>
        <w:spacing w:after="0" w:line="1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Utilization of our NOLs and tax credit carryforwards, as well as our other temporary differences, is dependent upon the generation of taxable income in future periods. We consider projected future taxable income and tax-planning strategies in making this assessment. Based on our ongoing assessment of all available positive and negative evidence, including consideration of our future operating model and the expected impacts on our profitability, we believe that there is an increased likelihood that a valuation allowance will be recorded against our deferred tax assets as early as the quarter ended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58</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Results of Operations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tables set forth our results of operations for the periods presented. The period-to-period comparisons of our results of operations have been prepared using the historical periods included in our consolidated financial statements. The following discussion should be read in conjunction with the consolidated financial statements and related notes included elsewhere in this prospectus.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Results of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44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52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52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228.3</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245.3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9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Cost of revenue</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0"/>
        </w:trPr>
        <w:tc>
          <w:tcPr>
            <w:tcW w:w="5200" w:type="dxa"/>
            <w:vAlign w:val="bottom"/>
          </w:tcPr>
          <w:p>
            <w:pPr>
              <w:ind w:left="240"/>
              <w:spacing w:after="0"/>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23"/>
                <w:szCs w:val="23"/>
                <w:color w:val="auto"/>
                <w:vertAlign w:val="superscript"/>
              </w:rPr>
              <w:t>(1)</w:t>
            </w:r>
          </w:p>
        </w:tc>
        <w:tc>
          <w:tcPr>
            <w:tcW w:w="9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0"/>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23"/>
                <w:szCs w:val="23"/>
                <w:color w:val="auto"/>
                <w:vertAlign w:val="superscript"/>
              </w:rPr>
              <w:t>(1)</w:t>
            </w:r>
          </w:p>
        </w:tc>
        <w:tc>
          <w:tcPr>
            <w:tcW w:w="92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115.6</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144.0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70"/>
        </w:trPr>
        <w:tc>
          <w:tcPr>
            <w:tcW w:w="5200" w:type="dxa"/>
            <w:vAlign w:val="bottom"/>
          </w:tcPr>
          <w:p>
            <w:pPr>
              <w:ind w:left="240"/>
              <w:spacing w:after="0"/>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3"/>
                <w:szCs w:val="23"/>
                <w:color w:val="auto"/>
                <w:vertAlign w:val="superscript"/>
              </w:rPr>
              <w:t>(1)</w:t>
            </w:r>
          </w:p>
        </w:tc>
        <w:tc>
          <w:tcPr>
            <w:tcW w:w="9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0"/>
        </w:trPr>
        <w:tc>
          <w:tcPr>
            <w:tcW w:w="5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2"/>
              </w:rPr>
              <w:t>Change in fair value of contingent consideration related to earnouts</w:t>
            </w:r>
          </w:p>
        </w:tc>
        <w:tc>
          <w:tcPr>
            <w:tcW w:w="9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Total costs and expenses</w:t>
            </w:r>
          </w:p>
        </w:tc>
        <w:tc>
          <w:tcPr>
            <w:tcW w:w="9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199.9</w:t>
            </w:r>
          </w:p>
        </w:tc>
        <w:tc>
          <w:tcPr>
            <w:tcW w:w="1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243.4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9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9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gains (losses), net</w:t>
            </w:r>
          </w:p>
        </w:tc>
        <w:tc>
          <w:tcPr>
            <w:tcW w:w="9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Total other income (expense)</w:t>
            </w:r>
          </w:p>
        </w:tc>
        <w:tc>
          <w:tcPr>
            <w:tcW w:w="9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2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stock-based compensation expense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250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520" w:type="dxa"/>
            <w:vAlign w:val="bottom"/>
            <w:gridSpan w:val="4"/>
          </w:tcPr>
          <w:p>
            <w:pPr>
              <w:jc w:val="right"/>
              <w:ind w:right="574"/>
              <w:spacing w:after="0"/>
              <w:rPr>
                <w:sz w:val="20"/>
                <w:szCs w:val="20"/>
                <w:color w:val="auto"/>
              </w:rPr>
            </w:pPr>
            <w:r>
              <w:rPr>
                <w:rFonts w:ascii="Arial" w:cs="Arial" w:eastAsia="Arial" w:hAnsi="Arial"/>
                <w:sz w:val="14"/>
                <w:szCs w:val="14"/>
                <w:b w:val="1"/>
                <w:bCs w:val="1"/>
                <w:color w:val="auto"/>
              </w:rPr>
              <w:t>Six Months Ended June 30,</w:t>
            </w:r>
          </w:p>
        </w:tc>
      </w:tr>
      <w:tr>
        <w:trPr>
          <w:trHeight w:val="25"/>
        </w:trPr>
        <w:tc>
          <w:tcPr>
            <w:tcW w:w="52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5220" w:type="dxa"/>
            <w:vAlign w:val="bottom"/>
          </w:tcPr>
          <w:p>
            <w:pPr>
              <w:spacing w:after="0"/>
              <w:rPr>
                <w:sz w:val="16"/>
                <w:szCs w:val="16"/>
                <w:color w:val="auto"/>
              </w:rPr>
            </w:pPr>
          </w:p>
        </w:tc>
        <w:tc>
          <w:tcPr>
            <w:tcW w:w="980" w:type="dxa"/>
            <w:vAlign w:val="bottom"/>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25"/>
        </w:trPr>
        <w:tc>
          <w:tcPr>
            <w:tcW w:w="52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5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gridSpan w:val="3"/>
          </w:tcPr>
          <w:p>
            <w:pPr>
              <w:ind w:left="14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5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9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ind w:left="14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5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64"/>
        </w:trPr>
        <w:tc>
          <w:tcPr>
            <w:tcW w:w="5220" w:type="dxa"/>
            <w:vAlign w:val="bottom"/>
          </w:tcPr>
          <w:p>
            <w:pPr>
              <w:ind w:left="2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5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59</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components of our consolidated statements of operations for each of the periods presented as a percentage of revenue: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0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20" w:type="dxa"/>
            <w:vAlign w:val="bottom"/>
            <w:gridSpan w:val="5"/>
          </w:tcPr>
          <w:p>
            <w:pPr>
              <w:jc w:val="right"/>
              <w:ind w:right="65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4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6"/>
        </w:trPr>
        <w:tc>
          <w:tcPr>
            <w:tcW w:w="4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Cost of revenue</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88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tcPr>
          <w:p>
            <w:pPr>
              <w:jc w:val="right"/>
              <w:ind w:right="19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58</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488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tcPr>
          <w:p>
            <w:pPr>
              <w:jc w:val="right"/>
              <w:ind w:right="19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fair value of contingent consideration related to</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8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earnouts</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4880" w:type="dxa"/>
            <w:vAlign w:val="bottom"/>
          </w:tcPr>
          <w:p>
            <w:pPr>
              <w:ind w:left="2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99</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4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48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gains (losses), net</w:t>
            </w:r>
          </w:p>
        </w:tc>
        <w:tc>
          <w:tcPr>
            <w:tcW w:w="2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6"/>
        </w:trPr>
        <w:tc>
          <w:tcPr>
            <w:tcW w:w="4880" w:type="dxa"/>
            <w:vAlign w:val="bottom"/>
          </w:tcPr>
          <w:p>
            <w:pPr>
              <w:ind w:left="20"/>
              <w:spacing w:after="0"/>
              <w:rPr>
                <w:sz w:val="20"/>
                <w:szCs w:val="20"/>
                <w:color w:val="auto"/>
              </w:rPr>
            </w:pPr>
            <w:r>
              <w:rPr>
                <w:rFonts w:ascii="Arial" w:cs="Arial" w:eastAsia="Arial" w:hAnsi="Arial"/>
                <w:sz w:val="18"/>
                <w:szCs w:val="18"/>
                <w:color w:val="auto"/>
              </w:rPr>
              <w:t>Total other income (expense)</w:t>
            </w: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p>
        </w:tc>
        <w:tc>
          <w:tcPr>
            <w:tcW w:w="156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b w:val="1"/>
                <w:bCs w:val="1"/>
                <w:i w:val="1"/>
                <w:iCs w:val="1"/>
                <w:color w:val="auto"/>
                <w:w w:val="86"/>
              </w:rPr>
              <w:t>Comparison of the six months ended June 30, 2020 and 2021</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48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880" w:type="dxa"/>
            <w:vAlign w:val="bottom"/>
          </w:tcPr>
          <w:p>
            <w:pPr>
              <w:ind w:left="340"/>
              <w:spacing w:after="0"/>
              <w:rPr>
                <w:sz w:val="20"/>
                <w:szCs w:val="20"/>
                <w:color w:val="auto"/>
              </w:rPr>
            </w:pPr>
            <w:r>
              <w:rPr>
                <w:rFonts w:ascii="Arial" w:cs="Arial" w:eastAsia="Arial" w:hAnsi="Arial"/>
                <w:sz w:val="18"/>
                <w:szCs w:val="18"/>
                <w:i w:val="1"/>
                <w:iCs w:val="1"/>
                <w:color w:val="auto"/>
              </w:rPr>
              <w:t>Revenue</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4"/>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4"/>
          </w:tcPr>
          <w:p>
            <w:pPr>
              <w:ind w:left="140"/>
              <w:spacing w:after="0"/>
              <w:rPr>
                <w:sz w:val="20"/>
                <w:szCs w:val="20"/>
                <w:color w:val="auto"/>
              </w:rPr>
            </w:pPr>
            <w:r>
              <w:rPr>
                <w:rFonts w:ascii="Arial" w:cs="Arial" w:eastAsia="Arial" w:hAnsi="Arial"/>
                <w:sz w:val="14"/>
                <w:szCs w:val="14"/>
                <w:b w:val="1"/>
                <w:bCs w:val="1"/>
                <w:color w:val="auto"/>
              </w:rPr>
              <w:t>$ Change</w:t>
            </w:r>
          </w:p>
        </w:tc>
        <w:tc>
          <w:tcPr>
            <w:tcW w:w="1560" w:type="dxa"/>
            <w:vAlign w:val="bottom"/>
          </w:tcPr>
          <w:p>
            <w:pPr>
              <w:jc w:val="right"/>
              <w:ind w:right="37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
        </w:trPr>
        <w:tc>
          <w:tcPr>
            <w:tcW w:w="4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7"/>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00" w:type="dxa"/>
            <w:vAlign w:val="bottom"/>
            <w:gridSpan w:val="7"/>
          </w:tcPr>
          <w:p>
            <w:pPr>
              <w:jc w:val="right"/>
              <w:ind w:right="880"/>
              <w:spacing w:after="0"/>
              <w:rPr>
                <w:sz w:val="20"/>
                <w:szCs w:val="20"/>
                <w:color w:val="auto"/>
              </w:rPr>
            </w:pPr>
            <w:r>
              <w:rPr>
                <w:rFonts w:ascii="Arial" w:cs="Arial" w:eastAsia="Arial" w:hAnsi="Arial"/>
                <w:sz w:val="14"/>
                <w:szCs w:val="14"/>
                <w:b w:val="1"/>
                <w:bCs w:val="1"/>
                <w:color w:val="auto"/>
              </w:rPr>
              <w:t>(dollars in millions)</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 cards</w:t>
            </w:r>
          </w:p>
        </w:tc>
        <w:tc>
          <w:tcPr>
            <w:tcW w:w="4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44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52.8</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Loans</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38.3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64.6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verticals</w:t>
            </w:r>
          </w:p>
        </w:tc>
        <w:tc>
          <w:tcPr>
            <w:tcW w:w="2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64.2</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63"/>
        </w:trPr>
        <w:tc>
          <w:tcPr>
            <w:tcW w:w="48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137.3</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181.6</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 increased $44.3 million for the six months ended June 30, 2021 compared to the six months ended June 30, 2020, with revenue increases across all verticals.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Credit cards revenue increased $4.6 million to $52.8 million for the six months ended June 30, 2021 from $48.2 million for the six months ended June 30, 2020, primarily driven by increased activity amid recovery from the economic impacts of the COVID-19 pandemic and higher pricing with our financial services partners.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Loans revenue increased $26.3 million to $64.6 million for the six months ended June 30, 2021 from $38.3 million for the six months ended June 30, 2020, primarily driven by increases of 94% in home mortgages revenue and 48% in personal loans revenue, both reflecting higher consumer demand for loans in the historically low interest rate environment.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60</w:t>
      </w:r>
    </w:p>
    <w:p>
      <w:pPr>
        <w:sectPr>
          <w:pgSz w:w="11900" w:h="16838" w:orient="portrait"/>
          <w:cols w:equalWidth="0" w:num="1">
            <w:col w:w="11240"/>
          </w:cols>
          <w:pgMar w:left="320" w:top="1440" w:right="339" w:bottom="1440" w:gutter="0" w:footer="0" w:header="0"/>
          <w:type w:val="continuous"/>
        </w:sectPr>
      </w:pPr>
    </w:p>
    <w:bookmarkStart w:id="68" w:name="page69"/>
    <w:bookmarkEnd w:id="68"/>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verticals revenue increased $13.4 million to $64.2 million for the six months ended June 30, 2021 from $50.8 million for the six months ended June 30, 2020, primarily attributable to higher SMB revenue following our acquisition of Fundera. The increase also included a 47% increase in insurance revenue, partially offset by decreases of 30% in investing revenue due to lower consumer demand for investing activities and 29% in banking revenue due to the low interest rate environment.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revenue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2600" w:type="dxa"/>
            <w:vAlign w:val="bottom"/>
            <w:gridSpan w:val="3"/>
          </w:tcPr>
          <w:p>
            <w:pPr>
              <w:jc w:val="center"/>
              <w:ind w:left="522"/>
              <w:spacing w:after="0"/>
              <w:rPr>
                <w:sz w:val="20"/>
                <w:szCs w:val="20"/>
                <w:color w:val="auto"/>
              </w:rPr>
            </w:pPr>
            <w:r>
              <w:rPr>
                <w:rFonts w:ascii="Arial" w:cs="Arial" w:eastAsia="Arial" w:hAnsi="Arial"/>
                <w:sz w:val="14"/>
                <w:szCs w:val="14"/>
                <w:b w:val="1"/>
                <w:bCs w:val="1"/>
                <w:color w:val="auto"/>
                <w:w w:val="92"/>
              </w:rPr>
              <w:t>Six Months Ended 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6"/>
        </w:trPr>
        <w:tc>
          <w:tcPr>
            <w:tcW w:w="49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4"/>
        </w:trPr>
        <w:tc>
          <w:tcPr>
            <w:tcW w:w="49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40" w:type="dxa"/>
            <w:vAlign w:val="bottom"/>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26"/>
        </w:trPr>
        <w:tc>
          <w:tcPr>
            <w:tcW w:w="49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4"/>
        </w:trPr>
        <w:tc>
          <w:tcPr>
            <w:tcW w:w="4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40" w:type="dxa"/>
            <w:vAlign w:val="bottom"/>
            <w:gridSpan w:val="2"/>
          </w:tcPr>
          <w:p>
            <w:pPr>
              <w:jc w:val="center"/>
              <w:ind w:right="279"/>
              <w:spacing w:after="0"/>
              <w:rPr>
                <w:sz w:val="20"/>
                <w:szCs w:val="20"/>
                <w:color w:val="auto"/>
              </w:rPr>
            </w:pPr>
            <w:r>
              <w:rPr>
                <w:rFonts w:ascii="Arial" w:cs="Arial" w:eastAsia="Arial" w:hAnsi="Arial"/>
                <w:sz w:val="14"/>
                <w:szCs w:val="14"/>
                <w:b w:val="1"/>
                <w:bCs w:val="1"/>
                <w:color w:val="auto"/>
                <w:w w:val="93"/>
              </w:rPr>
              <w:t>(dollars in millions)</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6"/>
        </w:trPr>
        <w:tc>
          <w:tcPr>
            <w:tcW w:w="4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6"/>
              </w:rPr>
              <w:t>10.4</w:t>
            </w:r>
          </w:p>
        </w:tc>
        <w:tc>
          <w:tcPr>
            <w:tcW w:w="100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6"/>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9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8 %</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Cost of revenue increased $3.4 million, or 33%, for the six months ended June 30, 2021 compared to the six months ended June 30, 2020. The increase was primarily attributable to a $3.1 million increase in amortization expense related to capitalized software development costs and intangible assets related to our acquisitions of Fundera and KYM in the second half of 2020.</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2580" w:type="dxa"/>
            <w:vAlign w:val="bottom"/>
            <w:gridSpan w:val="3"/>
          </w:tcPr>
          <w:p>
            <w:pPr>
              <w:jc w:val="center"/>
              <w:ind w:left="502"/>
              <w:spacing w:after="0"/>
              <w:rPr>
                <w:sz w:val="20"/>
                <w:szCs w:val="20"/>
                <w:color w:val="auto"/>
              </w:rPr>
            </w:pPr>
            <w:r>
              <w:rPr>
                <w:rFonts w:ascii="Arial" w:cs="Arial" w:eastAsia="Arial" w:hAnsi="Arial"/>
                <w:sz w:val="14"/>
                <w:szCs w:val="14"/>
                <w:b w:val="1"/>
                <w:bCs w:val="1"/>
                <w:color w:val="auto"/>
                <w:w w:val="92"/>
              </w:rPr>
              <w:t>Six Months Ended 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6"/>
        </w:trPr>
        <w:tc>
          <w:tcPr>
            <w:tcW w:w="49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4"/>
        </w:trPr>
        <w:tc>
          <w:tcPr>
            <w:tcW w:w="49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40" w:type="dxa"/>
            <w:vAlign w:val="bottom"/>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26"/>
        </w:trPr>
        <w:tc>
          <w:tcPr>
            <w:tcW w:w="49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4"/>
        </w:trPr>
        <w:tc>
          <w:tcPr>
            <w:tcW w:w="4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40" w:type="dxa"/>
            <w:vAlign w:val="bottom"/>
            <w:gridSpan w:val="2"/>
          </w:tcPr>
          <w:p>
            <w:pPr>
              <w:jc w:val="center"/>
              <w:ind w:right="279"/>
              <w:spacing w:after="0"/>
              <w:rPr>
                <w:sz w:val="20"/>
                <w:szCs w:val="20"/>
                <w:color w:val="auto"/>
              </w:rPr>
            </w:pPr>
            <w:r>
              <w:rPr>
                <w:rFonts w:ascii="Arial" w:cs="Arial" w:eastAsia="Arial" w:hAnsi="Arial"/>
                <w:sz w:val="14"/>
                <w:szCs w:val="14"/>
                <w:b w:val="1"/>
                <w:bCs w:val="1"/>
                <w:color w:val="auto"/>
                <w:w w:val="93"/>
              </w:rPr>
              <w:t>(dollars in millions)</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6"/>
        </w:trPr>
        <w:tc>
          <w:tcPr>
            <w:tcW w:w="4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6"/>
              </w:rPr>
              <w:t>24.5</w:t>
            </w:r>
          </w:p>
        </w:tc>
        <w:tc>
          <w:tcPr>
            <w:tcW w:w="100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6"/>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9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18 %</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Research and development expenses increased $2.5 million, or 10%, for the six months ended June 30, 2021 compared to the six months ended June 30, 2020. The increase was primarily attributable to a $3.2 million increase in personnel-related costs for our engineering, data, and product management personnel and contractors to support our continued growth, partially offset by a $1.2 million decrease in allocated costs due to lower facilities costs from the shift to remote work due to the COVID-19 pandemic.</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 expense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2560" w:type="dxa"/>
            <w:vAlign w:val="bottom"/>
            <w:gridSpan w:val="3"/>
          </w:tcPr>
          <w:p>
            <w:pPr>
              <w:jc w:val="center"/>
              <w:ind w:left="562"/>
              <w:spacing w:after="0"/>
              <w:rPr>
                <w:sz w:val="20"/>
                <w:szCs w:val="20"/>
                <w:color w:val="auto"/>
              </w:rPr>
            </w:pPr>
            <w:r>
              <w:rPr>
                <w:rFonts w:ascii="Arial" w:cs="Arial" w:eastAsia="Arial" w:hAnsi="Arial"/>
                <w:sz w:val="14"/>
                <w:szCs w:val="14"/>
                <w:b w:val="1"/>
                <w:bCs w:val="1"/>
                <w:color w:val="auto"/>
                <w:w w:val="92"/>
              </w:rPr>
              <w:t>Six Months Ended June 30,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5"/>
        </w:trPr>
        <w:tc>
          <w:tcPr>
            <w:tcW w:w="49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4"/>
        </w:trPr>
        <w:tc>
          <w:tcPr>
            <w:tcW w:w="49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40" w:type="dxa"/>
            <w:vAlign w:val="bottom"/>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25"/>
        </w:trPr>
        <w:tc>
          <w:tcPr>
            <w:tcW w:w="49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4"/>
        </w:trPr>
        <w:tc>
          <w:tcPr>
            <w:tcW w:w="4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0" w:type="dxa"/>
            <w:vAlign w:val="bottom"/>
            <w:gridSpan w:val="2"/>
          </w:tcPr>
          <w:p>
            <w:pPr>
              <w:jc w:val="center"/>
              <w:ind w:right="239"/>
              <w:spacing w:after="0"/>
              <w:rPr>
                <w:sz w:val="20"/>
                <w:szCs w:val="20"/>
                <w:color w:val="auto"/>
              </w:rPr>
            </w:pPr>
            <w:r>
              <w:rPr>
                <w:rFonts w:ascii="Arial" w:cs="Arial" w:eastAsia="Arial" w:hAnsi="Arial"/>
                <w:sz w:val="14"/>
                <w:szCs w:val="14"/>
                <w:b w:val="1"/>
                <w:bCs w:val="1"/>
                <w:color w:val="auto"/>
                <w:w w:val="93"/>
              </w:rPr>
              <w:t>(dollars in millions)</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5"/>
        </w:trPr>
        <w:tc>
          <w:tcPr>
            <w:tcW w:w="4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 expense</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6"/>
              </w:rPr>
              <w:t>87.5</w:t>
            </w:r>
          </w:p>
        </w:tc>
        <w:tc>
          <w:tcPr>
            <w:tcW w:w="96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84"/>
              </w:rPr>
              <w:t>151.2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73 %</w:t>
            </w:r>
          </w:p>
        </w:tc>
      </w:tr>
      <w:tr>
        <w:trPr>
          <w:trHeight w:val="270"/>
        </w:trPr>
        <w:tc>
          <w:tcPr>
            <w:tcW w:w="494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9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63 %</w:t>
            </w:r>
          </w:p>
        </w:tc>
        <w:tc>
          <w:tcPr>
            <w:tcW w:w="9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83 %</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six months ended June 30, 2020 and 2021, our total sales and marketing expense was comprised of approximately 49% and 43% for brand marketing, respectively, and 31% and 33% for performance marketing, respectively, with the remainder for organic and other marketing expenses. We are able to adjust our marketing spend to reflect changes in external factors and consumer behavior.</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Sales and marketing expenses increased $63.7 million, or 73%, for the six months ended June 30, 2021 compared to the six months ended June 30, 2020. The increase was primarily attributable to increases of $22.0 million in brand marketing expenses and $23.2 million in performance marketing expenses. The increase was also attributable to higher organic and other marketing expenses, including an $11.8 million increase in personnel-related costs due to our efforts to grow and increase our user base, and $3.1 million of amortization expense of intangible assets from our acquisitions of Fundera and KYM in the second half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61</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2580" w:type="dxa"/>
            <w:vAlign w:val="bottom"/>
            <w:gridSpan w:val="3"/>
          </w:tcPr>
          <w:p>
            <w:pPr>
              <w:jc w:val="center"/>
              <w:ind w:left="502"/>
              <w:spacing w:after="0"/>
              <w:rPr>
                <w:sz w:val="20"/>
                <w:szCs w:val="20"/>
                <w:color w:val="auto"/>
              </w:rPr>
            </w:pPr>
            <w:r>
              <w:rPr>
                <w:rFonts w:ascii="Arial" w:cs="Arial" w:eastAsia="Arial" w:hAnsi="Arial"/>
                <w:sz w:val="14"/>
                <w:szCs w:val="14"/>
                <w:b w:val="1"/>
                <w:bCs w:val="1"/>
                <w:color w:val="auto"/>
                <w:w w:val="92"/>
              </w:rPr>
              <w:t>Six Months Ended 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6"/>
        </w:trPr>
        <w:tc>
          <w:tcPr>
            <w:tcW w:w="49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4"/>
        </w:trPr>
        <w:tc>
          <w:tcPr>
            <w:tcW w:w="49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40" w:type="dxa"/>
            <w:vAlign w:val="bottom"/>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26"/>
        </w:trPr>
        <w:tc>
          <w:tcPr>
            <w:tcW w:w="49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4"/>
        </w:trPr>
        <w:tc>
          <w:tcPr>
            <w:tcW w:w="4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40" w:type="dxa"/>
            <w:vAlign w:val="bottom"/>
            <w:gridSpan w:val="2"/>
          </w:tcPr>
          <w:p>
            <w:pPr>
              <w:jc w:val="center"/>
              <w:ind w:right="279"/>
              <w:spacing w:after="0"/>
              <w:rPr>
                <w:sz w:val="20"/>
                <w:szCs w:val="20"/>
                <w:color w:val="auto"/>
              </w:rPr>
            </w:pPr>
            <w:r>
              <w:rPr>
                <w:rFonts w:ascii="Arial" w:cs="Arial" w:eastAsia="Arial" w:hAnsi="Arial"/>
                <w:sz w:val="14"/>
                <w:szCs w:val="14"/>
                <w:b w:val="1"/>
                <w:bCs w:val="1"/>
                <w:color w:val="auto"/>
                <w:w w:val="93"/>
              </w:rPr>
              <w:t>(dollars in millions)</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6"/>
        </w:trPr>
        <w:tc>
          <w:tcPr>
            <w:tcW w:w="4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6"/>
              </w:rPr>
              <w:t>13.5</w:t>
            </w:r>
          </w:p>
        </w:tc>
        <w:tc>
          <w:tcPr>
            <w:tcW w:w="100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6"/>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9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10 %</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General and administrative expenses increased $4.3 million, or 32%, for the six months ended June 30, 2021 compared to the six months ended June 30, 2020, primarily attributable to a $3.0 million increase in personnel-related costs due primarily to increased headcount.</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 in fair value of contingent consideration related to earnouts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2640" w:type="dxa"/>
            <w:vAlign w:val="bottom"/>
            <w:gridSpan w:val="3"/>
          </w:tcPr>
          <w:p>
            <w:pPr>
              <w:jc w:val="center"/>
              <w:ind w:left="468"/>
              <w:spacing w:after="0"/>
              <w:rPr>
                <w:sz w:val="20"/>
                <w:szCs w:val="20"/>
                <w:color w:val="auto"/>
              </w:rPr>
            </w:pPr>
            <w:r>
              <w:rPr>
                <w:rFonts w:ascii="Arial" w:cs="Arial" w:eastAsia="Arial" w:hAnsi="Arial"/>
                <w:sz w:val="14"/>
                <w:szCs w:val="14"/>
                <w:b w:val="1"/>
                <w:bCs w:val="1"/>
                <w:color w:val="auto"/>
                <w:w w:val="93"/>
              </w:rPr>
              <w:t>Six Months Ended 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6"/>
        </w:trPr>
        <w:tc>
          <w:tcPr>
            <w:tcW w:w="50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4"/>
        </w:trPr>
        <w:tc>
          <w:tcPr>
            <w:tcW w:w="6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400" w:type="dxa"/>
            <w:vAlign w:val="bottom"/>
          </w:tcPr>
          <w:p>
            <w:pPr>
              <w:ind w:left="380"/>
              <w:spacing w:after="0"/>
              <w:rPr>
                <w:sz w:val="20"/>
                <w:szCs w:val="20"/>
                <w:color w:val="auto"/>
              </w:rPr>
            </w:pPr>
            <w:r>
              <w:rPr>
                <w:rFonts w:ascii="Arial" w:cs="Arial" w:eastAsia="Arial" w:hAnsi="Arial"/>
                <w:sz w:val="14"/>
                <w:szCs w:val="14"/>
                <w:b w:val="1"/>
                <w:bCs w:val="1"/>
                <w:color w:val="auto"/>
              </w:rPr>
              <w:t>% Change</w:t>
            </w:r>
          </w:p>
        </w:tc>
      </w:tr>
      <w:tr>
        <w:trPr>
          <w:trHeight w:val="26"/>
        </w:trPr>
        <w:tc>
          <w:tcPr>
            <w:tcW w:w="50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4"/>
        </w:trPr>
        <w:tc>
          <w:tcPr>
            <w:tcW w:w="5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80" w:type="dxa"/>
            <w:vAlign w:val="bottom"/>
            <w:gridSpan w:val="2"/>
          </w:tcPr>
          <w:p>
            <w:pPr>
              <w:jc w:val="center"/>
              <w:ind w:right="339"/>
              <w:spacing w:after="0"/>
              <w:rPr>
                <w:sz w:val="20"/>
                <w:szCs w:val="20"/>
                <w:color w:val="auto"/>
              </w:rPr>
            </w:pPr>
            <w:r>
              <w:rPr>
                <w:rFonts w:ascii="Arial" w:cs="Arial" w:eastAsia="Arial" w:hAnsi="Arial"/>
                <w:sz w:val="14"/>
                <w:szCs w:val="14"/>
                <w:b w:val="1"/>
                <w:bCs w:val="1"/>
                <w:color w:val="auto"/>
                <w:w w:val="91"/>
              </w:rPr>
              <w:t>(dollars in millions)</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6"/>
        </w:trPr>
        <w:tc>
          <w:tcPr>
            <w:tcW w:w="5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considerations related to earnouts  $</w:t>
            </w:r>
          </w:p>
        </w:tc>
        <w:tc>
          <w:tcPr>
            <w:tcW w:w="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w w:val="99"/>
              </w:rPr>
              <w:t>NM</w:t>
            </w:r>
          </w:p>
        </w:tc>
      </w:tr>
      <w:tr>
        <w:trPr>
          <w:trHeight w:val="243"/>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Percentage of revenue</w:t>
            </w:r>
          </w:p>
        </w:tc>
        <w:tc>
          <w:tcPr>
            <w:tcW w:w="620" w:type="dxa"/>
            <w:vAlign w:val="bottom"/>
          </w:tcPr>
          <w:p>
            <w:pPr>
              <w:ind w:left="180"/>
              <w:spacing w:after="0"/>
              <w:rPr>
                <w:sz w:val="20"/>
                <w:szCs w:val="20"/>
                <w:color w:val="auto"/>
              </w:rPr>
            </w:pPr>
            <w:r>
              <w:rPr>
                <w:rFonts w:ascii="Arial" w:cs="Arial" w:eastAsia="Arial" w:hAnsi="Arial"/>
                <w:sz w:val="18"/>
                <w:szCs w:val="18"/>
                <w:color w:val="auto"/>
              </w:rPr>
              <w:t>— %</w:t>
            </w:r>
          </w:p>
        </w:tc>
        <w:tc>
          <w:tcPr>
            <w:tcW w:w="10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r>
    </w:tbl>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change in fair value of contingent consideration in 2021 relates to our acquisitions of Fundera and KYM in the second half of 2020, and did not exist in the six months ended June 30, 2020. The fair value of the estimated contingent considerations is subject to remeasurement at each reporting date until the payments are made. See Note 1 – The Company and its Significant Accounting Policies in the notes to our consolidated financial statements for further discussion regarding how we estimated the fair value of these contingent considerations.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income (expense), net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2580" w:type="dxa"/>
            <w:vAlign w:val="bottom"/>
            <w:gridSpan w:val="4"/>
          </w:tcPr>
          <w:p>
            <w:pPr>
              <w:jc w:val="right"/>
              <w:ind w:right="96"/>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5"/>
        </w:trPr>
        <w:tc>
          <w:tcPr>
            <w:tcW w:w="49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84"/>
        </w:trPr>
        <w:tc>
          <w:tcPr>
            <w:tcW w:w="49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1580" w:type="dxa"/>
            <w:vAlign w:val="bottom"/>
          </w:tcPr>
          <w:p>
            <w:pPr>
              <w:jc w:val="right"/>
              <w:ind w:right="374"/>
              <w:spacing w:after="0"/>
              <w:rPr>
                <w:sz w:val="20"/>
                <w:szCs w:val="20"/>
                <w:color w:val="auto"/>
              </w:rPr>
            </w:pPr>
            <w:r>
              <w:rPr>
                <w:rFonts w:ascii="Arial" w:cs="Arial" w:eastAsia="Arial" w:hAnsi="Arial"/>
                <w:sz w:val="14"/>
                <w:szCs w:val="14"/>
                <w:b w:val="1"/>
                <w:bCs w:val="1"/>
                <w:color w:val="auto"/>
              </w:rPr>
              <w:t>% Change</w:t>
            </w:r>
          </w:p>
        </w:tc>
      </w:tr>
      <w:tr>
        <w:trPr>
          <w:trHeight w:val="25"/>
        </w:trPr>
        <w:tc>
          <w:tcPr>
            <w:tcW w:w="49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84"/>
        </w:trPr>
        <w:tc>
          <w:tcPr>
            <w:tcW w:w="49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40" w:type="dxa"/>
            <w:vAlign w:val="bottom"/>
            <w:gridSpan w:val="3"/>
          </w:tcPr>
          <w:p>
            <w:pPr>
              <w:jc w:val="right"/>
              <w:ind w:right="336"/>
              <w:spacing w:after="0"/>
              <w:rPr>
                <w:sz w:val="20"/>
                <w:szCs w:val="20"/>
                <w:color w:val="auto"/>
              </w:rPr>
            </w:pPr>
            <w:r>
              <w:rPr>
                <w:rFonts w:ascii="Arial" w:cs="Arial" w:eastAsia="Arial" w:hAnsi="Arial"/>
                <w:sz w:val="14"/>
                <w:szCs w:val="14"/>
                <w:b w:val="1"/>
                <w:bCs w:val="1"/>
                <w:color w:val="auto"/>
                <w:w w:val="93"/>
              </w:rPr>
              <w:t>(dollars in millions)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5"/>
        </w:trPr>
        <w:tc>
          <w:tcPr>
            <w:tcW w:w="4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center"/>
              <w:ind w:left="414"/>
              <w:spacing w:after="0"/>
              <w:rPr>
                <w:sz w:val="20"/>
                <w:szCs w:val="20"/>
                <w:color w:val="auto"/>
              </w:rPr>
            </w:pPr>
            <w:r>
              <w:rPr>
                <w:rFonts w:ascii="Arial" w:cs="Arial" w:eastAsia="Arial" w:hAnsi="Arial"/>
                <w:sz w:val="18"/>
                <w:szCs w:val="18"/>
                <w:color w:val="auto"/>
                <w:w w:val="91"/>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(96 %)</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940" w:type="dxa"/>
            <w:vAlign w:val="bottom"/>
          </w:tcPr>
          <w:p>
            <w:pPr>
              <w:spacing w:after="0"/>
              <w:rPr>
                <w:sz w:val="21"/>
                <w:szCs w:val="21"/>
                <w:color w:val="auto"/>
              </w:rPr>
            </w:pPr>
          </w:p>
        </w:tc>
        <w:tc>
          <w:tcPr>
            <w:tcW w:w="580" w:type="dxa"/>
            <w:vAlign w:val="bottom"/>
          </w:tcPr>
          <w:p>
            <w:pPr>
              <w:jc w:val="right"/>
              <w:ind w:right="93"/>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color w:val="auto"/>
                <w:w w:val="97"/>
              </w:rPr>
              <w:t>(0.7)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center"/>
              <w:ind w:left="414"/>
              <w:spacing w:after="0"/>
              <w:rPr>
                <w:sz w:val="20"/>
                <w:szCs w:val="20"/>
                <w:color w:val="auto"/>
              </w:rPr>
            </w:pPr>
            <w:r>
              <w:rPr>
                <w:rFonts w:ascii="Arial" w:cs="Arial" w:eastAsia="Arial" w:hAnsi="Arial"/>
                <w:sz w:val="18"/>
                <w:szCs w:val="18"/>
                <w:color w:val="auto"/>
                <w:w w:val="91"/>
              </w:rPr>
              <w:t>(0.2)</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7"/>
        </w:trPr>
        <w:tc>
          <w:tcPr>
            <w:tcW w:w="4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gains (losses), net</w:t>
            </w:r>
          </w:p>
        </w:tc>
        <w:tc>
          <w:tcPr>
            <w:tcW w:w="9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center"/>
              <w:ind w:left="434"/>
              <w:spacing w:after="0"/>
              <w:rPr>
                <w:sz w:val="20"/>
                <w:szCs w:val="20"/>
                <w:color w:val="auto"/>
              </w:rPr>
            </w:pPr>
            <w:r>
              <w:rPr>
                <w:rFonts w:ascii="Arial" w:cs="Arial" w:eastAsia="Arial" w:hAnsi="Arial"/>
                <w:sz w:val="18"/>
                <w:szCs w:val="18"/>
                <w:color w:val="auto"/>
                <w:w w:val="95"/>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37"/>
        </w:trPr>
        <w:tc>
          <w:tcPr>
            <w:tcW w:w="494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940" w:type="dxa"/>
            <w:vAlign w:val="bottom"/>
            <w:tcBorders>
              <w:top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31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center"/>
              <w:ind w:left="434"/>
              <w:spacing w:after="0"/>
              <w:rPr>
                <w:sz w:val="20"/>
                <w:szCs w:val="20"/>
                <w:color w:val="auto"/>
              </w:rPr>
            </w:pPr>
            <w:r>
              <w:rPr>
                <w:rFonts w:ascii="Arial" w:cs="Arial" w:eastAsia="Arial" w:hAnsi="Arial"/>
                <w:sz w:val="18"/>
                <w:szCs w:val="18"/>
                <w:color w:val="auto"/>
                <w:w w:val="95"/>
              </w:rPr>
              <w:t>0.8</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NM</w:t>
            </w:r>
          </w:p>
        </w:tc>
      </w:tr>
      <w:tr>
        <w:trPr>
          <w:trHeight w:val="27"/>
        </w:trPr>
        <w:tc>
          <w:tcPr>
            <w:tcW w:w="4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Percentage of revenue</w:t>
            </w:r>
          </w:p>
        </w:tc>
        <w:tc>
          <w:tcPr>
            <w:tcW w:w="9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5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7"/>
        </w:trPr>
        <w:tc>
          <w:tcPr>
            <w:tcW w:w="49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income (expense), net increased $0.8 million for the six months ended June 30, 2021 compared to the six months ended June 30, 2020, primarily attributable to a $1.2 million increase in other gains (losses), net related to a $1.3 million nonrecurring gain, partially offset by a loss from the remeasurement of the derivative embedded in our long-term debt.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 benefit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2640" w:type="dxa"/>
            <w:vAlign w:val="bottom"/>
            <w:gridSpan w:val="3"/>
          </w:tcPr>
          <w:p>
            <w:pPr>
              <w:jc w:val="right"/>
              <w:ind w:right="99"/>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5"/>
        </w:trPr>
        <w:tc>
          <w:tcPr>
            <w:tcW w:w="49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84"/>
        </w:trPr>
        <w:tc>
          <w:tcPr>
            <w:tcW w:w="49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20" w:type="dxa"/>
            <w:vAlign w:val="bottom"/>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25"/>
        </w:trPr>
        <w:tc>
          <w:tcPr>
            <w:tcW w:w="49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84"/>
        </w:trPr>
        <w:tc>
          <w:tcPr>
            <w:tcW w:w="4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(dollars in millions)</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5"/>
        </w:trPr>
        <w:tc>
          <w:tcPr>
            <w:tcW w:w="4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w:t>
            </w:r>
          </w:p>
        </w:tc>
        <w:tc>
          <w:tcPr>
            <w:tcW w:w="102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7"/>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341 %</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9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(1 %)</w:t>
            </w: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62</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4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Income tax benefit increased $6.6 million, or 341%, for the six months ended June 30, 2021 compared to the six months ended June 30, 2020. Our effective tax rate was 24.2% and (175.8%) for the six months ended June 30, 2021 and 2020, respectively. Our effective tax rate for the six months ended June 30, 2021 was higher than the U.S. federal statutory income tax rate of 21% primarily due to excess tax benefits related to stock-based compensation, and research and development credits, partially offset by non-deductible contingent consideration. Our effective tax rate for the six months ended June 30, 2020 was lower than the U.S. federal statutory income tax rate of 21% primarily due to excess tax benefits related to stock-based compensation, and research and development credits, partially offset by non-deductible stock-based compensation.</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the years ended December 31, 2019 and 2020</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242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6"/>
        </w:trPr>
        <w:tc>
          <w:tcPr>
            <w:tcW w:w="50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84"/>
        </w:trPr>
        <w:tc>
          <w:tcPr>
            <w:tcW w:w="50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620" w:type="dxa"/>
            <w:vAlign w:val="bottom"/>
          </w:tcPr>
          <w:p>
            <w:pPr>
              <w:jc w:val="right"/>
              <w:ind w:right="394"/>
              <w:spacing w:after="0"/>
              <w:rPr>
                <w:sz w:val="20"/>
                <w:szCs w:val="20"/>
                <w:color w:val="auto"/>
              </w:rPr>
            </w:pPr>
            <w:r>
              <w:rPr>
                <w:rFonts w:ascii="Arial" w:cs="Arial" w:eastAsia="Arial" w:hAnsi="Arial"/>
                <w:sz w:val="14"/>
                <w:szCs w:val="14"/>
                <w:b w:val="1"/>
                <w:bCs w:val="1"/>
                <w:color w:val="auto"/>
              </w:rPr>
              <w:t>% Change</w:t>
            </w:r>
          </w:p>
        </w:tc>
      </w:tr>
      <w:tr>
        <w:trPr>
          <w:trHeight w:val="26"/>
        </w:trPr>
        <w:tc>
          <w:tcPr>
            <w:tcW w:w="50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84"/>
        </w:trPr>
        <w:tc>
          <w:tcPr>
            <w:tcW w:w="5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60" w:type="dxa"/>
            <w:vAlign w:val="bottom"/>
            <w:gridSpan w:val="3"/>
          </w:tcPr>
          <w:p>
            <w:pPr>
              <w:jc w:val="right"/>
              <w:ind w:right="276"/>
              <w:spacing w:after="0"/>
              <w:rPr>
                <w:sz w:val="20"/>
                <w:szCs w:val="20"/>
                <w:color w:val="auto"/>
              </w:rPr>
            </w:pPr>
            <w:r>
              <w:rPr>
                <w:rFonts w:ascii="Arial" w:cs="Arial" w:eastAsia="Arial" w:hAnsi="Arial"/>
                <w:sz w:val="14"/>
                <w:szCs w:val="14"/>
                <w:b w:val="1"/>
                <w:bCs w:val="1"/>
                <w:color w:val="auto"/>
                <w:w w:val="91"/>
              </w:rPr>
              <w:t>(dollars in millions)</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6"/>
        </w:trPr>
        <w:tc>
          <w:tcPr>
            <w:tcW w:w="5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 cards</w:t>
            </w: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center"/>
              <w:ind w:left="574"/>
              <w:spacing w:after="0"/>
              <w:rPr>
                <w:sz w:val="20"/>
                <w:szCs w:val="20"/>
                <w:color w:val="auto"/>
              </w:rPr>
            </w:pPr>
            <w:r>
              <w:rPr>
                <w:rFonts w:ascii="Arial" w:cs="Arial" w:eastAsia="Arial" w:hAnsi="Arial"/>
                <w:sz w:val="18"/>
                <w:szCs w:val="18"/>
                <w:color w:val="auto"/>
                <w:w w:val="93"/>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Loans</w:t>
            </w: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81.3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center"/>
              <w:ind w:left="614"/>
              <w:spacing w:after="0"/>
              <w:rPr>
                <w:sz w:val="20"/>
                <w:szCs w:val="20"/>
                <w:color w:val="auto"/>
              </w:rPr>
            </w:pPr>
            <w:r>
              <w:rPr>
                <w:rFonts w:ascii="Arial" w:cs="Arial" w:eastAsia="Arial" w:hAnsi="Arial"/>
                <w:sz w:val="18"/>
                <w:szCs w:val="18"/>
                <w:color w:val="auto"/>
                <w:w w:val="91"/>
              </w:rPr>
              <w:t>26.2</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48 %</w:t>
            </w:r>
          </w:p>
        </w:tc>
      </w:tr>
      <w:tr>
        <w:trPr>
          <w:trHeight w:val="27"/>
        </w:trPr>
        <w:tc>
          <w:tcPr>
            <w:tcW w:w="5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verticals</w:t>
            </w:r>
          </w:p>
        </w:tc>
        <w:tc>
          <w:tcPr>
            <w:tcW w:w="8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center"/>
              <w:ind w:left="614"/>
              <w:spacing w:after="0"/>
              <w:rPr>
                <w:sz w:val="20"/>
                <w:szCs w:val="20"/>
                <w:color w:val="auto"/>
              </w:rPr>
            </w:pPr>
            <w:r>
              <w:rPr>
                <w:rFonts w:ascii="Arial" w:cs="Arial" w:eastAsia="Arial" w:hAnsi="Arial"/>
                <w:sz w:val="18"/>
                <w:szCs w:val="18"/>
                <w:color w:val="auto"/>
                <w:w w:val="91"/>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41 %</w:t>
            </w:r>
          </w:p>
        </w:tc>
      </w:tr>
      <w:tr>
        <w:trPr>
          <w:trHeight w:val="237"/>
        </w:trPr>
        <w:tc>
          <w:tcPr>
            <w:tcW w:w="50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860" w:type="dxa"/>
            <w:vAlign w:val="bottom"/>
            <w:tcBorders>
              <w:top w:val="single" w:sz="8" w:color="auto"/>
            </w:tcBorders>
          </w:tcPr>
          <w:p>
            <w:pPr>
              <w:jc w:val="right"/>
              <w:ind w:right="65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228.3</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245.3</w:t>
            </w: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center"/>
              <w:ind w:left="614"/>
              <w:spacing w:after="0"/>
              <w:rPr>
                <w:sz w:val="20"/>
                <w:szCs w:val="20"/>
                <w:color w:val="auto"/>
              </w:rPr>
            </w:pPr>
            <w:r>
              <w:rPr>
                <w:rFonts w:ascii="Arial" w:cs="Arial" w:eastAsia="Arial" w:hAnsi="Arial"/>
                <w:sz w:val="18"/>
                <w:szCs w:val="18"/>
                <w:color w:val="auto"/>
                <w:w w:val="91"/>
              </w:rPr>
              <w:t>17.0</w:t>
            </w:r>
          </w:p>
        </w:tc>
        <w:tc>
          <w:tcPr>
            <w:tcW w:w="100" w:type="dxa"/>
            <w:vAlign w:val="bottom"/>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7 %</w:t>
            </w:r>
          </w:p>
        </w:tc>
      </w:tr>
    </w:tbl>
    <w:p>
      <w:pPr>
        <w:spacing w:after="0" w:line="26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Revenue increased $17.0 million, or 7%, for the year ended December 31, 2020 compared to the year ended December 31, 2019, as increases of $26.2 million in loans revenue and $25.0 million in other verticals revenue were partially offset by a $34.2 million decrease in credit cards revenue.</w:t>
      </w:r>
    </w:p>
    <w:p>
      <w:pPr>
        <w:spacing w:after="0" w:line="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Credit cards revenue decreased $34.2 million to $78.2 million in 2020 from $112.4 million in 2019. The decrease was primarily due to the impact of economic conditions related to the COVID-19 pandemic that caused fewer financial services partners offering credit cards choosing to market through our platform due to lower approval rates for credit cards due to the economic uncertainty in 2020.</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Loans revenue increased $26.2 million to $81.3 million in 2020 from $55.1 million in 2019 primarily attributable to a 70% increase in home mortgages revenue due to higher consumer demand for mortgage loans in the low interest rate environment.</w:t>
      </w:r>
    </w:p>
    <w:p>
      <w:pPr>
        <w:spacing w:after="0" w:line="116"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Other verticals revenue increased $25.0 million to $85.8 million in 2020 from $60.8 million in 2019, primarily attributable to a 122% increase in insurance revenue and a 54% increase in investing revenue, due to higher consumer demand for insurance and investing activities.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revenue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2600" w:type="dxa"/>
            <w:vAlign w:val="bottom"/>
            <w:gridSpan w:val="3"/>
          </w:tcPr>
          <w:p>
            <w:pPr>
              <w:jc w:val="center"/>
              <w:ind w:left="522"/>
              <w:spacing w:after="0"/>
              <w:rPr>
                <w:sz w:val="20"/>
                <w:szCs w:val="20"/>
                <w:color w:val="auto"/>
              </w:rPr>
            </w:pPr>
            <w:r>
              <w:rPr>
                <w:rFonts w:ascii="Arial" w:cs="Arial" w:eastAsia="Arial" w:hAnsi="Arial"/>
                <w:sz w:val="14"/>
                <w:szCs w:val="14"/>
                <w:b w:val="1"/>
                <w:bCs w:val="1"/>
                <w:color w:val="auto"/>
                <w:w w:val="93"/>
              </w:rPr>
              <w:t>Year Ended December 31,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5"/>
        </w:trPr>
        <w:tc>
          <w:tcPr>
            <w:tcW w:w="49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4"/>
        </w:trPr>
        <w:tc>
          <w:tcPr>
            <w:tcW w:w="49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40" w:type="dxa"/>
            <w:vAlign w:val="bottom"/>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25"/>
        </w:trPr>
        <w:tc>
          <w:tcPr>
            <w:tcW w:w="49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4"/>
        </w:trPr>
        <w:tc>
          <w:tcPr>
            <w:tcW w:w="4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40" w:type="dxa"/>
            <w:vAlign w:val="bottom"/>
            <w:gridSpan w:val="2"/>
          </w:tcPr>
          <w:p>
            <w:pPr>
              <w:jc w:val="center"/>
              <w:ind w:right="279"/>
              <w:spacing w:after="0"/>
              <w:rPr>
                <w:sz w:val="20"/>
                <w:szCs w:val="20"/>
                <w:color w:val="auto"/>
              </w:rPr>
            </w:pPr>
            <w:r>
              <w:rPr>
                <w:rFonts w:ascii="Arial" w:cs="Arial" w:eastAsia="Arial" w:hAnsi="Arial"/>
                <w:sz w:val="14"/>
                <w:szCs w:val="14"/>
                <w:b w:val="1"/>
                <w:bCs w:val="1"/>
                <w:color w:val="auto"/>
                <w:w w:val="93"/>
              </w:rPr>
              <w:t>(dollars in millions)</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5"/>
        </w:trPr>
        <w:tc>
          <w:tcPr>
            <w:tcW w:w="4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6"/>
              </w:rPr>
              <w:t>16.1</w:t>
            </w:r>
          </w:p>
        </w:tc>
        <w:tc>
          <w:tcPr>
            <w:tcW w:w="100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6"/>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9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7 %</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25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Cost of revenue increased $5.2 million, or 32%, for the year ended December 31, 2020 compared to the year ended December 31, 2019. The increase was primarily attributable to a $4.3 million increase in amortization expense related to capitalized software development costs and a $0.8 million increase in third-party data center costs in connection with the growth in our traffic and ongoing product and feature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63</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2580" w:type="dxa"/>
            <w:vAlign w:val="bottom"/>
            <w:gridSpan w:val="3"/>
          </w:tcPr>
          <w:p>
            <w:pPr>
              <w:jc w:val="center"/>
              <w:ind w:left="502"/>
              <w:spacing w:after="0"/>
              <w:rPr>
                <w:sz w:val="20"/>
                <w:szCs w:val="20"/>
                <w:color w:val="auto"/>
              </w:rPr>
            </w:pPr>
            <w:r>
              <w:rPr>
                <w:rFonts w:ascii="Arial" w:cs="Arial" w:eastAsia="Arial" w:hAnsi="Arial"/>
                <w:sz w:val="14"/>
                <w:szCs w:val="14"/>
                <w:b w:val="1"/>
                <w:bCs w:val="1"/>
                <w:color w:val="auto"/>
                <w:w w:val="93"/>
              </w:rPr>
              <w:t>Year Ended December 31,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6"/>
        </w:trPr>
        <w:tc>
          <w:tcPr>
            <w:tcW w:w="49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4"/>
        </w:trPr>
        <w:tc>
          <w:tcPr>
            <w:tcW w:w="49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40" w:type="dxa"/>
            <w:vAlign w:val="bottom"/>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26"/>
        </w:trPr>
        <w:tc>
          <w:tcPr>
            <w:tcW w:w="49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4"/>
        </w:trPr>
        <w:tc>
          <w:tcPr>
            <w:tcW w:w="4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40" w:type="dxa"/>
            <w:vAlign w:val="bottom"/>
            <w:gridSpan w:val="2"/>
          </w:tcPr>
          <w:p>
            <w:pPr>
              <w:jc w:val="center"/>
              <w:ind w:right="279"/>
              <w:spacing w:after="0"/>
              <w:rPr>
                <w:sz w:val="20"/>
                <w:szCs w:val="20"/>
                <w:color w:val="auto"/>
              </w:rPr>
            </w:pPr>
            <w:r>
              <w:rPr>
                <w:rFonts w:ascii="Arial" w:cs="Arial" w:eastAsia="Arial" w:hAnsi="Arial"/>
                <w:sz w:val="14"/>
                <w:szCs w:val="14"/>
                <w:b w:val="1"/>
                <w:bCs w:val="1"/>
                <w:color w:val="auto"/>
                <w:w w:val="93"/>
              </w:rPr>
              <w:t>(dollars in millions)</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6"/>
        </w:trPr>
        <w:tc>
          <w:tcPr>
            <w:tcW w:w="4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6"/>
              </w:rPr>
              <w:t>46.0</w:t>
            </w:r>
          </w:p>
        </w:tc>
        <w:tc>
          <w:tcPr>
            <w:tcW w:w="100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6"/>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9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20 %</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26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Research and development expenses increased $4.9 million, or 11%, for the year ended December 31, 2020 compared to the year ended December 31, 2019. The increase was primarily attributable to a $4.5 million increase in personnel-related costs for our engineering, data, and product management personnel and contractors to support our continued growth.</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 expense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2560" w:type="dxa"/>
            <w:vAlign w:val="bottom"/>
            <w:gridSpan w:val="3"/>
          </w:tcPr>
          <w:p>
            <w:pPr>
              <w:jc w:val="center"/>
              <w:ind w:left="562"/>
              <w:spacing w:after="0"/>
              <w:rPr>
                <w:sz w:val="20"/>
                <w:szCs w:val="20"/>
                <w:color w:val="auto"/>
              </w:rPr>
            </w:pPr>
            <w:r>
              <w:rPr>
                <w:rFonts w:ascii="Arial" w:cs="Arial" w:eastAsia="Arial" w:hAnsi="Arial"/>
                <w:sz w:val="14"/>
                <w:szCs w:val="14"/>
                <w:b w:val="1"/>
                <w:bCs w:val="1"/>
                <w:color w:val="auto"/>
                <w:w w:val="93"/>
              </w:rPr>
              <w:t>Year Ended December 31,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6"/>
        </w:trPr>
        <w:tc>
          <w:tcPr>
            <w:tcW w:w="49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4"/>
        </w:trPr>
        <w:tc>
          <w:tcPr>
            <w:tcW w:w="49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40" w:type="dxa"/>
            <w:vAlign w:val="bottom"/>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26"/>
        </w:trPr>
        <w:tc>
          <w:tcPr>
            <w:tcW w:w="49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4"/>
        </w:trPr>
        <w:tc>
          <w:tcPr>
            <w:tcW w:w="4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40" w:type="dxa"/>
            <w:vAlign w:val="bottom"/>
            <w:gridSpan w:val="2"/>
          </w:tcPr>
          <w:p>
            <w:pPr>
              <w:jc w:val="center"/>
              <w:ind w:right="199"/>
              <w:spacing w:after="0"/>
              <w:rPr>
                <w:sz w:val="20"/>
                <w:szCs w:val="20"/>
                <w:color w:val="auto"/>
              </w:rPr>
            </w:pPr>
            <w:r>
              <w:rPr>
                <w:rFonts w:ascii="Arial" w:cs="Arial" w:eastAsia="Arial" w:hAnsi="Arial"/>
                <w:sz w:val="14"/>
                <w:szCs w:val="14"/>
                <w:b w:val="1"/>
                <w:bCs w:val="1"/>
                <w:color w:val="auto"/>
                <w:w w:val="93"/>
              </w:rPr>
              <w:t>(dollars in millions)</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6"/>
        </w:trPr>
        <w:tc>
          <w:tcPr>
            <w:tcW w:w="4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 expense</w:t>
            </w:r>
          </w:p>
        </w:tc>
        <w:tc>
          <w:tcPr>
            <w:tcW w:w="92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84"/>
              </w:rPr>
              <w:t>115.6</w:t>
            </w:r>
          </w:p>
        </w:tc>
        <w:tc>
          <w:tcPr>
            <w:tcW w:w="96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84"/>
              </w:rPr>
              <w:t>144.0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9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51 %</w:t>
            </w:r>
          </w:p>
        </w:tc>
        <w:tc>
          <w:tcPr>
            <w:tcW w:w="9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25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For the years ended December 31, 2019 and 2020, our total sales and marketing expense was comprised of approximately 32% and 39% for brand marketing, respectively, and 40% and 34% for performance marketing, respectively, with the remainder for organic and other marketing expenses.</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Sales and marketing expenses increased $28.4 million, or 25%, for the year ended December 31, 2020 compared to the year ended December 31, 2019, primarily attributable to increases of $19.0 million in brand marketing expenses and $1.5 million in performance marketing expenses. The increase was also attributable to higher organic and other marketing expenses, including a $7.9 million increase in personnel-related costs due to our efforts to grow and increase our user base.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2580" w:type="dxa"/>
            <w:vAlign w:val="bottom"/>
            <w:gridSpan w:val="3"/>
          </w:tcPr>
          <w:p>
            <w:pPr>
              <w:jc w:val="center"/>
              <w:ind w:left="502"/>
              <w:spacing w:after="0"/>
              <w:rPr>
                <w:sz w:val="20"/>
                <w:szCs w:val="20"/>
                <w:color w:val="auto"/>
              </w:rPr>
            </w:pPr>
            <w:r>
              <w:rPr>
                <w:rFonts w:ascii="Arial" w:cs="Arial" w:eastAsia="Arial" w:hAnsi="Arial"/>
                <w:sz w:val="14"/>
                <w:szCs w:val="14"/>
                <w:b w:val="1"/>
                <w:bCs w:val="1"/>
                <w:color w:val="auto"/>
                <w:w w:val="93"/>
              </w:rPr>
              <w:t>Year Ended December 31,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5"/>
        </w:trPr>
        <w:tc>
          <w:tcPr>
            <w:tcW w:w="49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4"/>
        </w:trPr>
        <w:tc>
          <w:tcPr>
            <w:tcW w:w="49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40" w:type="dxa"/>
            <w:vAlign w:val="bottom"/>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25"/>
        </w:trPr>
        <w:tc>
          <w:tcPr>
            <w:tcW w:w="49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4"/>
        </w:trPr>
        <w:tc>
          <w:tcPr>
            <w:tcW w:w="4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40" w:type="dxa"/>
            <w:vAlign w:val="bottom"/>
            <w:gridSpan w:val="2"/>
          </w:tcPr>
          <w:p>
            <w:pPr>
              <w:jc w:val="center"/>
              <w:ind w:right="279"/>
              <w:spacing w:after="0"/>
              <w:rPr>
                <w:sz w:val="20"/>
                <w:szCs w:val="20"/>
                <w:color w:val="auto"/>
              </w:rPr>
            </w:pPr>
            <w:r>
              <w:rPr>
                <w:rFonts w:ascii="Arial" w:cs="Arial" w:eastAsia="Arial" w:hAnsi="Arial"/>
                <w:sz w:val="14"/>
                <w:szCs w:val="14"/>
                <w:b w:val="1"/>
                <w:bCs w:val="1"/>
                <w:color w:val="auto"/>
                <w:w w:val="93"/>
              </w:rPr>
              <w:t>(dollars in millions)</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5"/>
        </w:trPr>
        <w:tc>
          <w:tcPr>
            <w:tcW w:w="4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6"/>
              </w:rPr>
              <w:t>22.2</w:t>
            </w:r>
          </w:p>
        </w:tc>
        <w:tc>
          <w:tcPr>
            <w:tcW w:w="100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6"/>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9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10 %</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26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General and administrative expenses increased $5.8 million, or 26%, for the year ended December 31, 2020 compared to the year ended December 31, 2019, primarily attributable to a $3.1 million increase in professional and consulting services fees, a $1.6 million increase in acquisition-related expenses, and a $1.6 million increase in personnel-related costs resulting from increased headcount.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 in fair value of contingent consideration related to earnouts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2600" w:type="dxa"/>
            <w:vAlign w:val="bottom"/>
            <w:gridSpan w:val="3"/>
          </w:tcPr>
          <w:p>
            <w:pPr>
              <w:jc w:val="center"/>
              <w:ind w:left="508"/>
              <w:spacing w:after="0"/>
              <w:rPr>
                <w:sz w:val="20"/>
                <w:szCs w:val="20"/>
                <w:color w:val="auto"/>
              </w:rPr>
            </w:pPr>
            <w:r>
              <w:rPr>
                <w:rFonts w:ascii="Arial" w:cs="Arial" w:eastAsia="Arial" w:hAnsi="Arial"/>
                <w:sz w:val="14"/>
                <w:szCs w:val="14"/>
                <w:b w:val="1"/>
                <w:bCs w:val="1"/>
                <w:color w:val="auto"/>
                <w:w w:val="91"/>
              </w:rPr>
              <w:t>Year Ended December 31,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5"/>
        </w:trPr>
        <w:tc>
          <w:tcPr>
            <w:tcW w:w="50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4"/>
        </w:trPr>
        <w:tc>
          <w:tcPr>
            <w:tcW w:w="6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400" w:type="dxa"/>
            <w:vAlign w:val="bottom"/>
          </w:tcPr>
          <w:p>
            <w:pPr>
              <w:ind w:left="380"/>
              <w:spacing w:after="0"/>
              <w:rPr>
                <w:sz w:val="20"/>
                <w:szCs w:val="20"/>
                <w:color w:val="auto"/>
              </w:rPr>
            </w:pPr>
            <w:r>
              <w:rPr>
                <w:rFonts w:ascii="Arial" w:cs="Arial" w:eastAsia="Arial" w:hAnsi="Arial"/>
                <w:sz w:val="14"/>
                <w:szCs w:val="14"/>
                <w:b w:val="1"/>
                <w:bCs w:val="1"/>
                <w:color w:val="auto"/>
              </w:rPr>
              <w:t>% Change</w:t>
            </w:r>
          </w:p>
        </w:tc>
      </w:tr>
      <w:tr>
        <w:trPr>
          <w:trHeight w:val="25"/>
        </w:trPr>
        <w:tc>
          <w:tcPr>
            <w:tcW w:w="50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4"/>
        </w:trPr>
        <w:tc>
          <w:tcPr>
            <w:tcW w:w="5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40" w:type="dxa"/>
            <w:vAlign w:val="bottom"/>
            <w:gridSpan w:val="2"/>
          </w:tcPr>
          <w:p>
            <w:pPr>
              <w:jc w:val="center"/>
              <w:ind w:right="299"/>
              <w:spacing w:after="0"/>
              <w:rPr>
                <w:sz w:val="20"/>
                <w:szCs w:val="20"/>
                <w:color w:val="auto"/>
              </w:rPr>
            </w:pPr>
            <w:r>
              <w:rPr>
                <w:rFonts w:ascii="Arial" w:cs="Arial" w:eastAsia="Arial" w:hAnsi="Arial"/>
                <w:sz w:val="14"/>
                <w:szCs w:val="14"/>
                <w:b w:val="1"/>
                <w:bCs w:val="1"/>
                <w:color w:val="auto"/>
                <w:w w:val="91"/>
              </w:rPr>
              <w:t>(dollars in millions)</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5"/>
        </w:trPr>
        <w:tc>
          <w:tcPr>
            <w:tcW w:w="5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considerations related to earnouts  $</w:t>
            </w:r>
          </w:p>
        </w:tc>
        <w:tc>
          <w:tcPr>
            <w:tcW w:w="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w w:val="99"/>
              </w:rPr>
              <w:t>NM</w:t>
            </w:r>
          </w:p>
        </w:tc>
      </w:tr>
      <w:tr>
        <w:trPr>
          <w:trHeight w:val="243"/>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Percentage of revenue</w:t>
            </w:r>
          </w:p>
        </w:tc>
        <w:tc>
          <w:tcPr>
            <w:tcW w:w="620" w:type="dxa"/>
            <w:vAlign w:val="bottom"/>
          </w:tcPr>
          <w:p>
            <w:pPr>
              <w:ind w:left="180"/>
              <w:spacing w:after="0"/>
              <w:rPr>
                <w:sz w:val="20"/>
                <w:szCs w:val="20"/>
                <w:color w:val="auto"/>
              </w:rPr>
            </w:pPr>
            <w:r>
              <w:rPr>
                <w:rFonts w:ascii="Arial" w:cs="Arial" w:eastAsia="Arial" w:hAnsi="Arial"/>
                <w:sz w:val="18"/>
                <w:szCs w:val="18"/>
                <w:color w:val="auto"/>
              </w:rPr>
              <w:t>— %</w:t>
            </w:r>
          </w:p>
        </w:tc>
        <w:tc>
          <w:tcPr>
            <w:tcW w:w="1020" w:type="dxa"/>
            <w:vAlign w:val="bottom"/>
          </w:tcPr>
          <w:p>
            <w:pPr>
              <w:spacing w:after="0"/>
              <w:rPr>
                <w:sz w:val="21"/>
                <w:szCs w:val="21"/>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64</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change in fair value of contingent consideration in 2020 relates to our acquisitions of Fundera and Know Your Money, and did not exist in 2019. The fair value of the estimated contingent considerations is subject to remeasurement at each reporting date until the payments are made. See Note 1 – The Company and its Significant Accounting Policies in the notes to our consolidated financial statements for further discussion regarding how we estimated the fair value of this contingent consideration.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income (expense), net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2580" w:type="dxa"/>
            <w:vAlign w:val="bottom"/>
            <w:gridSpan w:val="4"/>
          </w:tcPr>
          <w:p>
            <w:pPr>
              <w:jc w:val="right"/>
              <w:ind w:right="96"/>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6"/>
        </w:trPr>
        <w:tc>
          <w:tcPr>
            <w:tcW w:w="49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84"/>
        </w:trPr>
        <w:tc>
          <w:tcPr>
            <w:tcW w:w="49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580" w:type="dxa"/>
            <w:vAlign w:val="bottom"/>
          </w:tcPr>
          <w:p>
            <w:pPr>
              <w:jc w:val="right"/>
              <w:ind w:right="374"/>
              <w:spacing w:after="0"/>
              <w:rPr>
                <w:sz w:val="20"/>
                <w:szCs w:val="20"/>
                <w:color w:val="auto"/>
              </w:rPr>
            </w:pPr>
            <w:r>
              <w:rPr>
                <w:rFonts w:ascii="Arial" w:cs="Arial" w:eastAsia="Arial" w:hAnsi="Arial"/>
                <w:sz w:val="14"/>
                <w:szCs w:val="14"/>
                <w:b w:val="1"/>
                <w:bCs w:val="1"/>
                <w:color w:val="auto"/>
              </w:rPr>
              <w:t>% Change</w:t>
            </w:r>
          </w:p>
        </w:tc>
      </w:tr>
      <w:tr>
        <w:trPr>
          <w:trHeight w:val="26"/>
        </w:trPr>
        <w:tc>
          <w:tcPr>
            <w:tcW w:w="49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84"/>
        </w:trPr>
        <w:tc>
          <w:tcPr>
            <w:tcW w:w="4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40" w:type="dxa"/>
            <w:vAlign w:val="bottom"/>
            <w:gridSpan w:val="3"/>
          </w:tcPr>
          <w:p>
            <w:pPr>
              <w:ind w:left="60"/>
              <w:spacing w:after="0"/>
              <w:rPr>
                <w:sz w:val="20"/>
                <w:szCs w:val="20"/>
                <w:color w:val="auto"/>
              </w:rPr>
            </w:pPr>
            <w:r>
              <w:rPr>
                <w:rFonts w:ascii="Arial" w:cs="Arial" w:eastAsia="Arial" w:hAnsi="Arial"/>
                <w:sz w:val="14"/>
                <w:szCs w:val="14"/>
                <w:b w:val="1"/>
                <w:bCs w:val="1"/>
                <w:color w:val="auto"/>
              </w:rPr>
              <w:t>(dollars in millions)</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6"/>
        </w:trPr>
        <w:tc>
          <w:tcPr>
            <w:tcW w:w="4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0.2</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(82 %)</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940" w:type="dxa"/>
            <w:vAlign w:val="bottom"/>
          </w:tcPr>
          <w:p>
            <w:pPr>
              <w:spacing w:after="0"/>
              <w:rPr>
                <w:sz w:val="21"/>
                <w:szCs w:val="21"/>
                <w:color w:val="auto"/>
              </w:rPr>
            </w:pPr>
          </w:p>
        </w:tc>
        <w:tc>
          <w:tcPr>
            <w:tcW w:w="580" w:type="dxa"/>
            <w:vAlign w:val="bottom"/>
          </w:tcPr>
          <w:p>
            <w:pPr>
              <w:ind w:left="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color w:val="auto"/>
                <w:w w:val="97"/>
              </w:rPr>
              <w:t>(1.1)</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4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losses, net</w:t>
            </w:r>
          </w:p>
        </w:tc>
        <w:tc>
          <w:tcPr>
            <w:tcW w:w="9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7"/>
              </w:rPr>
              <w:t>(0.1)</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80 %</w:t>
            </w: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940" w:type="dxa"/>
            <w:vAlign w:val="bottom"/>
            <w:tcBorders>
              <w:top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7"/>
              </w:rPr>
              <w:t>(1.0)</w:t>
            </w:r>
          </w:p>
        </w:tc>
        <w:tc>
          <w:tcPr>
            <w:tcW w:w="80" w:type="dxa"/>
            <w:vAlign w:val="bottom"/>
          </w:tcPr>
          <w:p>
            <w:pPr>
              <w:spacing w:after="0"/>
              <w:rPr>
                <w:sz w:val="20"/>
                <w:szCs w:val="20"/>
                <w:color w:val="auto"/>
              </w:rPr>
            </w:pPr>
          </w:p>
        </w:tc>
        <w:tc>
          <w:tcPr>
            <w:tcW w:w="500" w:type="dxa"/>
            <w:vAlign w:val="bottom"/>
            <w:tcBorders>
              <w:top w:val="single" w:sz="8" w:color="auto"/>
            </w:tcBorders>
          </w:tcPr>
          <w:p>
            <w:pPr>
              <w:jc w:val="right"/>
              <w:ind w:right="29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4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Percentage of revenue</w:t>
            </w:r>
          </w:p>
        </w:tc>
        <w:tc>
          <w:tcPr>
            <w:tcW w:w="9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7"/>
        </w:trPr>
        <w:tc>
          <w:tcPr>
            <w:tcW w:w="49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income (expense), net decreased $0.5 million, or 100%, for the year ended December 31, 2020 compared to the year ended December 31, 2019. The decrease is primarily attributable to a decrease in interest income related to lower interest rates and a decrease in other losses, net related to a $0.4 million remeasurement of the derivative embedded in our long-term debt.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 provision (benefit)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2580" w:type="dxa"/>
            <w:vAlign w:val="bottom"/>
            <w:gridSpan w:val="3"/>
          </w:tcPr>
          <w:p>
            <w:pPr>
              <w:jc w:val="center"/>
              <w:ind w:left="542"/>
              <w:spacing w:after="0"/>
              <w:rPr>
                <w:sz w:val="20"/>
                <w:szCs w:val="20"/>
                <w:color w:val="auto"/>
              </w:rPr>
            </w:pPr>
            <w:r>
              <w:rPr>
                <w:rFonts w:ascii="Arial" w:cs="Arial" w:eastAsia="Arial" w:hAnsi="Arial"/>
                <w:sz w:val="14"/>
                <w:szCs w:val="14"/>
                <w:b w:val="1"/>
                <w:bCs w:val="1"/>
                <w:color w:val="auto"/>
                <w:w w:val="93"/>
              </w:rPr>
              <w:t>Year Ended December 31,</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6"/>
        </w:trPr>
        <w:tc>
          <w:tcPr>
            <w:tcW w:w="49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84"/>
        </w:trPr>
        <w:tc>
          <w:tcPr>
            <w:tcW w:w="49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9"/>
              <w:spacing w:after="0"/>
              <w:rPr>
                <w:sz w:val="20"/>
                <w:szCs w:val="20"/>
                <w:color w:val="auto"/>
              </w:rPr>
            </w:pPr>
            <w:r>
              <w:rPr>
                <w:rFonts w:ascii="Arial" w:cs="Arial" w:eastAsia="Arial" w:hAnsi="Arial"/>
                <w:sz w:val="14"/>
                <w:szCs w:val="14"/>
                <w:b w:val="1"/>
                <w:bCs w:val="1"/>
                <w:color w:val="auto"/>
              </w:rPr>
              <w:t>% Change</w:t>
            </w:r>
          </w:p>
        </w:tc>
      </w:tr>
      <w:tr>
        <w:trPr>
          <w:trHeight w:val="26"/>
        </w:trPr>
        <w:tc>
          <w:tcPr>
            <w:tcW w:w="49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84"/>
        </w:trPr>
        <w:tc>
          <w:tcPr>
            <w:tcW w:w="4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20" w:type="dxa"/>
            <w:vAlign w:val="bottom"/>
            <w:gridSpan w:val="2"/>
          </w:tcPr>
          <w:p>
            <w:pPr>
              <w:jc w:val="center"/>
              <w:ind w:right="259"/>
              <w:spacing w:after="0"/>
              <w:rPr>
                <w:sz w:val="20"/>
                <w:szCs w:val="20"/>
                <w:color w:val="auto"/>
              </w:rPr>
            </w:pPr>
            <w:r>
              <w:rPr>
                <w:rFonts w:ascii="Arial" w:cs="Arial" w:eastAsia="Arial" w:hAnsi="Arial"/>
                <w:sz w:val="14"/>
                <w:szCs w:val="14"/>
                <w:b w:val="1"/>
                <w:bCs w:val="1"/>
                <w:color w:val="auto"/>
                <w:w w:val="93"/>
              </w:rPr>
              <w:t>(dollars in millions)</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5"/>
        </w:trPr>
        <w:tc>
          <w:tcPr>
            <w:tcW w:w="4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rPr>
              <w:t>3.7</w:t>
            </w:r>
          </w:p>
        </w:tc>
        <w:tc>
          <w:tcPr>
            <w:tcW w:w="102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7"/>
              </w:rPr>
              <w:t>(4.4)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(219 %)</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2 %</w:t>
            </w: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bl>
    <w:p>
      <w:pPr>
        <w:spacing w:after="0" w:line="25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Income tax provision (benefit) decreased $8.1 million, or 219%, for the year ended December 31, 2020 compared to the year ended December 31, 2019, from a provision for income tax to an income tax benefit. Our effective tax rate for the year ended December 31, 2019 was 13.2% compared to the effective tax rate for the year ended December 31, 2020 of (255.7%). The 2019 income tax expense was lower than the U.S. federal statutory income tax rate of 21% primarily due benefits from research and development credits, partially offset by nondeductible compensation and other expenses. The 2020 income tax benefit was lower than the U.S. federal statutory income tax rate of 21% primarily due to excess tax benefits related to stock-based compensation and research and development credits. The change in our effective tax rate from 2019 to 2020 was primarily due to higher excess tax benefits related to stock-based compensation in 2020 as compared to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65</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Non-GAAP Financial Measure</w:t>
      </w:r>
    </w:p>
    <w:p>
      <w:pPr>
        <w:spacing w:after="0" w:line="6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Adjusted EBITDA as we define it may not be comparable to similarly titled measures used by other companies. Because of these limitations, you should consider Adjusted EBITDA alongside other financial performance measures, including net income (loss) and our other GAAP results.</w:t>
      </w:r>
    </w:p>
    <w:p>
      <w:pPr>
        <w:spacing w:after="0" w:line="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compensate for these limitations by reconciling Adjusted EBITDA to net income (loss), the most comparable GAAP financial measure. The following table presents a reconciliation of Adjusted EBITDA for each of the periods presented: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2540" w:type="dxa"/>
            <w:vAlign w:val="bottom"/>
            <w:gridSpan w:val="4"/>
          </w:tcPr>
          <w:p>
            <w:pPr>
              <w:jc w:val="right"/>
              <w:ind w:right="96"/>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700" w:type="dxa"/>
            <w:vAlign w:val="bottom"/>
            <w:gridSpan w:val="4"/>
          </w:tcPr>
          <w:p>
            <w:pPr>
              <w:jc w:val="right"/>
              <w:ind w:right="652"/>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48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48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2021</w:t>
            </w:r>
          </w:p>
        </w:tc>
      </w:tr>
      <w:tr>
        <w:trPr>
          <w:trHeight w:val="26"/>
        </w:trPr>
        <w:tc>
          <w:tcPr>
            <w:tcW w:w="48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4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6"/>
        </w:trPr>
        <w:tc>
          <w:tcPr>
            <w:tcW w:w="4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1"/>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5.3</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(26.8)</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21"/>
                <w:szCs w:val="21"/>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w w:val="96"/>
              </w:rPr>
              <w:t>15.1</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92"/>
              <w:spacing w:after="0"/>
              <w:rPr>
                <w:sz w:val="20"/>
                <w:szCs w:val="20"/>
                <w:color w:val="auto"/>
              </w:rPr>
            </w:pPr>
            <w:r>
              <w:rPr>
                <w:rFonts w:ascii="Arial" w:cs="Arial" w:eastAsia="Arial" w:hAnsi="Arial"/>
                <w:sz w:val="18"/>
                <w:szCs w:val="18"/>
                <w:color w:val="auto"/>
              </w:rPr>
              <w:t>12.8</w:t>
            </w:r>
          </w:p>
        </w:tc>
      </w:tr>
      <w:tr>
        <w:trPr>
          <w:trHeight w:val="27"/>
        </w:trPr>
        <w:tc>
          <w:tcPr>
            <w:tcW w:w="4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0.9</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0.7</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940" w:type="dxa"/>
            <w:vAlign w:val="bottom"/>
          </w:tcPr>
          <w:p>
            <w:pPr>
              <w:spacing w:after="0"/>
              <w:rPr>
                <w:sz w:val="21"/>
                <w:szCs w:val="21"/>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(8.6)</w:t>
            </w:r>
          </w:p>
        </w:tc>
      </w:tr>
      <w:tr>
        <w:trPr>
          <w:trHeight w:val="27"/>
        </w:trPr>
        <w:tc>
          <w:tcPr>
            <w:tcW w:w="4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losses (gains), net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(1.2)</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Loss on impairment and on disposal of assets</w:t>
            </w:r>
          </w:p>
        </w:tc>
        <w:tc>
          <w:tcPr>
            <w:tcW w:w="940" w:type="dxa"/>
            <w:vAlign w:val="bottom"/>
          </w:tcPr>
          <w:p>
            <w:pPr>
              <w:spacing w:after="0"/>
              <w:rPr>
                <w:sz w:val="21"/>
                <w:szCs w:val="21"/>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92"/>
              <w:spacing w:after="0"/>
              <w:rPr>
                <w:sz w:val="20"/>
                <w:szCs w:val="20"/>
                <w:color w:val="auto"/>
              </w:rPr>
            </w:pPr>
            <w:r>
              <w:rPr>
                <w:rFonts w:ascii="Arial" w:cs="Arial" w:eastAsia="Arial" w:hAnsi="Arial"/>
                <w:sz w:val="18"/>
                <w:szCs w:val="18"/>
                <w:color w:val="auto"/>
              </w:rPr>
              <w:t>0.3</w:t>
            </w:r>
          </w:p>
        </w:tc>
      </w:tr>
      <w:tr>
        <w:trPr>
          <w:trHeight w:val="27"/>
        </w:trPr>
        <w:tc>
          <w:tcPr>
            <w:tcW w:w="4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 related to</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earnouts</w:t>
            </w:r>
          </w:p>
        </w:tc>
        <w:tc>
          <w:tcPr>
            <w:tcW w:w="9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(0.8)</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7.7</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Deferred compensation related to earnouts</w:t>
            </w:r>
          </w:p>
        </w:tc>
        <w:tc>
          <w:tcPr>
            <w:tcW w:w="940" w:type="dxa"/>
            <w:vAlign w:val="bottom"/>
          </w:tcPr>
          <w:p>
            <w:pPr>
              <w:spacing w:after="0"/>
              <w:rPr>
                <w:sz w:val="21"/>
                <w:szCs w:val="21"/>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192"/>
              <w:spacing w:after="0"/>
              <w:rPr>
                <w:sz w:val="20"/>
                <w:szCs w:val="20"/>
                <w:color w:val="auto"/>
              </w:rPr>
            </w:pPr>
            <w:r>
              <w:rPr>
                <w:rFonts w:ascii="Arial" w:cs="Arial" w:eastAsia="Arial" w:hAnsi="Arial"/>
                <w:sz w:val="18"/>
                <w:szCs w:val="18"/>
                <w:color w:val="auto"/>
              </w:rPr>
              <w:t>0.9</w:t>
            </w:r>
          </w:p>
        </w:tc>
      </w:tr>
      <w:tr>
        <w:trPr>
          <w:trHeight w:val="27"/>
        </w:trPr>
        <w:tc>
          <w:tcPr>
            <w:tcW w:w="4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6.4</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6.5</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Acquisition-related expense</w:t>
            </w:r>
          </w:p>
        </w:tc>
        <w:tc>
          <w:tcPr>
            <w:tcW w:w="940" w:type="dxa"/>
            <w:vAlign w:val="bottom"/>
          </w:tcPr>
          <w:p>
            <w:pPr>
              <w:spacing w:after="0"/>
              <w:rPr>
                <w:sz w:val="21"/>
                <w:szCs w:val="21"/>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192"/>
              <w:spacing w:after="0"/>
              <w:rPr>
                <w:sz w:val="20"/>
                <w:szCs w:val="20"/>
                <w:color w:val="auto"/>
              </w:rPr>
            </w:pPr>
            <w:r>
              <w:rPr>
                <w:rFonts w:ascii="Arial" w:cs="Arial" w:eastAsia="Arial" w:hAnsi="Arial"/>
                <w:sz w:val="18"/>
                <w:szCs w:val="18"/>
                <w:color w:val="auto"/>
              </w:rPr>
              <w:t>0.1</w:t>
            </w:r>
          </w:p>
        </w:tc>
      </w:tr>
      <w:tr>
        <w:trPr>
          <w:trHeight w:val="27"/>
        </w:trPr>
        <w:tc>
          <w:tcPr>
            <w:tcW w:w="48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1"/>
              </w:rPr>
              <w:t>44.1</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6"/>
              </w:rPr>
              <w:t>24.4</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(7.6)</w:t>
            </w:r>
          </w:p>
        </w:tc>
      </w:tr>
      <w:tr>
        <w:trPr>
          <w:trHeight w:val="27"/>
        </w:trPr>
        <w:tc>
          <w:tcPr>
            <w:tcW w:w="48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margin</w:t>
            </w:r>
          </w:p>
        </w:tc>
        <w:tc>
          <w:tcPr>
            <w:tcW w:w="21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11 %</w:t>
            </w:r>
          </w:p>
        </w:tc>
        <w:tc>
          <w:tcPr>
            <w:tcW w:w="16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2 %</w:t>
            </w:r>
          </w:p>
        </w:tc>
        <w:tc>
          <w:tcPr>
            <w:tcW w:w="15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51"/>
        </w:trPr>
        <w:tc>
          <w:tcPr>
            <w:tcW w:w="4800" w:type="dxa"/>
            <w:vAlign w:val="bottom"/>
          </w:tcPr>
          <w:p>
            <w:pPr>
              <w:ind w:left="20"/>
              <w:spacing w:after="0" w:line="252" w:lineRule="exact"/>
              <w:rPr>
                <w:sz w:val="20"/>
                <w:szCs w:val="20"/>
                <w:color w:val="auto"/>
              </w:rPr>
            </w:pPr>
            <w:r>
              <w:rPr>
                <w:rFonts w:ascii="Arial" w:cs="Arial" w:eastAsia="Arial" w:hAnsi="Arial"/>
                <w:sz w:val="18"/>
                <w:szCs w:val="18"/>
                <w:color w:val="auto"/>
              </w:rPr>
              <w:t>Adjusted EBITDA margin</w:t>
            </w:r>
            <w:r>
              <w:rPr>
                <w:rFonts w:ascii="Arial" w:cs="Arial" w:eastAsia="Arial" w:hAnsi="Arial"/>
                <w:sz w:val="23"/>
                <w:szCs w:val="23"/>
                <w:color w:val="auto"/>
                <w:vertAlign w:val="superscript"/>
              </w:rPr>
              <w:t>1</w:t>
            </w:r>
          </w:p>
        </w:tc>
        <w:tc>
          <w:tcPr>
            <w:tcW w:w="2160" w:type="dxa"/>
            <w:vAlign w:val="bottom"/>
          </w:tcPr>
          <w:p>
            <w:pPr>
              <w:jc w:val="right"/>
              <w:ind w:right="530"/>
              <w:spacing w:after="0"/>
              <w:rPr>
                <w:sz w:val="20"/>
                <w:szCs w:val="20"/>
                <w:color w:val="auto"/>
              </w:rPr>
            </w:pPr>
            <w:r>
              <w:rPr>
                <w:rFonts w:ascii="Arial" w:cs="Arial" w:eastAsia="Arial" w:hAnsi="Arial"/>
                <w:sz w:val="18"/>
                <w:szCs w:val="18"/>
                <w:color w:val="auto"/>
              </w:rPr>
              <w:t>19 %</w:t>
            </w:r>
          </w:p>
        </w:tc>
        <w:tc>
          <w:tcPr>
            <w:tcW w:w="1640" w:type="dxa"/>
            <w:vAlign w:val="bottom"/>
          </w:tcPr>
          <w:p>
            <w:pPr>
              <w:jc w:val="right"/>
              <w:ind w:right="570"/>
              <w:spacing w:after="0"/>
              <w:rPr>
                <w:sz w:val="20"/>
                <w:szCs w:val="20"/>
                <w:color w:val="auto"/>
              </w:rPr>
            </w:pPr>
            <w:r>
              <w:rPr>
                <w:rFonts w:ascii="Arial" w:cs="Arial" w:eastAsia="Arial" w:hAnsi="Arial"/>
                <w:sz w:val="18"/>
                <w:szCs w:val="18"/>
                <w:color w:val="auto"/>
              </w:rPr>
              <w:t>10 %</w:t>
            </w:r>
          </w:p>
        </w:tc>
        <w:tc>
          <w:tcPr>
            <w:tcW w:w="1540" w:type="dxa"/>
            <w:vAlign w:val="bottom"/>
          </w:tcPr>
          <w:p>
            <w:pPr>
              <w:jc w:val="right"/>
              <w:ind w:right="490"/>
              <w:spacing w:after="0"/>
              <w:rPr>
                <w:sz w:val="20"/>
                <w:szCs w:val="20"/>
                <w:color w:val="auto"/>
              </w:rPr>
            </w:pPr>
            <w:r>
              <w:rPr>
                <w:rFonts w:ascii="Arial" w:cs="Arial" w:eastAsia="Arial" w:hAnsi="Arial"/>
                <w:sz w:val="18"/>
                <w:szCs w:val="18"/>
                <w:color w:val="auto"/>
              </w:rPr>
              <w:t>8 %</w:t>
            </w:r>
          </w:p>
        </w:tc>
        <w:tc>
          <w:tcPr>
            <w:tcW w:w="110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182"/>
        </w:trPr>
        <w:tc>
          <w:tcPr>
            <w:tcW w:w="4800" w:type="dxa"/>
            <w:vAlign w:val="bottom"/>
          </w:tcPr>
          <w:p>
            <w:pPr>
              <w:spacing w:after="0"/>
              <w:rPr>
                <w:sz w:val="20"/>
                <w:szCs w:val="20"/>
                <w:color w:val="auto"/>
              </w:rPr>
            </w:pPr>
            <w:r>
              <w:rPr>
                <w:rFonts w:ascii="Arial" w:cs="Arial" w:eastAsia="Arial" w:hAnsi="Arial"/>
                <w:sz w:val="14"/>
                <w:szCs w:val="14"/>
                <w:color w:val="auto"/>
              </w:rPr>
              <w:t>______________</w:t>
            </w:r>
          </w:p>
        </w:tc>
        <w:tc>
          <w:tcPr>
            <w:tcW w:w="2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4"/>
                <w:szCs w:val="14"/>
                <w:color w:val="auto"/>
              </w:rPr>
              <w:t>(1)  Represents adjusted EBITDA as a percentage of revenue.</w:t>
            </w:r>
          </w:p>
        </w:tc>
        <w:tc>
          <w:tcPr>
            <w:tcW w:w="2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r>
    </w:tbl>
    <w:p>
      <w:pPr>
        <w:spacing w:after="0" w:line="38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Adjusted EBITDA decreased $19.7 million, or 45%, for the year ended December 31, 2020 compared to the year ended December 31, 2019, and $18.4 million for the six months ended June 30, 2021 compared to the six months ended June 30, 2020. The decrease in 2020 was driven by a $28.4 million increase in sales and marketing expense as we continued to invest in our business, particularly during the first half of 2020, despite slowed revenue growth due to the economic impact of the COVID-19 pandemic. The decrease for the six months ended June 30, 2021 was primarily attributable to a $63.7 million increase in sales and marketing expense as we continued to invest in our business, partially offset by a $44.3 million increase in revenue amid recovery from the economic impacts of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66</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Quarterly Results of Operations Data</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tables set forth our unaudited quarterly consolidated statements of operations data for each of the quarters indicated, as well as the percentage that each line item represents of our revenue for each quarter presented. The information for each quarter has been prepared on a basis consistent with our audited consolidated financial statements included in this prospectus, and reflect, in the opinion of management, all adjustments of a normal, recurring nature that are necessary for a fair statement of the financial information contained in those financial statements. Our historical results are not necessarily indicative of the results that may be expected in the future. The following quarterly financial data should be read in conjunction with our consolidated financial statements included elsewhere in this prospectus.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5"/>
          </w:tcPr>
          <w:p>
            <w:pPr>
              <w:ind w:left="100"/>
              <w:spacing w:after="0"/>
              <w:rPr>
                <w:sz w:val="20"/>
                <w:szCs w:val="20"/>
                <w:color w:val="auto"/>
              </w:rPr>
            </w:pPr>
            <w:r>
              <w:rPr>
                <w:rFonts w:ascii="Arial" w:cs="Arial" w:eastAsia="Arial" w:hAnsi="Arial"/>
                <w:sz w:val="13"/>
                <w:szCs w:val="13"/>
                <w:b w:val="1"/>
                <w:bCs w:val="1"/>
                <w:color w:val="auto"/>
              </w:rPr>
              <w:t>Three Months Ended</w:t>
            </w: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b w:val="1"/>
                <w:bCs w:val="1"/>
                <w:color w:val="auto"/>
              </w:rPr>
              <w:t>Mar 31,</w:t>
            </w:r>
          </w:p>
        </w:tc>
        <w:tc>
          <w:tcPr>
            <w:tcW w:w="1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b w:val="1"/>
                <w:bCs w:val="1"/>
                <w:color w:val="auto"/>
              </w:rPr>
              <w:t>Jun 30,</w:t>
            </w:r>
          </w:p>
        </w:tc>
        <w:tc>
          <w:tcPr>
            <w:tcW w:w="1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b w:val="1"/>
                <w:bCs w:val="1"/>
                <w:color w:val="auto"/>
              </w:rPr>
              <w:t>Sep 30,</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Mar 31,</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Mar 31,</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81"/>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81"/>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201"/>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92"/>
              </w:rPr>
              <w:t>Dec 31, 2019</w:t>
            </w:r>
          </w:p>
        </w:tc>
        <w:tc>
          <w:tcPr>
            <w:tcW w:w="140" w:type="dxa"/>
            <w:vAlign w:val="bottom"/>
          </w:tcPr>
          <w:p>
            <w:pPr>
              <w:spacing w:after="0"/>
              <w:rPr>
                <w:sz w:val="15"/>
                <w:szCs w:val="15"/>
                <w:color w:val="auto"/>
              </w:rPr>
            </w:pPr>
          </w:p>
        </w:tc>
        <w:tc>
          <w:tcPr>
            <w:tcW w:w="660" w:type="dxa"/>
            <w:vAlign w:val="bottom"/>
          </w:tcPr>
          <w:p>
            <w:pPr>
              <w:jc w:val="center"/>
              <w:ind w:right="61"/>
              <w:spacing w:after="0"/>
              <w:rPr>
                <w:sz w:val="20"/>
                <w:szCs w:val="20"/>
                <w:color w:val="auto"/>
              </w:rPr>
            </w:pPr>
            <w:r>
              <w:rPr>
                <w:rFonts w:ascii="Arial" w:cs="Arial" w:eastAsia="Arial" w:hAnsi="Arial"/>
                <w:sz w:val="13"/>
                <w:szCs w:val="13"/>
                <w:b w:val="1"/>
                <w:bCs w:val="1"/>
                <w:color w:val="auto"/>
                <w:w w:val="96"/>
              </w:rPr>
              <w:t>2020</w:t>
            </w:r>
          </w:p>
        </w:tc>
        <w:tc>
          <w:tcPr>
            <w:tcW w:w="80" w:type="dxa"/>
            <w:vAlign w:val="bottom"/>
          </w:tcPr>
          <w:p>
            <w:pPr>
              <w:spacing w:after="0"/>
              <w:rPr>
                <w:sz w:val="15"/>
                <w:szCs w:val="15"/>
                <w:color w:val="auto"/>
              </w:rPr>
            </w:pPr>
          </w:p>
        </w:tc>
        <w:tc>
          <w:tcPr>
            <w:tcW w:w="880" w:type="dxa"/>
            <w:vAlign w:val="bottom"/>
            <w:gridSpan w:val="3"/>
          </w:tcPr>
          <w:p>
            <w:pPr>
              <w:ind w:left="40"/>
              <w:spacing w:after="0"/>
              <w:rPr>
                <w:sz w:val="20"/>
                <w:szCs w:val="20"/>
                <w:color w:val="auto"/>
              </w:rPr>
            </w:pPr>
            <w:r>
              <w:rPr>
                <w:rFonts w:ascii="Arial" w:cs="Arial" w:eastAsia="Arial" w:hAnsi="Arial"/>
                <w:sz w:val="13"/>
                <w:szCs w:val="13"/>
                <w:b w:val="1"/>
                <w:bCs w:val="1"/>
                <w:color w:val="auto"/>
              </w:rPr>
              <w:t>Jun 30, 2020</w:t>
            </w:r>
          </w:p>
        </w:tc>
        <w:tc>
          <w:tcPr>
            <w:tcW w:w="88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94"/>
              </w:rPr>
              <w:t>Sep 30, 2020</w:t>
            </w:r>
          </w:p>
        </w:tc>
        <w:tc>
          <w:tcPr>
            <w:tcW w:w="88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94"/>
              </w:rPr>
              <w:t>Dec 31, 2020</w:t>
            </w:r>
          </w:p>
        </w:tc>
        <w:tc>
          <w:tcPr>
            <w:tcW w:w="140" w:type="dxa"/>
            <w:vAlign w:val="bottom"/>
          </w:tcPr>
          <w:p>
            <w:pPr>
              <w:spacing w:after="0"/>
              <w:rPr>
                <w:sz w:val="15"/>
                <w:szCs w:val="15"/>
                <w:color w:val="auto"/>
              </w:rPr>
            </w:pPr>
          </w:p>
        </w:tc>
        <w:tc>
          <w:tcPr>
            <w:tcW w:w="640" w:type="dxa"/>
            <w:vAlign w:val="bottom"/>
          </w:tcPr>
          <w:p>
            <w:pPr>
              <w:jc w:val="right"/>
              <w:ind w:right="181"/>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w w:val="95"/>
              </w:rPr>
              <w:t>Jun 30, 2021</w:t>
            </w:r>
          </w:p>
        </w:tc>
        <w:tc>
          <w:tcPr>
            <w:tcW w:w="0" w:type="dxa"/>
            <w:vAlign w:val="bottom"/>
          </w:tcPr>
          <w:p>
            <w:pPr>
              <w:spacing w:after="0"/>
              <w:rPr>
                <w:sz w:val="1"/>
                <w:szCs w:val="1"/>
                <w:color w:val="auto"/>
              </w:rPr>
            </w:pPr>
          </w:p>
        </w:tc>
      </w:tr>
      <w:tr>
        <w:trPr>
          <w:trHeight w:val="28"/>
        </w:trPr>
        <w:tc>
          <w:tcPr>
            <w:tcW w:w="2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5"/>
              </w:rPr>
              <w:t>(in millions)</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r>
              <w:rPr>
                <w:rFonts w:ascii="Arial" w:cs="Arial" w:eastAsia="Arial" w:hAnsi="Arial"/>
                <w:sz w:val="21"/>
                <w:szCs w:val="21"/>
                <w:color w:val="auto"/>
                <w:vertAlign w:val="superscript"/>
              </w:rPr>
              <w:t>(1)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55.0</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90.4</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rPr>
                <w:sz w:val="20"/>
                <w:szCs w:val="20"/>
                <w:color w:val="auto"/>
              </w:rPr>
            </w:pPr>
            <w:r>
              <w:rPr>
                <w:rFonts w:ascii="Arial" w:cs="Arial" w:eastAsia="Arial" w:hAnsi="Arial"/>
                <w:sz w:val="16"/>
                <w:szCs w:val="16"/>
                <w:color w:val="auto"/>
              </w:rPr>
              <w:t>Research and development</w:t>
            </w:r>
            <w:r>
              <w:rPr>
                <w:rFonts w:ascii="Arial" w:cs="Arial" w:eastAsia="Arial" w:hAnsi="Arial"/>
                <w:sz w:val="21"/>
                <w:szCs w:val="21"/>
                <w:color w:val="auto"/>
                <w:vertAlign w:val="superscript"/>
              </w:rPr>
              <w:t>(2)</w:t>
            </w:r>
          </w:p>
        </w:tc>
        <w:tc>
          <w:tcPr>
            <w:tcW w:w="120" w:type="dxa"/>
            <w:vAlign w:val="bottom"/>
          </w:tcPr>
          <w:p>
            <w:pPr>
              <w:spacing w:after="0"/>
              <w:rPr>
                <w:sz w:val="21"/>
                <w:szCs w:val="21"/>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13.0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43"/>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r>
              <w:rPr>
                <w:rFonts w:ascii="Arial" w:cs="Arial" w:eastAsia="Arial" w:hAnsi="Arial"/>
                <w:sz w:val="21"/>
                <w:szCs w:val="21"/>
                <w:color w:val="auto"/>
                <w:vertAlign w:val="superscript"/>
              </w:rPr>
              <w:t>(2)</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51.0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w:t>
            </w: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(2)</w:t>
            </w:r>
          </w:p>
        </w:tc>
        <w:tc>
          <w:tcPr>
            <w:tcW w:w="120" w:type="dxa"/>
            <w:vAlign w:val="bottom"/>
          </w:tcPr>
          <w:p>
            <w:pPr>
              <w:spacing w:after="0"/>
              <w:rPr>
                <w:sz w:val="21"/>
                <w:szCs w:val="21"/>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6.8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06"/>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fair value of contingent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consideration related to earnouts</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36"/>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costs and expenses</w:t>
            </w: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46.6</w:t>
            </w:r>
          </w:p>
        </w:tc>
        <w:tc>
          <w:tcPr>
            <w:tcW w:w="10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48.5</w:t>
            </w:r>
          </w:p>
        </w:tc>
        <w:tc>
          <w:tcPr>
            <w:tcW w:w="1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55.3</w:t>
            </w:r>
          </w:p>
        </w:tc>
        <w:tc>
          <w:tcPr>
            <w:tcW w:w="8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76.4</w:t>
            </w:r>
          </w:p>
        </w:tc>
        <w:tc>
          <w:tcPr>
            <w:tcW w:w="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59.5</w:t>
            </w:r>
          </w:p>
        </w:tc>
        <w:tc>
          <w:tcPr>
            <w:tcW w:w="1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45.6</w:t>
            </w:r>
          </w:p>
        </w:tc>
        <w:tc>
          <w:tcPr>
            <w:tcW w:w="1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61.9</w:t>
            </w:r>
          </w:p>
        </w:tc>
        <w:tc>
          <w:tcPr>
            <w:tcW w:w="1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103.2</w:t>
            </w:r>
          </w:p>
        </w:tc>
        <w:tc>
          <w:tcPr>
            <w:tcW w:w="1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114.3</w:t>
            </w:r>
          </w:p>
        </w:tc>
        <w:tc>
          <w:tcPr>
            <w:tcW w:w="0" w:type="dxa"/>
            <w:vAlign w:val="bottom"/>
          </w:tcPr>
          <w:p>
            <w:pPr>
              <w:spacing w:after="0"/>
              <w:rPr>
                <w:sz w:val="1"/>
                <w:szCs w:val="1"/>
                <w:color w:val="auto"/>
              </w:rPr>
            </w:pPr>
          </w:p>
        </w:tc>
      </w:tr>
      <w:tr>
        <w:trPr>
          <w:trHeight w:val="243"/>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operations</w:t>
            </w: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14.0</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5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46"/>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gains (losses), net</w:t>
            </w: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6"/>
        </w:trPr>
        <w:tc>
          <w:tcPr>
            <w:tcW w:w="2580" w:type="dxa"/>
            <w:vAlign w:val="bottom"/>
          </w:tcPr>
          <w:p>
            <w:pPr>
              <w:ind w:left="20"/>
              <w:spacing w:after="0"/>
              <w:rPr>
                <w:sz w:val="20"/>
                <w:szCs w:val="20"/>
                <w:color w:val="auto"/>
              </w:rPr>
            </w:pPr>
            <w:r>
              <w:rPr>
                <w:rFonts w:ascii="Arial" w:cs="Arial" w:eastAsia="Arial" w:hAnsi="Arial"/>
                <w:sz w:val="16"/>
                <w:szCs w:val="16"/>
                <w:color w:val="auto"/>
              </w:rPr>
              <w:t>Total other income (expense)</w:t>
            </w:r>
          </w:p>
        </w:tc>
        <w:tc>
          <w:tcPr>
            <w:tcW w:w="12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0.9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43"/>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12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8.4</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14.9</w:t>
            </w: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36"/>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provision (benefit)</w:t>
            </w: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68"/>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13.7</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20" w:hanging="312"/>
        <w:spacing w:after="0"/>
        <w:tabs>
          <w:tab w:leader="none" w:pos="3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revenue based on product category as follows:</w:t>
      </w:r>
    </w:p>
    <w:p>
      <w:pPr>
        <w:spacing w:after="0" w:line="115" w:lineRule="exact"/>
        <w:rPr>
          <w:sz w:val="20"/>
          <w:szCs w:val="20"/>
          <w:color w:val="auto"/>
        </w:rPr>
      </w:pPr>
    </w:p>
    <w:tbl>
      <w:tblPr>
        <w:tblLayout w:type="fixed"/>
        <w:tblInd w:w="340" w:type="dxa"/>
        <w:tblCellMar>
          <w:top w:w="0" w:type="dxa"/>
          <w:left w:w="0" w:type="dxa"/>
          <w:bottom w:w="0" w:type="dxa"/>
          <w:right w:w="0" w:type="dxa"/>
        </w:tblCellMar>
      </w:tblPr>
      <w:tr>
        <w:trPr>
          <w:trHeight w:val="174"/>
        </w:trPr>
        <w:tc>
          <w:tcPr>
            <w:tcW w:w="1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5"/>
          </w:tcPr>
          <w:p>
            <w:pPr>
              <w:ind w:left="60"/>
              <w:spacing w:after="0"/>
              <w:rPr>
                <w:sz w:val="20"/>
                <w:szCs w:val="20"/>
                <w:color w:val="auto"/>
              </w:rPr>
            </w:pPr>
            <w:r>
              <w:rPr>
                <w:rFonts w:ascii="Arial" w:cs="Arial" w:eastAsia="Arial" w:hAnsi="Arial"/>
                <w:sz w:val="13"/>
                <w:szCs w:val="13"/>
                <w:b w:val="1"/>
                <w:bCs w:val="1"/>
                <w:color w:val="auto"/>
              </w:rPr>
              <w:t>Three Months Ended</w:t>
            </w: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8"/>
        </w:trPr>
        <w:tc>
          <w:tcPr>
            <w:tcW w:w="1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70"/>
        </w:trPr>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Mar 31,</w:t>
            </w:r>
          </w:p>
        </w:tc>
        <w:tc>
          <w:tcPr>
            <w:tcW w:w="1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Jun 30,</w:t>
            </w:r>
          </w:p>
        </w:tc>
        <w:tc>
          <w:tcPr>
            <w:tcW w:w="14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Sep 30,</w:t>
            </w:r>
          </w:p>
        </w:tc>
        <w:tc>
          <w:tcPr>
            <w:tcW w:w="1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Dec 31,</w:t>
            </w:r>
          </w:p>
        </w:tc>
        <w:tc>
          <w:tcPr>
            <w:tcW w:w="1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rPr>
              <w:t>Mar 31,</w:t>
            </w:r>
          </w:p>
        </w:tc>
        <w:tc>
          <w:tcPr>
            <w:tcW w:w="14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Jun 30,</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Dec 31,</w:t>
            </w:r>
          </w:p>
        </w:tc>
        <w:tc>
          <w:tcPr>
            <w:tcW w:w="1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b w:val="1"/>
                <w:bCs w:val="1"/>
                <w:color w:val="auto"/>
              </w:rPr>
              <w:t>Mar 31,</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4"/>
        </w:trPr>
        <w:tc>
          <w:tcPr>
            <w:tcW w:w="1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84"/>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64"/>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84"/>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84"/>
              <w:spacing w:after="0"/>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85"/>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64"/>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860" w:type="dxa"/>
            <w:vAlign w:val="bottom"/>
            <w:gridSpan w:val="3"/>
          </w:tcPr>
          <w:p>
            <w:pPr>
              <w:ind w:left="20"/>
              <w:spacing w:after="0"/>
              <w:rPr>
                <w:sz w:val="20"/>
                <w:szCs w:val="20"/>
                <w:color w:val="auto"/>
              </w:rPr>
            </w:pPr>
            <w:r>
              <w:rPr>
                <w:rFonts w:ascii="Arial" w:cs="Arial" w:eastAsia="Arial" w:hAnsi="Arial"/>
                <w:sz w:val="13"/>
                <w:szCs w:val="13"/>
                <w:b w:val="1"/>
                <w:bCs w:val="1"/>
                <w:color w:val="auto"/>
              </w:rPr>
              <w:t>Sep 30, 2020</w:t>
            </w:r>
          </w:p>
        </w:tc>
        <w:tc>
          <w:tcPr>
            <w:tcW w:w="120" w:type="dxa"/>
            <w:vAlign w:val="bottom"/>
          </w:tcPr>
          <w:p>
            <w:pPr>
              <w:spacing w:after="0"/>
              <w:rPr>
                <w:sz w:val="15"/>
                <w:szCs w:val="15"/>
                <w:color w:val="auto"/>
              </w:rPr>
            </w:pPr>
          </w:p>
        </w:tc>
        <w:tc>
          <w:tcPr>
            <w:tcW w:w="620" w:type="dxa"/>
            <w:vAlign w:val="bottom"/>
          </w:tcPr>
          <w:p>
            <w:pPr>
              <w:jc w:val="right"/>
              <w:ind w:right="164"/>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84"/>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w w:val="95"/>
              </w:rPr>
              <w:t>Jun 30, 2021</w:t>
            </w:r>
          </w:p>
        </w:tc>
      </w:tr>
      <w:tr>
        <w:trPr>
          <w:trHeight w:val="28"/>
        </w:trPr>
        <w:tc>
          <w:tcPr>
            <w:tcW w:w="1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82"/>
        </w:trPr>
        <w:tc>
          <w:tcPr>
            <w:tcW w:w="1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tcPr>
          <w:p>
            <w:pPr>
              <w:ind w:left="40"/>
              <w:spacing w:after="0"/>
              <w:rPr>
                <w:sz w:val="20"/>
                <w:szCs w:val="20"/>
                <w:color w:val="auto"/>
              </w:rPr>
            </w:pPr>
            <w:r>
              <w:rPr>
                <w:rFonts w:ascii="Arial" w:cs="Arial" w:eastAsia="Arial" w:hAnsi="Arial"/>
                <w:sz w:val="13"/>
                <w:szCs w:val="13"/>
                <w:b w:val="1"/>
                <w:bCs w:val="1"/>
                <w:color w:val="auto"/>
              </w:rPr>
              <w:t>(in millions)</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8"/>
        </w:trPr>
        <w:tc>
          <w:tcPr>
            <w:tcW w:w="1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43"/>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 cards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25.0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36.8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22.9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r>
      <w:tr>
        <w:trPr>
          <w:trHeight w:val="233"/>
        </w:trPr>
        <w:tc>
          <w:tcPr>
            <w:tcW w:w="1980" w:type="dxa"/>
            <w:vAlign w:val="bottom"/>
          </w:tcPr>
          <w:p>
            <w:pPr>
              <w:ind w:left="20"/>
              <w:spacing w:after="0"/>
              <w:rPr>
                <w:sz w:val="20"/>
                <w:szCs w:val="20"/>
                <w:color w:val="auto"/>
              </w:rPr>
            </w:pPr>
            <w:r>
              <w:rPr>
                <w:rFonts w:ascii="Arial" w:cs="Arial" w:eastAsia="Arial" w:hAnsi="Arial"/>
                <w:sz w:val="16"/>
                <w:szCs w:val="16"/>
                <w:color w:val="auto"/>
              </w:rPr>
              <w:t>Loans</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4"/>
              <w:spacing w:after="0"/>
              <w:rPr>
                <w:sz w:val="20"/>
                <w:szCs w:val="20"/>
                <w:color w:val="auto"/>
              </w:rPr>
            </w:pPr>
            <w:r>
              <w:rPr>
                <w:rFonts w:ascii="Arial" w:cs="Arial" w:eastAsia="Arial" w:hAnsi="Arial"/>
                <w:sz w:val="16"/>
                <w:szCs w:val="16"/>
                <w:color w:val="auto"/>
              </w:rPr>
              <w:t>16.7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5"/>
              <w:spacing w:after="0"/>
              <w:rPr>
                <w:sz w:val="20"/>
                <w:szCs w:val="20"/>
                <w:color w:val="auto"/>
              </w:rPr>
            </w:pPr>
            <w:r>
              <w:rPr>
                <w:rFonts w:ascii="Arial" w:cs="Arial" w:eastAsia="Arial" w:hAnsi="Arial"/>
                <w:sz w:val="16"/>
                <w:szCs w:val="16"/>
                <w:color w:val="auto"/>
              </w:rPr>
              <w:t>21.7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4"/>
              <w:spacing w:after="0"/>
              <w:rPr>
                <w:sz w:val="20"/>
                <w:szCs w:val="20"/>
                <w:color w:val="auto"/>
              </w:rPr>
            </w:pPr>
            <w:r>
              <w:rPr>
                <w:rFonts w:ascii="Arial" w:cs="Arial" w:eastAsia="Arial" w:hAnsi="Arial"/>
                <w:sz w:val="16"/>
                <w:szCs w:val="16"/>
                <w:color w:val="auto"/>
              </w:rPr>
              <w:t>32.3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32.3</w:t>
            </w:r>
          </w:p>
        </w:tc>
      </w:tr>
      <w:tr>
        <w:trPr>
          <w:trHeight w:val="246"/>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verticals</w:t>
            </w: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14.7</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31.9</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34.8</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w:t>
            </w:r>
          </w:p>
        </w:tc>
      </w:tr>
      <w:tr>
        <w:trPr>
          <w:trHeight w:val="243"/>
        </w:trPr>
        <w:tc>
          <w:tcPr>
            <w:tcW w:w="198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56.4</w:t>
            </w:r>
          </w:p>
        </w:tc>
        <w:tc>
          <w:tcPr>
            <w:tcW w:w="80" w:type="dxa"/>
            <w:vAlign w:val="bottom"/>
          </w:tcPr>
          <w:p>
            <w:pPr>
              <w:spacing w:after="0"/>
              <w:rPr>
                <w:sz w:val="21"/>
                <w:szCs w:val="21"/>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90.4</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w:t>
            </w:r>
          </w:p>
        </w:tc>
        <w:tc>
          <w:tcPr>
            <w:tcW w:w="100" w:type="dxa"/>
            <w:vAlign w:val="bottom"/>
          </w:tcPr>
          <w:p>
            <w:pPr>
              <w:spacing w:after="0"/>
              <w:rPr>
                <w:sz w:val="21"/>
                <w:szCs w:val="21"/>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90.0</w:t>
            </w:r>
          </w:p>
        </w:tc>
        <w:tc>
          <w:tcPr>
            <w:tcW w:w="80" w:type="dxa"/>
            <w:vAlign w:val="bottom"/>
          </w:tcPr>
          <w:p>
            <w:pPr>
              <w:spacing w:after="0"/>
              <w:rPr>
                <w:sz w:val="21"/>
                <w:szCs w:val="21"/>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w:t>
            </w:r>
          </w:p>
        </w:tc>
      </w:tr>
      <w:tr>
        <w:trPr>
          <w:trHeight w:val="20"/>
        </w:trPr>
        <w:tc>
          <w:tcPr>
            <w:tcW w:w="1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67</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39" w:lineRule="exact"/>
        <w:rPr>
          <w:sz w:val="20"/>
          <w:szCs w:val="20"/>
          <w:color w:val="auto"/>
        </w:rPr>
      </w:pPr>
    </w:p>
    <w:p>
      <w:pPr>
        <w:ind w:left="320" w:hanging="312"/>
        <w:spacing w:after="0"/>
        <w:tabs>
          <w:tab w:leader="none" w:pos="3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Includes stock-based compensation expense as follows:</w:t>
      </w:r>
    </w:p>
    <w:p>
      <w:pPr>
        <w:spacing w:after="0" w:line="223" w:lineRule="exact"/>
        <w:rPr>
          <w:sz w:val="20"/>
          <w:szCs w:val="20"/>
          <w:color w:val="auto"/>
        </w:rPr>
      </w:pPr>
    </w:p>
    <w:tbl>
      <w:tblPr>
        <w:tblLayout w:type="fixed"/>
        <w:tblInd w:w="340" w:type="dxa"/>
        <w:tblCellMar>
          <w:top w:w="0" w:type="dxa"/>
          <w:left w:w="0" w:type="dxa"/>
          <w:bottom w:w="0" w:type="dxa"/>
          <w:right w:w="0" w:type="dxa"/>
        </w:tblCellMar>
      </w:tblPr>
      <w:tr>
        <w:trPr>
          <w:trHeight w:val="174"/>
        </w:trPr>
        <w:tc>
          <w:tcPr>
            <w:tcW w:w="2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5"/>
          </w:tcPr>
          <w:p>
            <w:pPr>
              <w:ind w:left="80"/>
              <w:spacing w:after="0"/>
              <w:rPr>
                <w:sz w:val="20"/>
                <w:szCs w:val="20"/>
                <w:color w:val="auto"/>
              </w:rPr>
            </w:pPr>
            <w:r>
              <w:rPr>
                <w:rFonts w:ascii="Arial" w:cs="Arial" w:eastAsia="Arial" w:hAnsi="Arial"/>
                <w:sz w:val="13"/>
                <w:szCs w:val="13"/>
                <w:b w:val="1"/>
                <w:bCs w:val="1"/>
                <w:color w:val="auto"/>
              </w:rPr>
              <w:t>Three Months Ended</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28"/>
        </w:trPr>
        <w:tc>
          <w:tcPr>
            <w:tcW w:w="2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70"/>
        </w:trPr>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b w:val="1"/>
                <w:bCs w:val="1"/>
                <w:color w:val="auto"/>
              </w:rPr>
              <w:t>Mar 31,</w:t>
            </w:r>
          </w:p>
        </w:tc>
        <w:tc>
          <w:tcPr>
            <w:tcW w:w="1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Jun 30,</w:t>
            </w:r>
          </w:p>
        </w:tc>
        <w:tc>
          <w:tcPr>
            <w:tcW w:w="14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Sep 30,</w:t>
            </w:r>
          </w:p>
        </w:tc>
        <w:tc>
          <w:tcPr>
            <w:tcW w:w="12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Dec 31,</w:t>
            </w:r>
          </w:p>
        </w:tc>
        <w:tc>
          <w:tcPr>
            <w:tcW w:w="14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Mar 31,</w:t>
            </w:r>
          </w:p>
        </w:tc>
        <w:tc>
          <w:tcPr>
            <w:tcW w:w="14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Jun 30,</w:t>
            </w: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Dec 31,</w:t>
            </w:r>
          </w:p>
        </w:tc>
        <w:tc>
          <w:tcPr>
            <w:tcW w:w="1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b w:val="1"/>
                <w:bCs w:val="1"/>
                <w:color w:val="auto"/>
              </w:rPr>
              <w:t>Mar 31,</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4"/>
        </w:trPr>
        <w:tc>
          <w:tcPr>
            <w:tcW w:w="2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64"/>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64"/>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84"/>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84"/>
              <w:spacing w:after="0"/>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center"/>
              <w:ind w:right="65"/>
              <w:spacing w:after="0"/>
              <w:rPr>
                <w:sz w:val="20"/>
                <w:szCs w:val="20"/>
                <w:color w:val="auto"/>
              </w:rPr>
            </w:pPr>
            <w:r>
              <w:rPr>
                <w:rFonts w:ascii="Arial" w:cs="Arial" w:eastAsia="Arial" w:hAnsi="Arial"/>
                <w:sz w:val="13"/>
                <w:szCs w:val="13"/>
                <w:b w:val="1"/>
                <w:bCs w:val="1"/>
                <w:color w:val="auto"/>
                <w:w w:val="89"/>
              </w:rPr>
              <w:t>2020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64"/>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860" w:type="dxa"/>
            <w:vAlign w:val="bottom"/>
            <w:gridSpan w:val="3"/>
          </w:tcPr>
          <w:p>
            <w:pPr>
              <w:ind w:left="20"/>
              <w:spacing w:after="0"/>
              <w:rPr>
                <w:sz w:val="20"/>
                <w:szCs w:val="20"/>
                <w:color w:val="auto"/>
              </w:rPr>
            </w:pPr>
            <w:r>
              <w:rPr>
                <w:rFonts w:ascii="Arial" w:cs="Arial" w:eastAsia="Arial" w:hAnsi="Arial"/>
                <w:sz w:val="13"/>
                <w:szCs w:val="13"/>
                <w:b w:val="1"/>
                <w:bCs w:val="1"/>
                <w:color w:val="auto"/>
              </w:rPr>
              <w:t>Sep 30, 2020</w:t>
            </w:r>
          </w:p>
        </w:tc>
        <w:tc>
          <w:tcPr>
            <w:tcW w:w="120" w:type="dxa"/>
            <w:vAlign w:val="bottom"/>
          </w:tcPr>
          <w:p>
            <w:pPr>
              <w:spacing w:after="0"/>
              <w:rPr>
                <w:sz w:val="15"/>
                <w:szCs w:val="15"/>
                <w:color w:val="auto"/>
              </w:rPr>
            </w:pPr>
          </w:p>
        </w:tc>
        <w:tc>
          <w:tcPr>
            <w:tcW w:w="620" w:type="dxa"/>
            <w:vAlign w:val="bottom"/>
          </w:tcPr>
          <w:p>
            <w:pPr>
              <w:jc w:val="right"/>
              <w:ind w:right="164"/>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84"/>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w w:val="95"/>
              </w:rPr>
              <w:t>Jun 30, 2021</w:t>
            </w:r>
          </w:p>
        </w:tc>
      </w:tr>
      <w:tr>
        <w:trPr>
          <w:trHeight w:val="28"/>
        </w:trPr>
        <w:tc>
          <w:tcPr>
            <w:tcW w:w="2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82"/>
        </w:trPr>
        <w:tc>
          <w:tcPr>
            <w:tcW w:w="2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3"/>
              </w:rPr>
              <w:t>(in millions)</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28"/>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43"/>
        </w:trPr>
        <w:tc>
          <w:tcPr>
            <w:tcW w:w="2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center"/>
              <w:ind w:left="184"/>
              <w:spacing w:after="0"/>
              <w:rPr>
                <w:sz w:val="20"/>
                <w:szCs w:val="20"/>
                <w:color w:val="auto"/>
              </w:rPr>
            </w:pPr>
            <w:r>
              <w:rPr>
                <w:rFonts w:ascii="Arial" w:cs="Arial" w:eastAsia="Arial" w:hAnsi="Arial"/>
                <w:sz w:val="16"/>
                <w:szCs w:val="16"/>
                <w:color w:val="auto"/>
                <w:w w:val="91"/>
              </w:rPr>
              <w:t>(0.2)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0.7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0.9</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33"/>
        </w:trPr>
        <w:tc>
          <w:tcPr>
            <w:tcW w:w="200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center"/>
              <w:ind w:left="204"/>
              <w:spacing w:after="0"/>
              <w:rPr>
                <w:sz w:val="20"/>
                <w:szCs w:val="20"/>
                <w:color w:val="auto"/>
              </w:rPr>
            </w:pPr>
            <w:r>
              <w:rPr>
                <w:rFonts w:ascii="Arial" w:cs="Arial" w:eastAsia="Arial" w:hAnsi="Arial"/>
                <w:sz w:val="16"/>
                <w:szCs w:val="16"/>
                <w:color w:val="auto"/>
                <w:w w:val="89"/>
              </w:rPr>
              <w:t>0.4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5"/>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4"/>
              <w:spacing w:after="0"/>
              <w:rPr>
                <w:sz w:val="20"/>
                <w:szCs w:val="20"/>
                <w:color w:val="auto"/>
              </w:rPr>
            </w:pPr>
            <w:r>
              <w:rPr>
                <w:rFonts w:ascii="Arial" w:cs="Arial" w:eastAsia="Arial" w:hAnsi="Arial"/>
                <w:sz w:val="16"/>
                <w:szCs w:val="16"/>
                <w:color w:val="auto"/>
              </w:rPr>
              <w:t>0.8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46"/>
        </w:trPr>
        <w:tc>
          <w:tcPr>
            <w:tcW w:w="2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center"/>
              <w:ind w:left="204"/>
              <w:spacing w:after="0"/>
              <w:rPr>
                <w:sz w:val="20"/>
                <w:szCs w:val="20"/>
                <w:color w:val="auto"/>
              </w:rPr>
            </w:pPr>
            <w:r>
              <w:rPr>
                <w:rFonts w:ascii="Arial" w:cs="Arial" w:eastAsia="Arial" w:hAnsi="Arial"/>
                <w:sz w:val="16"/>
                <w:szCs w:val="16"/>
                <w:color w:val="auto"/>
                <w:w w:val="89"/>
              </w:rPr>
              <w:t>0.4</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0.6</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43"/>
        </w:trPr>
        <w:tc>
          <w:tcPr>
            <w:tcW w:w="2000" w:type="dxa"/>
            <w:vAlign w:val="bottom"/>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center"/>
              <w:ind w:left="204"/>
              <w:spacing w:after="0"/>
              <w:rPr>
                <w:sz w:val="20"/>
                <w:szCs w:val="20"/>
                <w:color w:val="auto"/>
              </w:rPr>
            </w:pPr>
            <w:r>
              <w:rPr>
                <w:rFonts w:ascii="Arial" w:cs="Arial" w:eastAsia="Arial" w:hAnsi="Arial"/>
                <w:sz w:val="16"/>
                <w:szCs w:val="16"/>
                <w:color w:val="auto"/>
                <w:w w:val="89"/>
              </w:rPr>
              <w:t>0.6</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1"/>
                <w:szCs w:val="21"/>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21"/>
                <w:szCs w:val="21"/>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r>
      <w:tr>
        <w:trPr>
          <w:trHeight w:val="20"/>
        </w:trPr>
        <w:tc>
          <w:tcPr>
            <w:tcW w:w="2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the components of our consolidated statements of operations for each of the periods presented as a percentage of revenue.</w:t>
      </w:r>
    </w:p>
    <w:p>
      <w:pPr>
        <w:spacing w:after="0" w:line="172" w:lineRule="exact"/>
        <w:rPr>
          <w:sz w:val="20"/>
          <w:szCs w:val="20"/>
          <w:color w:val="auto"/>
        </w:rPr>
      </w:pPr>
    </w:p>
    <w:tbl>
      <w:tblPr>
        <w:tblLayout w:type="fixed"/>
        <w:tblInd w:w="1300" w:type="dxa"/>
        <w:tblCellMar>
          <w:top w:w="0" w:type="dxa"/>
          <w:left w:w="0" w:type="dxa"/>
          <w:bottom w:w="0" w:type="dxa"/>
          <w:right w:w="0" w:type="dxa"/>
        </w:tblCellMar>
      </w:tblPr>
      <w:tr>
        <w:trPr>
          <w:trHeight w:val="174"/>
        </w:trPr>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180" w:type="dxa"/>
            <w:vAlign w:val="bottom"/>
            <w:gridSpan w:val="2"/>
          </w:tcPr>
          <w:p>
            <w:pPr>
              <w:ind w:left="380"/>
              <w:spacing w:after="0"/>
              <w:rPr>
                <w:sz w:val="20"/>
                <w:szCs w:val="20"/>
                <w:color w:val="auto"/>
              </w:rPr>
            </w:pPr>
            <w:r>
              <w:rPr>
                <w:rFonts w:ascii="Arial" w:cs="Arial" w:eastAsia="Arial" w:hAnsi="Arial"/>
                <w:sz w:val="13"/>
                <w:szCs w:val="13"/>
                <w:b w:val="1"/>
                <w:bCs w:val="1"/>
                <w:color w:val="auto"/>
              </w:rPr>
              <w:t>Three Months Ended</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8"/>
        </w:trPr>
        <w:tc>
          <w:tcPr>
            <w:tcW w:w="8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70"/>
        </w:trPr>
        <w:tc>
          <w:tcPr>
            <w:tcW w:w="820" w:type="dxa"/>
            <w:vAlign w:val="bottom"/>
          </w:tcPr>
          <w:p>
            <w:pPr>
              <w:jc w:val="center"/>
              <w:ind w:right="193"/>
              <w:spacing w:after="0"/>
              <w:rPr>
                <w:sz w:val="20"/>
                <w:szCs w:val="20"/>
                <w:color w:val="auto"/>
              </w:rPr>
            </w:pPr>
            <w:r>
              <w:rPr>
                <w:rFonts w:ascii="Arial" w:cs="Arial" w:eastAsia="Arial" w:hAnsi="Arial"/>
                <w:sz w:val="13"/>
                <w:szCs w:val="13"/>
                <w:b w:val="1"/>
                <w:bCs w:val="1"/>
                <w:color w:val="auto"/>
                <w:w w:val="98"/>
              </w:rPr>
              <w:t>Mar 31,</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3"/>
              </w:rPr>
              <w:t>Jun 30,</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2"/>
              </w:rPr>
              <w:t>Sep 30,</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2"/>
              </w:rPr>
              <w:t>Dec 31,</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rPr>
              <w:t>Mar 31,</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3"/>
              </w:rPr>
              <w:t>Jun 30,</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87"/>
              </w:rPr>
              <w:t>Sep 30,</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2"/>
              </w:rPr>
              <w:t>Dec 31,</w:t>
            </w:r>
          </w:p>
        </w:tc>
        <w:tc>
          <w:tcPr>
            <w:tcW w:w="940" w:type="dxa"/>
            <w:vAlign w:val="bottom"/>
          </w:tcPr>
          <w:p>
            <w:pPr>
              <w:jc w:val="center"/>
              <w:ind w:left="133"/>
              <w:spacing w:after="0"/>
              <w:rPr>
                <w:sz w:val="20"/>
                <w:szCs w:val="20"/>
                <w:color w:val="auto"/>
              </w:rPr>
            </w:pPr>
            <w:r>
              <w:rPr>
                <w:rFonts w:ascii="Arial" w:cs="Arial" w:eastAsia="Arial" w:hAnsi="Arial"/>
                <w:sz w:val="13"/>
                <w:szCs w:val="13"/>
                <w:b w:val="1"/>
                <w:bCs w:val="1"/>
                <w:color w:val="auto"/>
              </w:rPr>
              <w:t>Mar 31,</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3"/>
              </w:rPr>
              <w:t>Jun 30,</w:t>
            </w:r>
          </w:p>
        </w:tc>
      </w:tr>
      <w:tr>
        <w:trPr>
          <w:trHeight w:val="174"/>
        </w:trPr>
        <w:tc>
          <w:tcPr>
            <w:tcW w:w="820" w:type="dxa"/>
            <w:vAlign w:val="bottom"/>
          </w:tcPr>
          <w:p>
            <w:pPr>
              <w:jc w:val="right"/>
              <w:ind w:right="333"/>
              <w:spacing w:after="0"/>
              <w:rPr>
                <w:sz w:val="20"/>
                <w:szCs w:val="20"/>
                <w:color w:val="auto"/>
              </w:rPr>
            </w:pPr>
            <w:r>
              <w:rPr>
                <w:rFonts w:ascii="Arial" w:cs="Arial" w:eastAsia="Arial" w:hAnsi="Arial"/>
                <w:sz w:val="13"/>
                <w:szCs w:val="13"/>
                <w:b w:val="1"/>
                <w:bCs w:val="1"/>
                <w:color w:val="auto"/>
              </w:rPr>
              <w:t>2019</w:t>
            </w:r>
          </w:p>
        </w:tc>
        <w:tc>
          <w:tcPr>
            <w:tcW w:w="1040" w:type="dxa"/>
            <w:vAlign w:val="bottom"/>
          </w:tcPr>
          <w:p>
            <w:pPr>
              <w:jc w:val="right"/>
              <w:ind w:right="333"/>
              <w:spacing w:after="0"/>
              <w:rPr>
                <w:sz w:val="20"/>
                <w:szCs w:val="20"/>
                <w:color w:val="auto"/>
              </w:rPr>
            </w:pPr>
            <w:r>
              <w:rPr>
                <w:rFonts w:ascii="Arial" w:cs="Arial" w:eastAsia="Arial" w:hAnsi="Arial"/>
                <w:sz w:val="13"/>
                <w:szCs w:val="13"/>
                <w:b w:val="1"/>
                <w:bCs w:val="1"/>
                <w:color w:val="auto"/>
              </w:rPr>
              <w:t>2019</w:t>
            </w:r>
          </w:p>
        </w:tc>
        <w:tc>
          <w:tcPr>
            <w:tcW w:w="1060" w:type="dxa"/>
            <w:vAlign w:val="bottom"/>
          </w:tcPr>
          <w:p>
            <w:pPr>
              <w:jc w:val="right"/>
              <w:ind w:right="353"/>
              <w:spacing w:after="0"/>
              <w:rPr>
                <w:sz w:val="20"/>
                <w:szCs w:val="20"/>
                <w:color w:val="auto"/>
              </w:rPr>
            </w:pPr>
            <w:r>
              <w:rPr>
                <w:rFonts w:ascii="Arial" w:cs="Arial" w:eastAsia="Arial" w:hAnsi="Arial"/>
                <w:sz w:val="13"/>
                <w:szCs w:val="13"/>
                <w:b w:val="1"/>
                <w:bCs w:val="1"/>
                <w:color w:val="auto"/>
              </w:rPr>
              <w:t>2019</w:t>
            </w:r>
          </w:p>
        </w:tc>
        <w:tc>
          <w:tcPr>
            <w:tcW w:w="1060" w:type="dxa"/>
            <w:vAlign w:val="bottom"/>
          </w:tcPr>
          <w:p>
            <w:pPr>
              <w:jc w:val="right"/>
              <w:ind w:right="333"/>
              <w:spacing w:after="0"/>
              <w:rPr>
                <w:sz w:val="20"/>
                <w:szCs w:val="20"/>
                <w:color w:val="auto"/>
              </w:rPr>
            </w:pPr>
            <w:r>
              <w:rPr>
                <w:rFonts w:ascii="Arial" w:cs="Arial" w:eastAsia="Arial" w:hAnsi="Arial"/>
                <w:sz w:val="13"/>
                <w:szCs w:val="13"/>
                <w:b w:val="1"/>
                <w:bCs w:val="1"/>
                <w:color w:val="auto"/>
              </w:rPr>
              <w:t>2019</w:t>
            </w:r>
          </w:p>
        </w:tc>
        <w:tc>
          <w:tcPr>
            <w:tcW w:w="1080" w:type="dxa"/>
            <w:vAlign w:val="bottom"/>
          </w:tcPr>
          <w:p>
            <w:pPr>
              <w:jc w:val="right"/>
              <w:ind w:right="353"/>
              <w:spacing w:after="0"/>
              <w:rPr>
                <w:sz w:val="20"/>
                <w:szCs w:val="20"/>
                <w:color w:val="auto"/>
              </w:rPr>
            </w:pPr>
            <w:r>
              <w:rPr>
                <w:rFonts w:ascii="Arial" w:cs="Arial" w:eastAsia="Arial" w:hAnsi="Arial"/>
                <w:sz w:val="13"/>
                <w:szCs w:val="13"/>
                <w:b w:val="1"/>
                <w:bCs w:val="1"/>
                <w:color w:val="auto"/>
              </w:rPr>
              <w:t>2020</w:t>
            </w:r>
          </w:p>
        </w:tc>
        <w:tc>
          <w:tcPr>
            <w:tcW w:w="1100" w:type="dxa"/>
            <w:vAlign w:val="bottom"/>
          </w:tcPr>
          <w:p>
            <w:pPr>
              <w:jc w:val="right"/>
              <w:ind w:right="353"/>
              <w:spacing w:after="0"/>
              <w:rPr>
                <w:sz w:val="20"/>
                <w:szCs w:val="20"/>
                <w:color w:val="auto"/>
              </w:rPr>
            </w:pPr>
            <w:r>
              <w:rPr>
                <w:rFonts w:ascii="Arial" w:cs="Arial" w:eastAsia="Arial" w:hAnsi="Arial"/>
                <w:sz w:val="13"/>
                <w:szCs w:val="13"/>
                <w:b w:val="1"/>
                <w:bCs w:val="1"/>
                <w:color w:val="auto"/>
              </w:rPr>
              <w:t>2020</w:t>
            </w:r>
          </w:p>
        </w:tc>
        <w:tc>
          <w:tcPr>
            <w:tcW w:w="1080" w:type="dxa"/>
            <w:vAlign w:val="bottom"/>
          </w:tcPr>
          <w:p>
            <w:pPr>
              <w:jc w:val="right"/>
              <w:ind w:right="333"/>
              <w:spacing w:after="0"/>
              <w:rPr>
                <w:sz w:val="20"/>
                <w:szCs w:val="20"/>
                <w:color w:val="auto"/>
              </w:rPr>
            </w:pPr>
            <w:r>
              <w:rPr>
                <w:rFonts w:ascii="Arial" w:cs="Arial" w:eastAsia="Arial" w:hAnsi="Arial"/>
                <w:sz w:val="13"/>
                <w:szCs w:val="13"/>
                <w:b w:val="1"/>
                <w:bCs w:val="1"/>
                <w:color w:val="auto"/>
              </w:rPr>
              <w:t>2020</w:t>
            </w:r>
          </w:p>
        </w:tc>
        <w:tc>
          <w:tcPr>
            <w:tcW w:w="1100" w:type="dxa"/>
            <w:vAlign w:val="bottom"/>
          </w:tcPr>
          <w:p>
            <w:pPr>
              <w:jc w:val="right"/>
              <w:ind w:right="353"/>
              <w:spacing w:after="0"/>
              <w:rPr>
                <w:sz w:val="20"/>
                <w:szCs w:val="20"/>
                <w:color w:val="auto"/>
              </w:rPr>
            </w:pPr>
            <w:r>
              <w:rPr>
                <w:rFonts w:ascii="Arial" w:cs="Arial" w:eastAsia="Arial" w:hAnsi="Arial"/>
                <w:sz w:val="13"/>
                <w:szCs w:val="13"/>
                <w:b w:val="1"/>
                <w:bCs w:val="1"/>
                <w:color w:val="auto"/>
              </w:rPr>
              <w:t>2020</w:t>
            </w:r>
          </w:p>
        </w:tc>
        <w:tc>
          <w:tcPr>
            <w:tcW w:w="940" w:type="dxa"/>
            <w:vAlign w:val="bottom"/>
          </w:tcPr>
          <w:p>
            <w:pPr>
              <w:jc w:val="right"/>
              <w:ind w:right="173"/>
              <w:spacing w:after="0"/>
              <w:rPr>
                <w:sz w:val="20"/>
                <w:szCs w:val="20"/>
                <w:color w:val="auto"/>
              </w:rPr>
            </w:pPr>
            <w:r>
              <w:rPr>
                <w:rFonts w:ascii="Arial" w:cs="Arial" w:eastAsia="Arial" w:hAnsi="Arial"/>
                <w:sz w:val="13"/>
                <w:szCs w:val="13"/>
                <w:b w:val="1"/>
                <w:bCs w:val="1"/>
                <w:color w:val="auto"/>
              </w:rPr>
              <w:t>2021</w:t>
            </w:r>
          </w:p>
        </w:tc>
        <w:tc>
          <w:tcPr>
            <w:tcW w:w="660" w:type="dxa"/>
            <w:vAlign w:val="bottom"/>
          </w:tcPr>
          <w:p>
            <w:pPr>
              <w:jc w:val="right"/>
              <w:ind w:right="113"/>
              <w:spacing w:after="0"/>
              <w:rPr>
                <w:sz w:val="20"/>
                <w:szCs w:val="20"/>
                <w:color w:val="auto"/>
              </w:rPr>
            </w:pPr>
            <w:r>
              <w:rPr>
                <w:rFonts w:ascii="Arial" w:cs="Arial" w:eastAsia="Arial" w:hAnsi="Arial"/>
                <w:sz w:val="13"/>
                <w:szCs w:val="13"/>
                <w:b w:val="1"/>
                <w:bCs w:val="1"/>
                <w:color w:val="auto"/>
              </w:rPr>
              <w:t>2021</w:t>
            </w:r>
          </w:p>
        </w:tc>
      </w:tr>
    </w:tbl>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00" w:type="dxa"/>
            <w:vAlign w:val="bottom"/>
            <w:shd w:val="clear" w:color="auto" w:fill="CCEEFF"/>
          </w:tcPr>
          <w:p>
            <w:pPr>
              <w:spacing w:after="0"/>
              <w:rPr>
                <w:sz w:val="22"/>
                <w:szCs w:val="22"/>
                <w:color w:val="auto"/>
              </w:rPr>
            </w:pPr>
          </w:p>
        </w:tc>
        <w:tc>
          <w:tcPr>
            <w:tcW w:w="9220" w:type="dxa"/>
            <w:vAlign w:val="bottom"/>
            <w:gridSpan w:val="17"/>
            <w:shd w:val="clear" w:color="auto" w:fill="CCEEFF"/>
          </w:tcPr>
          <w:p>
            <w:pPr>
              <w:jc w:val="right"/>
              <w:spacing w:after="0"/>
              <w:rPr>
                <w:sz w:val="20"/>
                <w:szCs w:val="20"/>
                <w:color w:val="auto"/>
              </w:rPr>
            </w:pPr>
            <w:r>
              <w:rPr>
                <w:rFonts w:ascii="Arial" w:cs="Arial" w:eastAsia="Arial" w:hAnsi="Arial"/>
                <w:sz w:val="18"/>
                <w:szCs w:val="18"/>
                <w:color w:val="auto"/>
                <w:w w:val="96"/>
              </w:rPr>
              <w:t>100 % 100 % 100 % 100 % 100 % 100 % 100 % 100 % 100 % 100 % 100 % 100 % 100 % 100 % 100 % 100 % 100 %</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6"/>
        </w:trPr>
        <w:tc>
          <w:tcPr>
            <w:tcW w:w="1300" w:type="dxa"/>
            <w:vAlign w:val="bottom"/>
            <w:gridSpan w:val="2"/>
          </w:tcPr>
          <w:p>
            <w:pPr>
              <w:ind w:left="20"/>
              <w:spacing w:after="0"/>
              <w:rPr>
                <w:sz w:val="20"/>
                <w:szCs w:val="20"/>
                <w:color w:val="auto"/>
              </w:rPr>
            </w:pPr>
            <w:r>
              <w:rPr>
                <w:rFonts w:ascii="Arial" w:cs="Arial" w:eastAsia="Arial" w:hAnsi="Arial"/>
                <w:sz w:val="16"/>
                <w:szCs w:val="16"/>
                <w:color w:val="auto"/>
              </w:rPr>
              <w:t>Costs and</w:t>
            </w: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ind w:left="20"/>
              <w:spacing w:after="0"/>
              <w:rPr>
                <w:sz w:val="20"/>
                <w:szCs w:val="20"/>
                <w:color w:val="auto"/>
              </w:rPr>
            </w:pPr>
            <w:r>
              <w:rPr>
                <w:rFonts w:ascii="Arial" w:cs="Arial" w:eastAsia="Arial" w:hAnsi="Arial"/>
                <w:sz w:val="16"/>
                <w:szCs w:val="16"/>
                <w:color w:val="auto"/>
              </w:rPr>
              <w:t>expenses:</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1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w:t>
            </w:r>
          </w:p>
        </w:tc>
        <w:tc>
          <w:tcPr>
            <w:tcW w:w="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6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w:t>
            </w:r>
          </w:p>
        </w:tc>
        <w:tc>
          <w:tcPr>
            <w:tcW w:w="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w:t>
            </w:r>
          </w:p>
        </w:tc>
        <w:tc>
          <w:tcPr>
            <w:tcW w:w="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6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w:t>
            </w:r>
          </w:p>
        </w:tc>
        <w:tc>
          <w:tcPr>
            <w:tcW w:w="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6"/>
        </w:trPr>
        <w:tc>
          <w:tcPr>
            <w:tcW w:w="1300" w:type="dxa"/>
            <w:vAlign w:val="bottom"/>
            <w:gridSpan w:val="2"/>
          </w:tcPr>
          <w:p>
            <w:pPr>
              <w:ind w:left="20"/>
              <w:spacing w:after="0"/>
              <w:rPr>
                <w:sz w:val="20"/>
                <w:szCs w:val="20"/>
                <w:color w:val="auto"/>
              </w:rPr>
            </w:pPr>
            <w:r>
              <w:rPr>
                <w:rFonts w:ascii="Arial" w:cs="Arial" w:eastAsia="Arial" w:hAnsi="Arial"/>
                <w:sz w:val="16"/>
                <w:szCs w:val="16"/>
                <w:color w:val="auto"/>
              </w:rPr>
              <w:t>Research and</w:t>
            </w:r>
          </w:p>
        </w:tc>
        <w:tc>
          <w:tcPr>
            <w:tcW w:w="560" w:type="dxa"/>
            <w:vAlign w:val="bottom"/>
            <w:vMerge w:val="restart"/>
          </w:tcPr>
          <w:p>
            <w:pPr>
              <w:jc w:val="right"/>
              <w:ind w:right="130"/>
              <w:spacing w:after="0"/>
              <w:rPr>
                <w:sz w:val="20"/>
                <w:szCs w:val="20"/>
                <w:color w:val="auto"/>
              </w:rPr>
            </w:pPr>
            <w:r>
              <w:rPr>
                <w:rFonts w:ascii="Arial" w:cs="Arial" w:eastAsia="Arial" w:hAnsi="Arial"/>
                <w:sz w:val="18"/>
                <w:szCs w:val="18"/>
                <w:color w:val="auto"/>
              </w:rPr>
              <w:t>20</w:t>
            </w:r>
          </w:p>
        </w:tc>
        <w:tc>
          <w:tcPr>
            <w:tcW w:w="50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vMerge w:val="restart"/>
          </w:tcPr>
          <w:p>
            <w:pPr>
              <w:jc w:val="right"/>
              <w:ind w:right="130"/>
              <w:spacing w:after="0"/>
              <w:rPr>
                <w:sz w:val="20"/>
                <w:szCs w:val="20"/>
                <w:color w:val="auto"/>
              </w:rPr>
            </w:pPr>
            <w:r>
              <w:rPr>
                <w:rFonts w:ascii="Arial" w:cs="Arial" w:eastAsia="Arial" w:hAnsi="Arial"/>
                <w:sz w:val="18"/>
                <w:szCs w:val="18"/>
                <w:color w:val="auto"/>
              </w:rPr>
              <w:t>21</w:t>
            </w:r>
          </w:p>
        </w:tc>
        <w:tc>
          <w:tcPr>
            <w:tcW w:w="48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vMerge w:val="restart"/>
          </w:tcPr>
          <w:p>
            <w:pPr>
              <w:jc w:val="right"/>
              <w:ind w:right="130"/>
              <w:spacing w:after="0"/>
              <w:rPr>
                <w:sz w:val="20"/>
                <w:szCs w:val="20"/>
                <w:color w:val="auto"/>
              </w:rPr>
            </w:pPr>
            <w:r>
              <w:rPr>
                <w:rFonts w:ascii="Arial" w:cs="Arial" w:eastAsia="Arial" w:hAnsi="Arial"/>
                <w:sz w:val="18"/>
                <w:szCs w:val="18"/>
                <w:color w:val="auto"/>
              </w:rPr>
              <w:t>18</w:t>
            </w:r>
          </w:p>
        </w:tc>
        <w:tc>
          <w:tcPr>
            <w:tcW w:w="50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vMerge w:val="restart"/>
          </w:tcPr>
          <w:p>
            <w:pPr>
              <w:jc w:val="right"/>
              <w:ind w:right="130"/>
              <w:spacing w:after="0"/>
              <w:rPr>
                <w:sz w:val="20"/>
                <w:szCs w:val="20"/>
                <w:color w:val="auto"/>
              </w:rPr>
            </w:pPr>
            <w:r>
              <w:rPr>
                <w:rFonts w:ascii="Arial" w:cs="Arial" w:eastAsia="Arial" w:hAnsi="Arial"/>
                <w:sz w:val="18"/>
                <w:szCs w:val="18"/>
                <w:color w:val="auto"/>
              </w:rPr>
              <w:t>22</w:t>
            </w:r>
          </w:p>
        </w:tc>
        <w:tc>
          <w:tcPr>
            <w:tcW w:w="50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580" w:type="dxa"/>
            <w:vAlign w:val="bottom"/>
            <w:vMerge w:val="restart"/>
          </w:tcPr>
          <w:p>
            <w:pPr>
              <w:jc w:val="right"/>
              <w:ind w:right="130"/>
              <w:spacing w:after="0"/>
              <w:rPr>
                <w:sz w:val="20"/>
                <w:szCs w:val="20"/>
                <w:color w:val="auto"/>
              </w:rPr>
            </w:pPr>
            <w:r>
              <w:rPr>
                <w:rFonts w:ascii="Arial" w:cs="Arial" w:eastAsia="Arial" w:hAnsi="Arial"/>
                <w:sz w:val="18"/>
                <w:szCs w:val="18"/>
                <w:color w:val="auto"/>
              </w:rPr>
              <w:t>14</w:t>
            </w:r>
          </w:p>
        </w:tc>
        <w:tc>
          <w:tcPr>
            <w:tcW w:w="50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620" w:type="dxa"/>
            <w:vAlign w:val="bottom"/>
            <w:vMerge w:val="restart"/>
          </w:tcPr>
          <w:p>
            <w:pPr>
              <w:jc w:val="right"/>
              <w:ind w:right="190"/>
              <w:spacing w:after="0"/>
              <w:rPr>
                <w:sz w:val="20"/>
                <w:szCs w:val="20"/>
                <w:color w:val="auto"/>
              </w:rPr>
            </w:pPr>
            <w:r>
              <w:rPr>
                <w:rFonts w:ascii="Arial" w:cs="Arial" w:eastAsia="Arial" w:hAnsi="Arial"/>
                <w:sz w:val="18"/>
                <w:szCs w:val="18"/>
                <w:color w:val="auto"/>
              </w:rPr>
              <w:t>25</w:t>
            </w:r>
          </w:p>
        </w:tc>
        <w:tc>
          <w:tcPr>
            <w:tcW w:w="50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vMerge w:val="restart"/>
          </w:tcPr>
          <w:p>
            <w:pPr>
              <w:ind w:left="160"/>
              <w:spacing w:after="0"/>
              <w:rPr>
                <w:sz w:val="20"/>
                <w:szCs w:val="20"/>
                <w:color w:val="auto"/>
              </w:rPr>
            </w:pPr>
            <w:r>
              <w:rPr>
                <w:rFonts w:ascii="Arial" w:cs="Arial" w:eastAsia="Arial" w:hAnsi="Arial"/>
                <w:sz w:val="18"/>
                <w:szCs w:val="18"/>
                <w:color w:val="auto"/>
              </w:rPr>
              <w:t>25</w:t>
            </w:r>
          </w:p>
        </w:tc>
        <w:tc>
          <w:tcPr>
            <w:tcW w:w="50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620" w:type="dxa"/>
            <w:vAlign w:val="bottom"/>
            <w:vMerge w:val="restart"/>
          </w:tcPr>
          <w:p>
            <w:pPr>
              <w:jc w:val="right"/>
              <w:ind w:right="190"/>
              <w:spacing w:after="0"/>
              <w:rPr>
                <w:sz w:val="20"/>
                <w:szCs w:val="20"/>
                <w:color w:val="auto"/>
              </w:rPr>
            </w:pPr>
            <w:r>
              <w:rPr>
                <w:rFonts w:ascii="Arial" w:cs="Arial" w:eastAsia="Arial" w:hAnsi="Arial"/>
                <w:sz w:val="18"/>
                <w:szCs w:val="18"/>
                <w:color w:val="auto"/>
              </w:rPr>
              <w:t>24</w:t>
            </w:r>
          </w:p>
        </w:tc>
        <w:tc>
          <w:tcPr>
            <w:tcW w:w="50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620" w:type="dxa"/>
            <w:vAlign w:val="bottom"/>
            <w:vMerge w:val="restart"/>
          </w:tcPr>
          <w:p>
            <w:pPr>
              <w:jc w:val="right"/>
              <w:ind w:right="17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7"/>
                <w:szCs w:val="17"/>
                <w:color w:val="auto"/>
              </w:rPr>
            </w:pPr>
          </w:p>
        </w:tc>
        <w:tc>
          <w:tcPr>
            <w:tcW w:w="620" w:type="dxa"/>
            <w:vAlign w:val="bottom"/>
            <w:vMerge w:val="restart"/>
          </w:tcPr>
          <w:p>
            <w:pPr>
              <w:jc w:val="right"/>
              <w:ind w:right="19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300" w:type="dxa"/>
            <w:vAlign w:val="bottom"/>
            <w:gridSpan w:val="2"/>
          </w:tcPr>
          <w:p>
            <w:pPr>
              <w:ind w:left="20"/>
              <w:spacing w:after="0"/>
              <w:rPr>
                <w:sz w:val="20"/>
                <w:szCs w:val="20"/>
                <w:color w:val="auto"/>
              </w:rPr>
            </w:pPr>
            <w:r>
              <w:rPr>
                <w:rFonts w:ascii="Arial" w:cs="Arial" w:eastAsia="Arial" w:hAnsi="Arial"/>
                <w:sz w:val="16"/>
                <w:szCs w:val="16"/>
                <w:color w:val="auto"/>
              </w:rPr>
              <w:t>development</w:t>
            </w:r>
          </w:p>
        </w:tc>
        <w:tc>
          <w:tcPr>
            <w:tcW w:w="56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Sales and</w:t>
            </w:r>
          </w:p>
        </w:tc>
        <w:tc>
          <w:tcPr>
            <w:tcW w:w="5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48</w:t>
            </w:r>
          </w:p>
        </w:tc>
        <w:tc>
          <w:tcPr>
            <w:tcW w:w="5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52</w:t>
            </w:r>
          </w:p>
        </w:tc>
        <w:tc>
          <w:tcPr>
            <w:tcW w:w="4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44</w:t>
            </w:r>
          </w:p>
        </w:tc>
        <w:tc>
          <w:tcPr>
            <w:tcW w:w="5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59</w:t>
            </w:r>
          </w:p>
        </w:tc>
        <w:tc>
          <w:tcPr>
            <w:tcW w:w="5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5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57</w:t>
            </w:r>
          </w:p>
        </w:tc>
        <w:tc>
          <w:tcPr>
            <w:tcW w:w="5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62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78</w:t>
            </w:r>
          </w:p>
        </w:tc>
        <w:tc>
          <w:tcPr>
            <w:tcW w:w="5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41</w:t>
            </w:r>
          </w:p>
        </w:tc>
        <w:tc>
          <w:tcPr>
            <w:tcW w:w="5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62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62</w:t>
            </w:r>
          </w:p>
        </w:tc>
        <w:tc>
          <w:tcPr>
            <w:tcW w:w="5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62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6"/>
        </w:trPr>
        <w:tc>
          <w:tcPr>
            <w:tcW w:w="1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marketing</w:t>
            </w:r>
          </w:p>
        </w:tc>
        <w:tc>
          <w:tcPr>
            <w:tcW w:w="560" w:type="dxa"/>
            <w:vAlign w:val="bottom"/>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300" w:type="dxa"/>
            <w:vAlign w:val="bottom"/>
            <w:gridSpan w:val="2"/>
          </w:tcPr>
          <w:p>
            <w:pPr>
              <w:ind w:left="20"/>
              <w:spacing w:after="0"/>
              <w:rPr>
                <w:sz w:val="20"/>
                <w:szCs w:val="20"/>
                <w:color w:val="auto"/>
              </w:rPr>
            </w:pPr>
            <w:r>
              <w:rPr>
                <w:rFonts w:ascii="Arial" w:cs="Arial" w:eastAsia="Arial" w:hAnsi="Arial"/>
                <w:sz w:val="16"/>
                <w:szCs w:val="16"/>
                <w:color w:val="auto"/>
              </w:rPr>
              <w:t>General and</w:t>
            </w:r>
          </w:p>
        </w:tc>
        <w:tc>
          <w:tcPr>
            <w:tcW w:w="560" w:type="dxa"/>
            <w:vAlign w:val="bottom"/>
            <w:vMerge w:val="restart"/>
          </w:tcPr>
          <w:p>
            <w:pPr>
              <w:jc w:val="right"/>
              <w:ind w:right="130"/>
              <w:spacing w:after="0"/>
              <w:rPr>
                <w:sz w:val="20"/>
                <w:szCs w:val="20"/>
                <w:color w:val="auto"/>
              </w:rPr>
            </w:pPr>
            <w:r>
              <w:rPr>
                <w:rFonts w:ascii="Arial" w:cs="Arial" w:eastAsia="Arial" w:hAnsi="Arial"/>
                <w:sz w:val="18"/>
                <w:szCs w:val="18"/>
                <w:color w:val="auto"/>
              </w:rPr>
              <w:t>10</w:t>
            </w:r>
          </w:p>
        </w:tc>
        <w:tc>
          <w:tcPr>
            <w:tcW w:w="50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vMerge w:val="restart"/>
          </w:tcPr>
          <w:p>
            <w:pPr>
              <w:jc w:val="right"/>
              <w:ind w:right="130"/>
              <w:spacing w:after="0"/>
              <w:rPr>
                <w:sz w:val="20"/>
                <w:szCs w:val="20"/>
                <w:color w:val="auto"/>
              </w:rPr>
            </w:pPr>
            <w:r>
              <w:rPr>
                <w:rFonts w:ascii="Arial" w:cs="Arial" w:eastAsia="Arial" w:hAnsi="Arial"/>
                <w:sz w:val="18"/>
                <w:szCs w:val="18"/>
                <w:color w:val="auto"/>
              </w:rPr>
              <w:t>10</w:t>
            </w:r>
          </w:p>
        </w:tc>
        <w:tc>
          <w:tcPr>
            <w:tcW w:w="48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vMerge w:val="restart"/>
          </w:tcPr>
          <w:p>
            <w:pPr>
              <w:jc w:val="right"/>
              <w:ind w:right="130"/>
              <w:spacing w:after="0"/>
              <w:rPr>
                <w:sz w:val="20"/>
                <w:szCs w:val="20"/>
                <w:color w:val="auto"/>
              </w:rPr>
            </w:pPr>
            <w:r>
              <w:rPr>
                <w:rFonts w:ascii="Arial" w:cs="Arial" w:eastAsia="Arial" w:hAnsi="Arial"/>
                <w:sz w:val="18"/>
                <w:szCs w:val="18"/>
                <w:color w:val="auto"/>
              </w:rPr>
              <w:t>9</w:t>
            </w:r>
          </w:p>
        </w:tc>
        <w:tc>
          <w:tcPr>
            <w:tcW w:w="50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vMerge w:val="restart"/>
          </w:tcPr>
          <w:p>
            <w:pPr>
              <w:jc w:val="right"/>
              <w:ind w:right="130"/>
              <w:spacing w:after="0"/>
              <w:rPr>
                <w:sz w:val="20"/>
                <w:szCs w:val="20"/>
                <w:color w:val="auto"/>
              </w:rPr>
            </w:pPr>
            <w:r>
              <w:rPr>
                <w:rFonts w:ascii="Arial" w:cs="Arial" w:eastAsia="Arial" w:hAnsi="Arial"/>
                <w:sz w:val="18"/>
                <w:szCs w:val="18"/>
                <w:color w:val="auto"/>
              </w:rPr>
              <w:t>10</w:t>
            </w:r>
          </w:p>
        </w:tc>
        <w:tc>
          <w:tcPr>
            <w:tcW w:w="50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580" w:type="dxa"/>
            <w:vAlign w:val="bottom"/>
            <w:vMerge w:val="restart"/>
          </w:tcPr>
          <w:p>
            <w:pPr>
              <w:jc w:val="right"/>
              <w:ind w:right="130"/>
              <w:spacing w:after="0"/>
              <w:rPr>
                <w:sz w:val="20"/>
                <w:szCs w:val="20"/>
                <w:color w:val="auto"/>
              </w:rPr>
            </w:pPr>
            <w:r>
              <w:rPr>
                <w:rFonts w:ascii="Arial" w:cs="Arial" w:eastAsia="Arial" w:hAnsi="Arial"/>
                <w:sz w:val="18"/>
                <w:szCs w:val="18"/>
                <w:color w:val="auto"/>
              </w:rPr>
              <w:t>8</w:t>
            </w:r>
          </w:p>
        </w:tc>
        <w:tc>
          <w:tcPr>
            <w:tcW w:w="50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620" w:type="dxa"/>
            <w:vAlign w:val="bottom"/>
            <w:vMerge w:val="restart"/>
          </w:tcPr>
          <w:p>
            <w:pPr>
              <w:jc w:val="right"/>
              <w:ind w:right="190"/>
              <w:spacing w:after="0"/>
              <w:rPr>
                <w:sz w:val="20"/>
                <w:szCs w:val="20"/>
                <w:color w:val="auto"/>
              </w:rPr>
            </w:pPr>
            <w:r>
              <w:rPr>
                <w:rFonts w:ascii="Arial" w:cs="Arial" w:eastAsia="Arial" w:hAnsi="Arial"/>
                <w:sz w:val="18"/>
                <w:szCs w:val="18"/>
                <w:color w:val="auto"/>
              </w:rPr>
              <w:t>14</w:t>
            </w:r>
          </w:p>
        </w:tc>
        <w:tc>
          <w:tcPr>
            <w:tcW w:w="50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vMerge w:val="restart"/>
          </w:tcPr>
          <w:p>
            <w:pPr>
              <w:ind w:left="160"/>
              <w:spacing w:after="0"/>
              <w:rPr>
                <w:sz w:val="20"/>
                <w:szCs w:val="20"/>
                <w:color w:val="auto"/>
              </w:rPr>
            </w:pPr>
            <w:r>
              <w:rPr>
                <w:rFonts w:ascii="Arial" w:cs="Arial" w:eastAsia="Arial" w:hAnsi="Arial"/>
                <w:sz w:val="18"/>
                <w:szCs w:val="18"/>
                <w:color w:val="auto"/>
              </w:rPr>
              <w:t>13</w:t>
            </w:r>
          </w:p>
        </w:tc>
        <w:tc>
          <w:tcPr>
            <w:tcW w:w="50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620" w:type="dxa"/>
            <w:vAlign w:val="bottom"/>
            <w:vMerge w:val="restart"/>
          </w:tcPr>
          <w:p>
            <w:pPr>
              <w:jc w:val="right"/>
              <w:ind w:right="190"/>
              <w:spacing w:after="0"/>
              <w:rPr>
                <w:sz w:val="20"/>
                <w:szCs w:val="20"/>
                <w:color w:val="auto"/>
              </w:rPr>
            </w:pPr>
            <w:r>
              <w:rPr>
                <w:rFonts w:ascii="Arial" w:cs="Arial" w:eastAsia="Arial" w:hAnsi="Arial"/>
                <w:sz w:val="18"/>
                <w:szCs w:val="18"/>
                <w:color w:val="auto"/>
              </w:rPr>
              <w:t>14</w:t>
            </w:r>
          </w:p>
        </w:tc>
        <w:tc>
          <w:tcPr>
            <w:tcW w:w="50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620" w:type="dxa"/>
            <w:vAlign w:val="bottom"/>
            <w:vMerge w:val="restart"/>
          </w:tcPr>
          <w:p>
            <w:pPr>
              <w:jc w:val="right"/>
              <w:ind w:right="17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c>
          <w:tcPr>
            <w:tcW w:w="620" w:type="dxa"/>
            <w:vAlign w:val="bottom"/>
            <w:vMerge w:val="restart"/>
          </w:tcPr>
          <w:p>
            <w:pPr>
              <w:jc w:val="right"/>
              <w:ind w:right="19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300" w:type="dxa"/>
            <w:vAlign w:val="bottom"/>
            <w:gridSpan w:val="2"/>
          </w:tcPr>
          <w:p>
            <w:pPr>
              <w:ind w:left="20"/>
              <w:spacing w:after="0"/>
              <w:rPr>
                <w:sz w:val="20"/>
                <w:szCs w:val="20"/>
                <w:color w:val="auto"/>
              </w:rPr>
            </w:pPr>
            <w:r>
              <w:rPr>
                <w:rFonts w:ascii="Arial" w:cs="Arial" w:eastAsia="Arial" w:hAnsi="Arial"/>
                <w:sz w:val="16"/>
                <w:szCs w:val="16"/>
                <w:color w:val="auto"/>
              </w:rPr>
              <w:t>administrative</w:t>
            </w:r>
          </w:p>
        </w:tc>
        <w:tc>
          <w:tcPr>
            <w:tcW w:w="56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Change in fair</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3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value of</w:t>
            </w:r>
          </w:p>
        </w:tc>
        <w:tc>
          <w:tcPr>
            <w:tcW w:w="5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contingent</w:t>
            </w:r>
          </w:p>
        </w:tc>
        <w:tc>
          <w:tcPr>
            <w:tcW w:w="5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consideration</w:t>
            </w:r>
          </w:p>
        </w:tc>
        <w:tc>
          <w:tcPr>
            <w:tcW w:w="5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related to</w:t>
            </w:r>
          </w:p>
        </w:tc>
        <w:tc>
          <w:tcPr>
            <w:tcW w:w="5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5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62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6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5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62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1"/>
        </w:trPr>
        <w:tc>
          <w:tcPr>
            <w:tcW w:w="13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earnouts</w:t>
            </w: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300" w:type="dxa"/>
            <w:vAlign w:val="bottom"/>
            <w:gridSpan w:val="2"/>
          </w:tcPr>
          <w:p>
            <w:pPr>
              <w:ind w:left="20"/>
              <w:spacing w:after="0"/>
              <w:rPr>
                <w:sz w:val="20"/>
                <w:szCs w:val="20"/>
                <w:color w:val="auto"/>
              </w:rPr>
            </w:pPr>
            <w:r>
              <w:rPr>
                <w:rFonts w:ascii="Arial" w:cs="Arial" w:eastAsia="Arial" w:hAnsi="Arial"/>
                <w:sz w:val="16"/>
                <w:szCs w:val="16"/>
                <w:color w:val="auto"/>
              </w:rPr>
              <w:t>Total costs and</w:t>
            </w:r>
          </w:p>
        </w:tc>
        <w:tc>
          <w:tcPr>
            <w:tcW w:w="560" w:type="dxa"/>
            <w:vAlign w:val="bottom"/>
            <w:vMerge w:val="restart"/>
          </w:tcPr>
          <w:p>
            <w:pPr>
              <w:jc w:val="right"/>
              <w:ind w:right="130"/>
              <w:spacing w:after="0"/>
              <w:rPr>
                <w:sz w:val="20"/>
                <w:szCs w:val="20"/>
                <w:color w:val="auto"/>
              </w:rPr>
            </w:pPr>
            <w:r>
              <w:rPr>
                <w:rFonts w:ascii="Arial" w:cs="Arial" w:eastAsia="Arial" w:hAnsi="Arial"/>
                <w:sz w:val="18"/>
                <w:szCs w:val="18"/>
                <w:color w:val="auto"/>
              </w:rPr>
              <w:t>85</w:t>
            </w:r>
          </w:p>
        </w:tc>
        <w:tc>
          <w:tcPr>
            <w:tcW w:w="50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vMerge w:val="restart"/>
          </w:tcPr>
          <w:p>
            <w:pPr>
              <w:jc w:val="right"/>
              <w:ind w:right="130"/>
              <w:spacing w:after="0"/>
              <w:rPr>
                <w:sz w:val="20"/>
                <w:szCs w:val="20"/>
                <w:color w:val="auto"/>
              </w:rPr>
            </w:pPr>
            <w:r>
              <w:rPr>
                <w:rFonts w:ascii="Arial" w:cs="Arial" w:eastAsia="Arial" w:hAnsi="Arial"/>
                <w:sz w:val="18"/>
                <w:szCs w:val="18"/>
                <w:color w:val="auto"/>
              </w:rPr>
              <w:t>90</w:t>
            </w:r>
          </w:p>
        </w:tc>
        <w:tc>
          <w:tcPr>
            <w:tcW w:w="48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vMerge w:val="restart"/>
          </w:tcPr>
          <w:p>
            <w:pPr>
              <w:jc w:val="right"/>
              <w:ind w:right="130"/>
              <w:spacing w:after="0"/>
              <w:rPr>
                <w:sz w:val="20"/>
                <w:szCs w:val="20"/>
                <w:color w:val="auto"/>
              </w:rPr>
            </w:pPr>
            <w:r>
              <w:rPr>
                <w:rFonts w:ascii="Arial" w:cs="Arial" w:eastAsia="Arial" w:hAnsi="Arial"/>
                <w:sz w:val="18"/>
                <w:szCs w:val="18"/>
                <w:color w:val="auto"/>
              </w:rPr>
              <w:t>78</w:t>
            </w:r>
          </w:p>
        </w:tc>
        <w:tc>
          <w:tcPr>
            <w:tcW w:w="50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vMerge w:val="restart"/>
          </w:tcPr>
          <w:p>
            <w:pPr>
              <w:jc w:val="right"/>
              <w:ind w:right="130"/>
              <w:spacing w:after="0"/>
              <w:rPr>
                <w:sz w:val="20"/>
                <w:szCs w:val="20"/>
                <w:color w:val="auto"/>
              </w:rPr>
            </w:pPr>
            <w:r>
              <w:rPr>
                <w:rFonts w:ascii="Arial" w:cs="Arial" w:eastAsia="Arial" w:hAnsi="Arial"/>
                <w:sz w:val="18"/>
                <w:szCs w:val="18"/>
                <w:color w:val="auto"/>
              </w:rPr>
              <w:t>98</w:t>
            </w:r>
          </w:p>
        </w:tc>
        <w:tc>
          <w:tcPr>
            <w:tcW w:w="50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580" w:type="dxa"/>
            <w:vAlign w:val="bottom"/>
            <w:vMerge w:val="restart"/>
          </w:tcPr>
          <w:p>
            <w:pPr>
              <w:jc w:val="right"/>
              <w:ind w:right="130"/>
              <w:spacing w:after="0"/>
              <w:rPr>
                <w:sz w:val="20"/>
                <w:szCs w:val="20"/>
                <w:color w:val="auto"/>
              </w:rPr>
            </w:pPr>
            <w:r>
              <w:rPr>
                <w:rFonts w:ascii="Arial" w:cs="Arial" w:eastAsia="Arial" w:hAnsi="Arial"/>
                <w:sz w:val="18"/>
                <w:szCs w:val="18"/>
                <w:color w:val="auto"/>
              </w:rPr>
              <w:t>85</w:t>
            </w:r>
          </w:p>
        </w:tc>
        <w:tc>
          <w:tcPr>
            <w:tcW w:w="50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620" w:type="dxa"/>
            <w:vAlign w:val="bottom"/>
            <w:vMerge w:val="restart"/>
          </w:tcPr>
          <w:p>
            <w:pPr>
              <w:jc w:val="right"/>
              <w:ind w:right="190"/>
              <w:spacing w:after="0"/>
              <w:rPr>
                <w:sz w:val="20"/>
                <w:szCs w:val="20"/>
                <w:color w:val="auto"/>
              </w:rPr>
            </w:pPr>
            <w:r>
              <w:rPr>
                <w:rFonts w:ascii="Arial" w:cs="Arial" w:eastAsia="Arial" w:hAnsi="Arial"/>
                <w:sz w:val="18"/>
                <w:szCs w:val="18"/>
                <w:color w:val="auto"/>
              </w:rPr>
              <w:t>127</w:t>
            </w:r>
          </w:p>
        </w:tc>
        <w:tc>
          <w:tcPr>
            <w:tcW w:w="50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vMerge w:val="restart"/>
          </w:tcPr>
          <w:p>
            <w:pPr>
              <w:ind w:left="160"/>
              <w:spacing w:after="0"/>
              <w:rPr>
                <w:sz w:val="20"/>
                <w:szCs w:val="20"/>
                <w:color w:val="auto"/>
              </w:rPr>
            </w:pPr>
            <w:r>
              <w:rPr>
                <w:rFonts w:ascii="Arial" w:cs="Arial" w:eastAsia="Arial" w:hAnsi="Arial"/>
                <w:sz w:val="18"/>
                <w:szCs w:val="18"/>
                <w:color w:val="auto"/>
              </w:rPr>
              <w:t>89</w:t>
            </w:r>
          </w:p>
        </w:tc>
        <w:tc>
          <w:tcPr>
            <w:tcW w:w="50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620" w:type="dxa"/>
            <w:vAlign w:val="bottom"/>
            <w:vMerge w:val="restart"/>
          </w:tcPr>
          <w:p>
            <w:pPr>
              <w:jc w:val="right"/>
              <w:ind w:right="190"/>
              <w:spacing w:after="0"/>
              <w:rPr>
                <w:sz w:val="20"/>
                <w:szCs w:val="20"/>
                <w:color w:val="auto"/>
              </w:rPr>
            </w:pPr>
            <w:r>
              <w:rPr>
                <w:rFonts w:ascii="Arial" w:cs="Arial" w:eastAsia="Arial" w:hAnsi="Arial"/>
                <w:sz w:val="18"/>
                <w:szCs w:val="18"/>
                <w:color w:val="auto"/>
              </w:rPr>
              <w:t>109</w:t>
            </w:r>
          </w:p>
        </w:tc>
        <w:tc>
          <w:tcPr>
            <w:tcW w:w="50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620" w:type="dxa"/>
            <w:vAlign w:val="bottom"/>
            <w:vMerge w:val="restart"/>
          </w:tcPr>
          <w:p>
            <w:pPr>
              <w:jc w:val="right"/>
              <w:ind w:right="17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6"/>
                <w:szCs w:val="16"/>
                <w:color w:val="auto"/>
              </w:rPr>
            </w:pPr>
          </w:p>
        </w:tc>
        <w:tc>
          <w:tcPr>
            <w:tcW w:w="620" w:type="dxa"/>
            <w:vAlign w:val="bottom"/>
            <w:vMerge w:val="restart"/>
          </w:tcPr>
          <w:p>
            <w:pPr>
              <w:jc w:val="right"/>
              <w:ind w:right="19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9"/>
        </w:trPr>
        <w:tc>
          <w:tcPr>
            <w:tcW w:w="13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expenses</w:t>
            </w:r>
          </w:p>
        </w:tc>
        <w:tc>
          <w:tcPr>
            <w:tcW w:w="56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CCEEFF"/>
            </w:tcBorders>
            <w:vMerge w:val="continue"/>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480" w:type="dxa"/>
            <w:vAlign w:val="bottom"/>
            <w:tcBorders>
              <w:bottom w:val="single" w:sz="8" w:color="CCEEFF"/>
            </w:tcBorders>
            <w:vMerge w:val="continue"/>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CCEEFF"/>
            </w:tcBorders>
            <w:vMerge w:val="continue"/>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CCEEFF"/>
            </w:tcBorders>
            <w:vMerge w:val="continue"/>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CCEEFF"/>
            </w:tcBorders>
            <w:vMerge w:val="continue"/>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CCEEFF"/>
            </w:tcBorders>
            <w:vMerge w:val="continue"/>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CCEEFF"/>
            </w:tcBorders>
            <w:vMerge w:val="continue"/>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CCEEFF"/>
            </w:tcBorders>
            <w:vMerge w:val="continue"/>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(loss)</w:t>
            </w:r>
          </w:p>
        </w:tc>
        <w:tc>
          <w:tcPr>
            <w:tcW w:w="5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from</w:t>
            </w:r>
          </w:p>
        </w:tc>
        <w:tc>
          <w:tcPr>
            <w:tcW w:w="5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5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4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22</w:t>
            </w:r>
          </w:p>
        </w:tc>
        <w:tc>
          <w:tcPr>
            <w:tcW w:w="5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5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5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5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62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(27)</w:t>
            </w:r>
          </w:p>
        </w:tc>
        <w:tc>
          <w:tcPr>
            <w:tcW w:w="5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11</w:t>
            </w:r>
          </w:p>
        </w:tc>
        <w:tc>
          <w:tcPr>
            <w:tcW w:w="5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6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(9)</w:t>
            </w:r>
          </w:p>
        </w:tc>
        <w:tc>
          <w:tcPr>
            <w:tcW w:w="5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6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1"/>
        </w:trPr>
        <w:tc>
          <w:tcPr>
            <w:tcW w:w="13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operations</w:t>
            </w: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300" w:type="dxa"/>
            <w:vAlign w:val="bottom"/>
            <w:gridSpan w:val="2"/>
          </w:tcPr>
          <w:p>
            <w:pPr>
              <w:ind w:left="20"/>
              <w:spacing w:after="0"/>
              <w:rPr>
                <w:sz w:val="20"/>
                <w:szCs w:val="20"/>
                <w:color w:val="auto"/>
              </w:rPr>
            </w:pPr>
            <w:r>
              <w:rPr>
                <w:rFonts w:ascii="Arial" w:cs="Arial" w:eastAsia="Arial" w:hAnsi="Arial"/>
                <w:sz w:val="16"/>
                <w:szCs w:val="16"/>
                <w:color w:val="auto"/>
              </w:rPr>
              <w:t>Other income</w:t>
            </w: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ind w:left="20"/>
              <w:spacing w:after="0"/>
              <w:rPr>
                <w:sz w:val="20"/>
                <w:szCs w:val="20"/>
                <w:color w:val="auto"/>
              </w:rPr>
            </w:pPr>
            <w:r>
              <w:rPr>
                <w:rFonts w:ascii="Arial" w:cs="Arial" w:eastAsia="Arial" w:hAnsi="Arial"/>
                <w:sz w:val="16"/>
                <w:szCs w:val="16"/>
                <w:color w:val="auto"/>
              </w:rPr>
              <w:t>(expense):</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1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6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6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0"/>
        </w:trPr>
        <w:tc>
          <w:tcPr>
            <w:tcW w:w="130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6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tcPr>
          <w:p>
            <w:pPr>
              <w:ind w:left="180"/>
              <w:spacing w:after="0"/>
              <w:rPr>
                <w:sz w:val="20"/>
                <w:szCs w:val="20"/>
                <w:color w:val="auto"/>
              </w:rPr>
            </w:pPr>
            <w:r>
              <w:rPr>
                <w:rFonts w:ascii="Arial" w:cs="Arial" w:eastAsia="Arial" w:hAnsi="Arial"/>
                <w:sz w:val="18"/>
                <w:szCs w:val="18"/>
                <w:color w:val="auto"/>
              </w:rPr>
              <w:t>(1)</w:t>
            </w: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gains</w:t>
            </w:r>
          </w:p>
        </w:tc>
        <w:tc>
          <w:tcPr>
            <w:tcW w:w="5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4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5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5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62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5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62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72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6"/>
        </w:trPr>
        <w:tc>
          <w:tcPr>
            <w:tcW w:w="1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(losses), net</w:t>
            </w:r>
          </w:p>
        </w:tc>
        <w:tc>
          <w:tcPr>
            <w:tcW w:w="560" w:type="dxa"/>
            <w:vAlign w:val="bottom"/>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300" w:type="dxa"/>
            <w:vAlign w:val="bottom"/>
            <w:gridSpan w:val="2"/>
          </w:tcPr>
          <w:p>
            <w:pPr>
              <w:ind w:left="20"/>
              <w:spacing w:after="0"/>
              <w:rPr>
                <w:sz w:val="20"/>
                <w:szCs w:val="20"/>
                <w:color w:val="auto"/>
              </w:rPr>
            </w:pPr>
            <w:r>
              <w:rPr>
                <w:rFonts w:ascii="Arial" w:cs="Arial" w:eastAsia="Arial" w:hAnsi="Arial"/>
                <w:sz w:val="16"/>
                <w:szCs w:val="16"/>
                <w:color w:val="auto"/>
              </w:rPr>
              <w:t>Total other</w:t>
            </w:r>
          </w:p>
        </w:tc>
        <w:tc>
          <w:tcPr>
            <w:tcW w:w="56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gridSpan w:val="2"/>
          </w:tcPr>
          <w:p>
            <w:pPr>
              <w:ind w:left="180"/>
              <w:spacing w:after="0"/>
              <w:rPr>
                <w:sz w:val="20"/>
                <w:szCs w:val="20"/>
                <w:color w:val="auto"/>
              </w:rPr>
            </w:pPr>
            <w:r>
              <w:rPr>
                <w:rFonts w:ascii="Arial" w:cs="Arial" w:eastAsia="Arial" w:hAnsi="Arial"/>
                <w:sz w:val="16"/>
                <w:szCs w:val="16"/>
                <w:color w:val="auto"/>
              </w:rPr>
              <w:t>income</w:t>
            </w:r>
          </w:p>
        </w:tc>
        <w:tc>
          <w:tcPr>
            <w:tcW w:w="56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vMerge w:val="restart"/>
          </w:tcPr>
          <w:p>
            <w:pPr>
              <w:jc w:val="right"/>
              <w:ind w:right="90"/>
              <w:spacing w:after="0"/>
              <w:rPr>
                <w:sz w:val="20"/>
                <w:szCs w:val="20"/>
                <w:color w:val="auto"/>
              </w:rPr>
            </w:pPr>
            <w:r>
              <w:rPr>
                <w:rFonts w:ascii="Arial" w:cs="Arial" w:eastAsia="Arial" w:hAnsi="Arial"/>
                <w:sz w:val="18"/>
                <w:szCs w:val="18"/>
                <w:color w:val="auto"/>
              </w:rPr>
              <w:t>(1)</w:t>
            </w:r>
          </w:p>
        </w:tc>
        <w:tc>
          <w:tcPr>
            <w:tcW w:w="48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580" w:type="dxa"/>
            <w:vAlign w:val="bottom"/>
            <w:vMerge w:val="restart"/>
          </w:tcPr>
          <w:p>
            <w:pPr>
              <w:jc w:val="right"/>
              <w:ind w:right="130"/>
              <w:spacing w:after="0"/>
              <w:rPr>
                <w:sz w:val="20"/>
                <w:szCs w:val="20"/>
                <w:color w:val="auto"/>
              </w:rPr>
            </w:pPr>
            <w:r>
              <w:rPr>
                <w:rFonts w:ascii="Arial" w:cs="Arial" w:eastAsia="Arial" w:hAnsi="Arial"/>
                <w:sz w:val="18"/>
                <w:szCs w:val="18"/>
                <w:color w:val="auto"/>
              </w:rPr>
              <w:t>1</w:t>
            </w:r>
          </w:p>
        </w:tc>
        <w:tc>
          <w:tcPr>
            <w:tcW w:w="50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620" w:type="dxa"/>
            <w:vAlign w:val="bottom"/>
            <w:vMerge w:val="restart"/>
          </w:tcPr>
          <w:p>
            <w:pPr>
              <w:jc w:val="right"/>
              <w:ind w:right="150"/>
              <w:spacing w:after="0"/>
              <w:rPr>
                <w:sz w:val="20"/>
                <w:szCs w:val="20"/>
                <w:color w:val="auto"/>
              </w:rPr>
            </w:pPr>
            <w:r>
              <w:rPr>
                <w:rFonts w:ascii="Arial" w:cs="Arial" w:eastAsia="Arial" w:hAnsi="Arial"/>
                <w:sz w:val="18"/>
                <w:szCs w:val="18"/>
                <w:color w:val="auto"/>
              </w:rPr>
              <w:t>(2)</w:t>
            </w:r>
          </w:p>
        </w:tc>
        <w:tc>
          <w:tcPr>
            <w:tcW w:w="50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vMerge w:val="restart"/>
          </w:tcPr>
          <w:p>
            <w:pPr>
              <w:ind w:left="180"/>
              <w:spacing w:after="0"/>
              <w:rPr>
                <w:sz w:val="20"/>
                <w:szCs w:val="20"/>
                <w:color w:val="auto"/>
              </w:rPr>
            </w:pPr>
            <w:r>
              <w:rPr>
                <w:rFonts w:ascii="Arial" w:cs="Arial" w:eastAsia="Arial" w:hAnsi="Arial"/>
                <w:sz w:val="18"/>
                <w:szCs w:val="18"/>
                <w:color w:val="auto"/>
              </w:rPr>
              <w:t>(1)</w:t>
            </w:r>
          </w:p>
        </w:tc>
        <w:tc>
          <w:tcPr>
            <w:tcW w:w="50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620" w:type="dxa"/>
            <w:vAlign w:val="bottom"/>
            <w:vMerge w:val="restart"/>
          </w:tcPr>
          <w:p>
            <w:pPr>
              <w:jc w:val="right"/>
              <w:ind w:right="130"/>
              <w:spacing w:after="0"/>
              <w:rPr>
                <w:sz w:val="20"/>
                <w:szCs w:val="20"/>
                <w:color w:val="auto"/>
              </w:rPr>
            </w:pPr>
            <w:r>
              <w:rPr>
                <w:rFonts w:ascii="Arial" w:cs="Arial" w:eastAsia="Arial" w:hAnsi="Arial"/>
                <w:sz w:val="18"/>
                <w:szCs w:val="18"/>
                <w:color w:val="auto"/>
              </w:rPr>
              <w:t>(1)</w:t>
            </w:r>
          </w:p>
        </w:tc>
        <w:tc>
          <w:tcPr>
            <w:tcW w:w="50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72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ind w:right="1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9"/>
        </w:trPr>
        <w:tc>
          <w:tcPr>
            <w:tcW w:w="1300" w:type="dxa"/>
            <w:vAlign w:val="bottom"/>
            <w:gridSpan w:val="2"/>
          </w:tcPr>
          <w:p>
            <w:pPr>
              <w:ind w:left="180"/>
              <w:spacing w:after="0"/>
              <w:rPr>
                <w:sz w:val="20"/>
                <w:szCs w:val="20"/>
                <w:color w:val="auto"/>
              </w:rPr>
            </w:pPr>
            <w:r>
              <w:rPr>
                <w:rFonts w:ascii="Arial" w:cs="Arial" w:eastAsia="Arial" w:hAnsi="Arial"/>
                <w:sz w:val="16"/>
                <w:szCs w:val="16"/>
                <w:color w:val="auto"/>
              </w:rPr>
              <w:t>(expense)</w:t>
            </w:r>
          </w:p>
        </w:tc>
        <w:tc>
          <w:tcPr>
            <w:tcW w:w="56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3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Income (loss)</w:t>
            </w:r>
          </w:p>
        </w:tc>
        <w:tc>
          <w:tcPr>
            <w:tcW w:w="56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before income</w:t>
            </w:r>
          </w:p>
        </w:tc>
        <w:tc>
          <w:tcPr>
            <w:tcW w:w="5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5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9</w:t>
            </w:r>
          </w:p>
        </w:tc>
        <w:tc>
          <w:tcPr>
            <w:tcW w:w="4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22</w:t>
            </w:r>
          </w:p>
        </w:tc>
        <w:tc>
          <w:tcPr>
            <w:tcW w:w="5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5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5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5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62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(29)</w:t>
            </w:r>
          </w:p>
        </w:tc>
        <w:tc>
          <w:tcPr>
            <w:tcW w:w="5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10</w:t>
            </w:r>
          </w:p>
        </w:tc>
        <w:tc>
          <w:tcPr>
            <w:tcW w:w="5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6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5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6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6"/>
        </w:trPr>
        <w:tc>
          <w:tcPr>
            <w:tcW w:w="13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taxes</w:t>
            </w:r>
          </w:p>
        </w:tc>
        <w:tc>
          <w:tcPr>
            <w:tcW w:w="560" w:type="dxa"/>
            <w:vAlign w:val="bottom"/>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300" w:type="dxa"/>
            <w:vAlign w:val="bottom"/>
            <w:gridSpan w:val="2"/>
          </w:tcPr>
          <w:p>
            <w:pPr>
              <w:ind w:left="20"/>
              <w:spacing w:after="0"/>
              <w:rPr>
                <w:sz w:val="20"/>
                <w:szCs w:val="20"/>
                <w:color w:val="auto"/>
              </w:rPr>
            </w:pPr>
            <w:r>
              <w:rPr>
                <w:rFonts w:ascii="Arial" w:cs="Arial" w:eastAsia="Arial" w:hAnsi="Arial"/>
                <w:sz w:val="16"/>
                <w:szCs w:val="16"/>
                <w:color w:val="auto"/>
              </w:rPr>
              <w:t>Income tax</w:t>
            </w: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00" w:type="dxa"/>
            <w:vAlign w:val="bottom"/>
            <w:gridSpan w:val="2"/>
          </w:tcPr>
          <w:p>
            <w:pPr>
              <w:ind w:left="180"/>
              <w:spacing w:after="0"/>
              <w:rPr>
                <w:sz w:val="20"/>
                <w:szCs w:val="20"/>
                <w:color w:val="auto"/>
              </w:rPr>
            </w:pPr>
            <w:r>
              <w:rPr>
                <w:rFonts w:ascii="Arial" w:cs="Arial" w:eastAsia="Arial" w:hAnsi="Arial"/>
                <w:sz w:val="16"/>
                <w:szCs w:val="16"/>
                <w:color w:val="auto"/>
              </w:rPr>
              <w:t>provision</w:t>
            </w:r>
          </w:p>
        </w:tc>
        <w:tc>
          <w:tcPr>
            <w:tcW w:w="560" w:type="dxa"/>
            <w:vAlign w:val="bottom"/>
            <w:vMerge w:val="restart"/>
          </w:tcPr>
          <w:p>
            <w:pPr>
              <w:jc w:val="right"/>
              <w:ind w:right="130"/>
              <w:spacing w:after="0"/>
              <w:rPr>
                <w:sz w:val="20"/>
                <w:szCs w:val="20"/>
                <w:color w:val="auto"/>
              </w:rPr>
            </w:pPr>
            <w:r>
              <w:rPr>
                <w:rFonts w:ascii="Arial" w:cs="Arial" w:eastAsia="Arial" w:hAnsi="Arial"/>
                <w:sz w:val="18"/>
                <w:szCs w:val="18"/>
                <w:color w:val="auto"/>
              </w:rPr>
              <w:t>2</w:t>
            </w:r>
          </w:p>
        </w:tc>
        <w:tc>
          <w:tcPr>
            <w:tcW w:w="50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vMerge w:val="restart"/>
          </w:tcPr>
          <w:p>
            <w:pPr>
              <w:jc w:val="right"/>
              <w:ind w:right="130"/>
              <w:spacing w:after="0"/>
              <w:rPr>
                <w:sz w:val="20"/>
                <w:szCs w:val="20"/>
                <w:color w:val="auto"/>
              </w:rPr>
            </w:pPr>
            <w:r>
              <w:rPr>
                <w:rFonts w:ascii="Arial" w:cs="Arial" w:eastAsia="Arial" w:hAnsi="Arial"/>
                <w:sz w:val="18"/>
                <w:szCs w:val="18"/>
                <w:color w:val="auto"/>
              </w:rPr>
              <w:t>1</w:t>
            </w:r>
          </w:p>
        </w:tc>
        <w:tc>
          <w:tcPr>
            <w:tcW w:w="48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vMerge w:val="restart"/>
          </w:tcPr>
          <w:p>
            <w:pPr>
              <w:jc w:val="right"/>
              <w:ind w:right="130"/>
              <w:spacing w:after="0"/>
              <w:rPr>
                <w:sz w:val="20"/>
                <w:szCs w:val="20"/>
                <w:color w:val="auto"/>
              </w:rPr>
            </w:pPr>
            <w:r>
              <w:rPr>
                <w:rFonts w:ascii="Arial" w:cs="Arial" w:eastAsia="Arial" w:hAnsi="Arial"/>
                <w:sz w:val="18"/>
                <w:szCs w:val="18"/>
                <w:color w:val="auto"/>
              </w:rPr>
              <w:t>4</w:t>
            </w:r>
          </w:p>
        </w:tc>
        <w:tc>
          <w:tcPr>
            <w:tcW w:w="50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vMerge w:val="restart"/>
          </w:tcPr>
          <w:p>
            <w:pPr>
              <w:jc w:val="right"/>
              <w:ind w:right="70"/>
              <w:spacing w:after="0"/>
              <w:rPr>
                <w:sz w:val="20"/>
                <w:szCs w:val="20"/>
                <w:color w:val="auto"/>
              </w:rPr>
            </w:pPr>
            <w:r>
              <w:rPr>
                <w:rFonts w:ascii="Arial" w:cs="Arial" w:eastAsia="Arial" w:hAnsi="Arial"/>
                <w:sz w:val="18"/>
                <w:szCs w:val="18"/>
                <w:color w:val="auto"/>
              </w:rPr>
              <w:t>(1)</w:t>
            </w:r>
          </w:p>
        </w:tc>
        <w:tc>
          <w:tcPr>
            <w:tcW w:w="50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580" w:type="dxa"/>
            <w:vAlign w:val="bottom"/>
            <w:vMerge w:val="restart"/>
          </w:tcPr>
          <w:p>
            <w:pPr>
              <w:jc w:val="right"/>
              <w:ind w:right="130"/>
              <w:spacing w:after="0"/>
              <w:rPr>
                <w:sz w:val="20"/>
                <w:szCs w:val="20"/>
                <w:color w:val="auto"/>
              </w:rPr>
            </w:pPr>
            <w:r>
              <w:rPr>
                <w:rFonts w:ascii="Arial" w:cs="Arial" w:eastAsia="Arial" w:hAnsi="Arial"/>
                <w:sz w:val="18"/>
                <w:szCs w:val="18"/>
                <w:color w:val="auto"/>
              </w:rPr>
              <w:t>1</w:t>
            </w:r>
          </w:p>
        </w:tc>
        <w:tc>
          <w:tcPr>
            <w:tcW w:w="50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620" w:type="dxa"/>
            <w:vAlign w:val="bottom"/>
            <w:vMerge w:val="restart"/>
          </w:tcPr>
          <w:p>
            <w:pPr>
              <w:jc w:val="right"/>
              <w:ind w:right="150"/>
              <w:spacing w:after="0"/>
              <w:rPr>
                <w:sz w:val="20"/>
                <w:szCs w:val="20"/>
                <w:color w:val="auto"/>
              </w:rPr>
            </w:pPr>
            <w:r>
              <w:rPr>
                <w:rFonts w:ascii="Arial" w:cs="Arial" w:eastAsia="Arial" w:hAnsi="Arial"/>
                <w:sz w:val="18"/>
                <w:szCs w:val="18"/>
                <w:color w:val="auto"/>
              </w:rPr>
              <w:t>(6)</w:t>
            </w:r>
          </w:p>
        </w:tc>
        <w:tc>
          <w:tcPr>
            <w:tcW w:w="50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vMerge w:val="restart"/>
          </w:tcPr>
          <w:p>
            <w:pPr>
              <w:ind w:left="180"/>
              <w:spacing w:after="0"/>
              <w:rPr>
                <w:sz w:val="20"/>
                <w:szCs w:val="20"/>
                <w:color w:val="auto"/>
              </w:rPr>
            </w:pPr>
            <w:r>
              <w:rPr>
                <w:rFonts w:ascii="Arial" w:cs="Arial" w:eastAsia="Arial" w:hAnsi="Arial"/>
                <w:sz w:val="18"/>
                <w:szCs w:val="18"/>
                <w:color w:val="auto"/>
              </w:rPr>
              <w:t>(1)</w:t>
            </w:r>
          </w:p>
        </w:tc>
        <w:tc>
          <w:tcPr>
            <w:tcW w:w="50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620" w:type="dxa"/>
            <w:vAlign w:val="bottom"/>
            <w:vMerge w:val="restart"/>
          </w:tcPr>
          <w:p>
            <w:pPr>
              <w:jc w:val="right"/>
              <w:ind w:right="130"/>
              <w:spacing w:after="0"/>
              <w:rPr>
                <w:sz w:val="20"/>
                <w:szCs w:val="20"/>
                <w:color w:val="auto"/>
              </w:rPr>
            </w:pPr>
            <w:r>
              <w:rPr>
                <w:rFonts w:ascii="Arial" w:cs="Arial" w:eastAsia="Arial" w:hAnsi="Arial"/>
                <w:sz w:val="18"/>
                <w:szCs w:val="18"/>
                <w:color w:val="auto"/>
              </w:rPr>
              <w:t>(4)</w:t>
            </w:r>
          </w:p>
        </w:tc>
        <w:tc>
          <w:tcPr>
            <w:tcW w:w="50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620" w:type="dxa"/>
            <w:vAlign w:val="bottom"/>
            <w:vMerge w:val="restart"/>
          </w:tcPr>
          <w:p>
            <w:pPr>
              <w:jc w:val="right"/>
              <w:ind w:right="1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6"/>
                <w:szCs w:val="16"/>
                <w:color w:val="auto"/>
              </w:rPr>
            </w:pPr>
          </w:p>
        </w:tc>
        <w:tc>
          <w:tcPr>
            <w:tcW w:w="620" w:type="dxa"/>
            <w:vAlign w:val="bottom"/>
            <w:vMerge w:val="restart"/>
          </w:tcPr>
          <w:p>
            <w:pPr>
              <w:jc w:val="right"/>
              <w:ind w:right="1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9"/>
        </w:trPr>
        <w:tc>
          <w:tcPr>
            <w:tcW w:w="130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(benefit)</w:t>
            </w:r>
          </w:p>
        </w:tc>
        <w:tc>
          <w:tcPr>
            <w:tcW w:w="56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CCEEFF"/>
            </w:tcBorders>
            <w:vMerge w:val="continue"/>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480" w:type="dxa"/>
            <w:vAlign w:val="bottom"/>
            <w:tcBorders>
              <w:bottom w:val="single" w:sz="8" w:color="CCEEFF"/>
            </w:tcBorders>
            <w:vMerge w:val="continue"/>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CCEEFF"/>
            </w:tcBorders>
            <w:vMerge w:val="continue"/>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CCEEFF"/>
            </w:tcBorders>
            <w:vMerge w:val="continue"/>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CCEEFF"/>
            </w:tcBorders>
            <w:vMerge w:val="continue"/>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CCEEFF"/>
            </w:tcBorders>
            <w:vMerge w:val="continue"/>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CCEEFF"/>
            </w:tcBorders>
            <w:vMerge w:val="continue"/>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CCEEFF"/>
            </w:tcBorders>
            <w:vMerge w:val="continue"/>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1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Net income (loss)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13 % 100 %</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8 % 100 %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18 % 100 %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3 % 100 %</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15 % 100 %</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shd w:val="clear" w:color="auto" w:fill="CCEEFF"/>
              </w:rPr>
              <w:t>(23 %) 100 %</w:t>
            </w: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0"/>
                <w:shd w:val="clear" w:color="auto" w:fill="CCEEFF"/>
              </w:rPr>
              <w:t>11 % 100 %</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(6 %) 100 %</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(14 %)</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(15 %)</w:t>
            </w: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68</w:t>
      </w:r>
    </w:p>
    <w:p>
      <w:pPr>
        <w:sectPr>
          <w:pgSz w:w="11900" w:h="16838" w:orient="portrait"/>
          <w:cols w:equalWidth="0" w:num="1">
            <w:col w:w="11240"/>
          </w:cols>
          <w:pgMar w:left="320" w:top="1440" w:right="339" w:bottom="1440" w:gutter="0" w:footer="0" w:header="0"/>
          <w:type w:val="continuous"/>
        </w:sectPr>
      </w:pPr>
    </w:p>
    <w:bookmarkStart w:id="76" w:name="page77"/>
    <w:bookmarkEnd w:id="76"/>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our Adjusted EBITDA and a reconciliation of net income (loss) to Adjusted EBITDA: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5"/>
          </w:tcPr>
          <w:p>
            <w:pPr>
              <w:ind w:left="280"/>
              <w:spacing w:after="0"/>
              <w:rPr>
                <w:sz w:val="20"/>
                <w:szCs w:val="20"/>
                <w:color w:val="auto"/>
              </w:rPr>
            </w:pPr>
            <w:r>
              <w:rPr>
                <w:rFonts w:ascii="Arial" w:cs="Arial" w:eastAsia="Arial" w:hAnsi="Arial"/>
                <w:sz w:val="13"/>
                <w:szCs w:val="13"/>
                <w:b w:val="1"/>
                <w:bCs w:val="1"/>
                <w:color w:val="auto"/>
              </w:rPr>
              <w:t>Three Months Ended</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8"/>
        </w:trPr>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70"/>
        </w:trPr>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Jun 30,</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4"/>
        </w:trPr>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3"/>
          </w:tcPr>
          <w:p>
            <w:pPr>
              <w:ind w:left="20"/>
              <w:spacing w:after="0"/>
              <w:rPr>
                <w:sz w:val="20"/>
                <w:szCs w:val="20"/>
                <w:color w:val="auto"/>
              </w:rPr>
            </w:pPr>
            <w:r>
              <w:rPr>
                <w:rFonts w:ascii="Arial" w:cs="Arial" w:eastAsia="Arial" w:hAnsi="Arial"/>
                <w:sz w:val="13"/>
                <w:szCs w:val="13"/>
                <w:b w:val="1"/>
                <w:bCs w:val="1"/>
                <w:color w:val="auto"/>
              </w:rPr>
              <w:t>Mar 31, 2019</w:t>
            </w:r>
          </w:p>
        </w:tc>
        <w:tc>
          <w:tcPr>
            <w:tcW w:w="140" w:type="dxa"/>
            <w:vAlign w:val="bottom"/>
          </w:tcPr>
          <w:p>
            <w:pPr>
              <w:spacing w:after="0"/>
              <w:rPr>
                <w:sz w:val="15"/>
                <w:szCs w:val="15"/>
                <w:color w:val="auto"/>
              </w:rPr>
            </w:pPr>
          </w:p>
        </w:tc>
        <w:tc>
          <w:tcPr>
            <w:tcW w:w="620" w:type="dxa"/>
            <w:vAlign w:val="bottom"/>
          </w:tcPr>
          <w:p>
            <w:pPr>
              <w:jc w:val="right"/>
              <w:ind w:right="181"/>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900" w:type="dxa"/>
            <w:vAlign w:val="bottom"/>
            <w:gridSpan w:val="3"/>
          </w:tcPr>
          <w:p>
            <w:pPr>
              <w:ind w:left="40"/>
              <w:spacing w:after="0"/>
              <w:rPr>
                <w:sz w:val="20"/>
                <w:szCs w:val="20"/>
                <w:color w:val="auto"/>
              </w:rPr>
            </w:pPr>
            <w:r>
              <w:rPr>
                <w:rFonts w:ascii="Arial" w:cs="Arial" w:eastAsia="Arial" w:hAnsi="Arial"/>
                <w:sz w:val="13"/>
                <w:szCs w:val="13"/>
                <w:b w:val="1"/>
                <w:bCs w:val="1"/>
                <w:color w:val="auto"/>
              </w:rPr>
              <w:t>Sep 30, 2019</w:t>
            </w:r>
          </w:p>
        </w:tc>
        <w:tc>
          <w:tcPr>
            <w:tcW w:w="880" w:type="dxa"/>
            <w:vAlign w:val="bottom"/>
            <w:gridSpan w:val="3"/>
          </w:tcPr>
          <w:p>
            <w:pPr>
              <w:ind w:left="20"/>
              <w:spacing w:after="0"/>
              <w:rPr>
                <w:sz w:val="20"/>
                <w:szCs w:val="20"/>
                <w:color w:val="auto"/>
              </w:rPr>
            </w:pPr>
            <w:r>
              <w:rPr>
                <w:rFonts w:ascii="Arial" w:cs="Arial" w:eastAsia="Arial" w:hAnsi="Arial"/>
                <w:sz w:val="13"/>
                <w:szCs w:val="13"/>
                <w:b w:val="1"/>
                <w:bCs w:val="1"/>
                <w:color w:val="auto"/>
              </w:rPr>
              <w:t>Dec 31, 2019</w:t>
            </w:r>
          </w:p>
        </w:tc>
        <w:tc>
          <w:tcPr>
            <w:tcW w:w="900" w:type="dxa"/>
            <w:vAlign w:val="bottom"/>
            <w:gridSpan w:val="3"/>
          </w:tcPr>
          <w:p>
            <w:pPr>
              <w:ind w:left="20"/>
              <w:spacing w:after="0"/>
              <w:rPr>
                <w:sz w:val="20"/>
                <w:szCs w:val="20"/>
                <w:color w:val="auto"/>
              </w:rPr>
            </w:pPr>
            <w:r>
              <w:rPr>
                <w:rFonts w:ascii="Arial" w:cs="Arial" w:eastAsia="Arial" w:hAnsi="Arial"/>
                <w:sz w:val="13"/>
                <w:szCs w:val="13"/>
                <w:b w:val="1"/>
                <w:bCs w:val="1"/>
                <w:color w:val="auto"/>
              </w:rPr>
              <w:t>Mar 31, 2020</w:t>
            </w:r>
          </w:p>
        </w:tc>
        <w:tc>
          <w:tcPr>
            <w:tcW w:w="980" w:type="dxa"/>
            <w:vAlign w:val="bottom"/>
            <w:gridSpan w:val="3"/>
          </w:tcPr>
          <w:p>
            <w:pPr>
              <w:ind w:left="80"/>
              <w:spacing w:after="0"/>
              <w:rPr>
                <w:sz w:val="20"/>
                <w:szCs w:val="20"/>
                <w:color w:val="auto"/>
              </w:rPr>
            </w:pPr>
            <w:r>
              <w:rPr>
                <w:rFonts w:ascii="Arial" w:cs="Arial" w:eastAsia="Arial" w:hAnsi="Arial"/>
                <w:sz w:val="13"/>
                <w:szCs w:val="13"/>
                <w:b w:val="1"/>
                <w:bCs w:val="1"/>
                <w:color w:val="auto"/>
              </w:rPr>
              <w:t>Jun 30, 2020</w:t>
            </w:r>
          </w:p>
        </w:tc>
        <w:tc>
          <w:tcPr>
            <w:tcW w:w="900" w:type="dxa"/>
            <w:vAlign w:val="bottom"/>
            <w:gridSpan w:val="3"/>
          </w:tcPr>
          <w:p>
            <w:pPr>
              <w:ind w:left="40"/>
              <w:spacing w:after="0"/>
              <w:rPr>
                <w:sz w:val="20"/>
                <w:szCs w:val="20"/>
                <w:color w:val="auto"/>
              </w:rPr>
            </w:pPr>
            <w:r>
              <w:rPr>
                <w:rFonts w:ascii="Arial" w:cs="Arial" w:eastAsia="Arial" w:hAnsi="Arial"/>
                <w:sz w:val="13"/>
                <w:szCs w:val="13"/>
                <w:b w:val="1"/>
                <w:bCs w:val="1"/>
                <w:color w:val="auto"/>
              </w:rPr>
              <w:t>Sep 30, 2020</w:t>
            </w:r>
          </w:p>
        </w:tc>
        <w:tc>
          <w:tcPr>
            <w:tcW w:w="960" w:type="dxa"/>
            <w:vAlign w:val="bottom"/>
            <w:gridSpan w:val="3"/>
          </w:tcPr>
          <w:p>
            <w:pPr>
              <w:ind w:left="80"/>
              <w:spacing w:after="0"/>
              <w:rPr>
                <w:sz w:val="20"/>
                <w:szCs w:val="20"/>
                <w:color w:val="auto"/>
              </w:rPr>
            </w:pPr>
            <w:r>
              <w:rPr>
                <w:rFonts w:ascii="Arial" w:cs="Arial" w:eastAsia="Arial" w:hAnsi="Arial"/>
                <w:sz w:val="13"/>
                <w:szCs w:val="13"/>
                <w:b w:val="1"/>
                <w:bCs w:val="1"/>
                <w:color w:val="auto"/>
              </w:rPr>
              <w:t>Dec 31, 2020</w:t>
            </w:r>
          </w:p>
        </w:tc>
        <w:tc>
          <w:tcPr>
            <w:tcW w:w="980" w:type="dxa"/>
            <w:vAlign w:val="bottom"/>
            <w:gridSpan w:val="3"/>
          </w:tcPr>
          <w:p>
            <w:pPr>
              <w:ind w:left="60"/>
              <w:spacing w:after="0"/>
              <w:rPr>
                <w:sz w:val="20"/>
                <w:szCs w:val="20"/>
                <w:color w:val="auto"/>
              </w:rPr>
            </w:pPr>
            <w:r>
              <w:rPr>
                <w:rFonts w:ascii="Arial" w:cs="Arial" w:eastAsia="Arial" w:hAnsi="Arial"/>
                <w:sz w:val="13"/>
                <w:szCs w:val="13"/>
                <w:b w:val="1"/>
                <w:bCs w:val="1"/>
                <w:color w:val="auto"/>
              </w:rPr>
              <w:t>Mar 31, 2021</w:t>
            </w:r>
          </w:p>
        </w:tc>
        <w:tc>
          <w:tcPr>
            <w:tcW w:w="900" w:type="dxa"/>
            <w:vAlign w:val="bottom"/>
            <w:gridSpan w:val="2"/>
          </w:tcPr>
          <w:p>
            <w:pPr>
              <w:jc w:val="right"/>
              <w:spacing w:after="0"/>
              <w:rPr>
                <w:sz w:val="20"/>
                <w:szCs w:val="20"/>
                <w:color w:val="auto"/>
              </w:rPr>
            </w:pPr>
            <w:r>
              <w:rPr>
                <w:rFonts w:ascii="Arial" w:cs="Arial" w:eastAsia="Arial" w:hAnsi="Arial"/>
                <w:sz w:val="13"/>
                <w:szCs w:val="13"/>
                <w:b w:val="1"/>
                <w:bCs w:val="1"/>
                <w:color w:val="auto"/>
              </w:rPr>
              <w:t>Jun 30, 2021</w:t>
            </w:r>
          </w:p>
        </w:tc>
      </w:tr>
      <w:tr>
        <w:trPr>
          <w:trHeight w:val="28"/>
        </w:trPr>
        <w:tc>
          <w:tcPr>
            <w:tcW w:w="2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2"/>
        </w:trPr>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b w:val="1"/>
                <w:bCs w:val="1"/>
                <w:color w:val="auto"/>
                <w:w w:val="93"/>
              </w:rPr>
              <w:t>(in millions)</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8"/>
        </w:trPr>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2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(13.9)</w:t>
            </w:r>
          </w:p>
        </w:tc>
      </w:tr>
      <w:tr>
        <w:trPr>
          <w:trHeight w:val="206"/>
        </w:trPr>
        <w:tc>
          <w:tcPr>
            <w:tcW w:w="2080" w:type="dxa"/>
            <w:vAlign w:val="bottom"/>
            <w:gridSpan w:val="2"/>
          </w:tcPr>
          <w:p>
            <w:pPr>
              <w:ind w:left="20"/>
              <w:spacing w:after="0"/>
              <w:rPr>
                <w:sz w:val="20"/>
                <w:szCs w:val="20"/>
                <w:color w:val="auto"/>
              </w:rPr>
            </w:pPr>
            <w:r>
              <w:rPr>
                <w:rFonts w:ascii="Arial" w:cs="Arial" w:eastAsia="Arial" w:hAnsi="Arial"/>
                <w:sz w:val="16"/>
                <w:szCs w:val="16"/>
                <w:color w:val="auto"/>
              </w:rPr>
              <w:t>Depreciation and</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2080" w:type="dxa"/>
            <w:vAlign w:val="bottom"/>
            <w:gridSpan w:val="2"/>
          </w:tcPr>
          <w:p>
            <w:pPr>
              <w:ind w:left="180"/>
              <w:spacing w:after="0"/>
              <w:rPr>
                <w:sz w:val="20"/>
                <w:szCs w:val="20"/>
                <w:color w:val="auto"/>
              </w:rPr>
            </w:pPr>
            <w:r>
              <w:rPr>
                <w:rFonts w:ascii="Arial" w:cs="Arial" w:eastAsia="Arial" w:hAnsi="Arial"/>
                <w:sz w:val="16"/>
                <w:szCs w:val="16"/>
                <w:color w:val="auto"/>
              </w:rPr>
              <w:t>amortization</w:t>
            </w:r>
          </w:p>
        </w:tc>
        <w:tc>
          <w:tcPr>
            <w:tcW w:w="220" w:type="dxa"/>
            <w:vAlign w:val="bottom"/>
          </w:tcPr>
          <w:p>
            <w:pPr>
              <w:spacing w:after="0"/>
              <w:rPr>
                <w:sz w:val="18"/>
                <w:szCs w:val="18"/>
                <w:color w:val="auto"/>
              </w:rPr>
            </w:pPr>
          </w:p>
        </w:tc>
        <w:tc>
          <w:tcPr>
            <w:tcW w:w="580" w:type="dxa"/>
            <w:vAlign w:val="bottom"/>
          </w:tcPr>
          <w:p>
            <w:pPr>
              <w:jc w:val="right"/>
              <w:ind w:right="1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121"/>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ind w:right="11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121"/>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color w:val="auto"/>
              </w:rPr>
              <w:t>6.2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color w:val="auto"/>
              </w:rPr>
              <w:t>6.6</w:t>
            </w:r>
          </w:p>
        </w:tc>
      </w:tr>
      <w:tr>
        <w:trPr>
          <w:trHeight w:val="253"/>
        </w:trPr>
        <w:tc>
          <w:tcPr>
            <w:tcW w:w="2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0.3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0.4</w:t>
            </w:r>
          </w:p>
        </w:tc>
      </w:tr>
      <w:tr>
        <w:trPr>
          <w:trHeight w:val="206"/>
        </w:trPr>
        <w:tc>
          <w:tcPr>
            <w:tcW w:w="2080" w:type="dxa"/>
            <w:vAlign w:val="bottom"/>
            <w:gridSpan w:val="2"/>
          </w:tcPr>
          <w:p>
            <w:pPr>
              <w:ind w:left="20"/>
              <w:spacing w:after="0"/>
              <w:rPr>
                <w:sz w:val="20"/>
                <w:szCs w:val="20"/>
                <w:color w:val="auto"/>
              </w:rPr>
            </w:pPr>
            <w:r>
              <w:rPr>
                <w:rFonts w:ascii="Arial" w:cs="Arial" w:eastAsia="Arial" w:hAnsi="Arial"/>
                <w:sz w:val="16"/>
                <w:szCs w:val="16"/>
                <w:color w:val="auto"/>
              </w:rPr>
              <w:t>Income tax provision</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2080" w:type="dxa"/>
            <w:vAlign w:val="bottom"/>
            <w:gridSpan w:val="2"/>
          </w:tcPr>
          <w:p>
            <w:pPr>
              <w:ind w:left="180"/>
              <w:spacing w:after="0"/>
              <w:rPr>
                <w:sz w:val="20"/>
                <w:szCs w:val="20"/>
                <w:color w:val="auto"/>
              </w:rPr>
            </w:pPr>
            <w:r>
              <w:rPr>
                <w:rFonts w:ascii="Arial" w:cs="Arial" w:eastAsia="Arial" w:hAnsi="Arial"/>
                <w:sz w:val="16"/>
                <w:szCs w:val="16"/>
                <w:color w:val="auto"/>
              </w:rPr>
              <w:t>(benefit)</w:t>
            </w:r>
          </w:p>
        </w:tc>
        <w:tc>
          <w:tcPr>
            <w:tcW w:w="220" w:type="dxa"/>
            <w:vAlign w:val="bottom"/>
          </w:tcPr>
          <w:p>
            <w:pPr>
              <w:spacing w:after="0"/>
              <w:rPr>
                <w:sz w:val="18"/>
                <w:szCs w:val="18"/>
                <w:color w:val="auto"/>
              </w:rPr>
            </w:pPr>
          </w:p>
        </w:tc>
        <w:tc>
          <w:tcPr>
            <w:tcW w:w="580" w:type="dxa"/>
            <w:vAlign w:val="bottom"/>
          </w:tcPr>
          <w:p>
            <w:pPr>
              <w:jc w:val="right"/>
              <w:ind w:right="11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121"/>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121"/>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ind w:right="99"/>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39"/>
              <w:spacing w:after="0"/>
              <w:rPr>
                <w:sz w:val="20"/>
                <w:szCs w:val="20"/>
                <w:color w:val="auto"/>
              </w:rPr>
            </w:pPr>
            <w:r>
              <w:rPr>
                <w:rFonts w:ascii="Arial" w:cs="Arial" w:eastAsia="Arial" w:hAnsi="Arial"/>
                <w:sz w:val="16"/>
                <w:szCs w:val="16"/>
                <w:color w:val="auto"/>
              </w:rPr>
              <w:t>(0.7)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39"/>
              <w:spacing w:after="0"/>
              <w:rPr>
                <w:sz w:val="20"/>
                <w:szCs w:val="20"/>
                <w:color w:val="auto"/>
              </w:rPr>
            </w:pPr>
            <w:r>
              <w:rPr>
                <w:rFonts w:ascii="Arial" w:cs="Arial" w:eastAsia="Arial" w:hAnsi="Arial"/>
                <w:sz w:val="16"/>
                <w:szCs w:val="16"/>
                <w:color w:val="auto"/>
              </w:rPr>
              <w:t>(7.9)</w:t>
            </w:r>
          </w:p>
        </w:tc>
      </w:tr>
      <w:tr>
        <w:trPr>
          <w:trHeight w:val="253"/>
        </w:trPr>
        <w:tc>
          <w:tcPr>
            <w:tcW w:w="2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losses (gains), net</w:t>
            </w:r>
          </w:p>
        </w:tc>
        <w:tc>
          <w:tcPr>
            <w:tcW w:w="2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w:t>
            </w:r>
          </w:p>
        </w:tc>
      </w:tr>
      <w:tr>
        <w:trPr>
          <w:trHeight w:val="206"/>
        </w:trPr>
        <w:tc>
          <w:tcPr>
            <w:tcW w:w="2080" w:type="dxa"/>
            <w:vAlign w:val="bottom"/>
            <w:gridSpan w:val="2"/>
          </w:tcPr>
          <w:p>
            <w:pPr>
              <w:ind w:left="20"/>
              <w:spacing w:after="0"/>
              <w:rPr>
                <w:sz w:val="20"/>
                <w:szCs w:val="20"/>
                <w:color w:val="auto"/>
              </w:rPr>
            </w:pPr>
            <w:r>
              <w:rPr>
                <w:rFonts w:ascii="Arial" w:cs="Arial" w:eastAsia="Arial" w:hAnsi="Arial"/>
                <w:sz w:val="16"/>
                <w:szCs w:val="16"/>
                <w:color w:val="auto"/>
              </w:rPr>
              <w:t>Loss on impairment and on</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2080" w:type="dxa"/>
            <w:vAlign w:val="bottom"/>
            <w:gridSpan w:val="2"/>
          </w:tcPr>
          <w:p>
            <w:pPr>
              <w:ind w:left="180"/>
              <w:spacing w:after="0"/>
              <w:rPr>
                <w:sz w:val="20"/>
                <w:szCs w:val="20"/>
                <w:color w:val="auto"/>
              </w:rPr>
            </w:pPr>
            <w:r>
              <w:rPr>
                <w:rFonts w:ascii="Arial" w:cs="Arial" w:eastAsia="Arial" w:hAnsi="Arial"/>
                <w:sz w:val="16"/>
                <w:szCs w:val="16"/>
                <w:color w:val="auto"/>
              </w:rPr>
              <w:t>disposal of assets</w:t>
            </w:r>
          </w:p>
        </w:tc>
        <w:tc>
          <w:tcPr>
            <w:tcW w:w="220" w:type="dxa"/>
            <w:vAlign w:val="bottom"/>
          </w:tcPr>
          <w:p>
            <w:pPr>
              <w:spacing w:after="0"/>
              <w:rPr>
                <w:sz w:val="18"/>
                <w:szCs w:val="18"/>
                <w:color w:val="auto"/>
              </w:rPr>
            </w:pPr>
          </w:p>
        </w:tc>
        <w:tc>
          <w:tcPr>
            <w:tcW w:w="580" w:type="dxa"/>
            <w:vAlign w:val="bottom"/>
          </w:tcPr>
          <w:p>
            <w:pPr>
              <w:jc w:val="right"/>
              <w:ind w:right="11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121"/>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0.7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ind w:right="121"/>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color w:val="auto"/>
              </w:rPr>
              <w:t>—</w:t>
            </w:r>
          </w:p>
        </w:tc>
      </w:tr>
      <w:tr>
        <w:trPr>
          <w:trHeight w:val="216"/>
        </w:trPr>
        <w:tc>
          <w:tcPr>
            <w:tcW w:w="2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Change in fair value of</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189"/>
        </w:trPr>
        <w:tc>
          <w:tcPr>
            <w:tcW w:w="20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contingent consideration</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226"/>
        </w:trPr>
        <w:tc>
          <w:tcPr>
            <w:tcW w:w="20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related to earnouts</w:t>
            </w:r>
          </w:p>
        </w:tc>
        <w:tc>
          <w:tcPr>
            <w:tcW w:w="2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0.7</w:t>
            </w:r>
          </w:p>
        </w:tc>
      </w:tr>
      <w:tr>
        <w:trPr>
          <w:trHeight w:val="206"/>
        </w:trPr>
        <w:tc>
          <w:tcPr>
            <w:tcW w:w="2080" w:type="dxa"/>
            <w:vAlign w:val="bottom"/>
            <w:gridSpan w:val="2"/>
          </w:tcPr>
          <w:p>
            <w:pPr>
              <w:ind w:left="20"/>
              <w:spacing w:after="0"/>
              <w:rPr>
                <w:sz w:val="20"/>
                <w:szCs w:val="20"/>
                <w:color w:val="auto"/>
              </w:rPr>
            </w:pPr>
            <w:r>
              <w:rPr>
                <w:rFonts w:ascii="Arial" w:cs="Arial" w:eastAsia="Arial" w:hAnsi="Arial"/>
                <w:sz w:val="16"/>
                <w:szCs w:val="16"/>
                <w:color w:val="auto"/>
              </w:rPr>
              <w:t>Deferred compensation</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2080" w:type="dxa"/>
            <w:vAlign w:val="bottom"/>
            <w:gridSpan w:val="2"/>
          </w:tcPr>
          <w:p>
            <w:pPr>
              <w:ind w:left="180"/>
              <w:spacing w:after="0"/>
              <w:rPr>
                <w:sz w:val="20"/>
                <w:szCs w:val="20"/>
                <w:color w:val="auto"/>
              </w:rPr>
            </w:pPr>
            <w:r>
              <w:rPr>
                <w:rFonts w:ascii="Arial" w:cs="Arial" w:eastAsia="Arial" w:hAnsi="Arial"/>
                <w:sz w:val="16"/>
                <w:szCs w:val="16"/>
                <w:color w:val="auto"/>
              </w:rPr>
              <w:t>related to earnouts</w:t>
            </w:r>
          </w:p>
        </w:tc>
        <w:tc>
          <w:tcPr>
            <w:tcW w:w="22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color w:val="auto"/>
              </w:rPr>
              <w:t>0.5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color w:val="auto"/>
              </w:rPr>
              <w:t>0.4</w:t>
            </w:r>
          </w:p>
        </w:tc>
      </w:tr>
      <w:tr>
        <w:trPr>
          <w:trHeight w:val="253"/>
        </w:trPr>
        <w:tc>
          <w:tcPr>
            <w:tcW w:w="2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4.2</w:t>
            </w:r>
          </w:p>
        </w:tc>
      </w:tr>
      <w:tr>
        <w:trPr>
          <w:trHeight w:val="237"/>
        </w:trPr>
        <w:tc>
          <w:tcPr>
            <w:tcW w:w="2080" w:type="dxa"/>
            <w:vAlign w:val="bottom"/>
            <w:gridSpan w:val="2"/>
          </w:tcPr>
          <w:p>
            <w:pPr>
              <w:ind w:left="20"/>
              <w:spacing w:after="0"/>
              <w:rPr>
                <w:sz w:val="20"/>
                <w:szCs w:val="20"/>
                <w:color w:val="auto"/>
              </w:rPr>
            </w:pPr>
            <w:r>
              <w:rPr>
                <w:rFonts w:ascii="Arial" w:cs="Arial" w:eastAsia="Arial" w:hAnsi="Arial"/>
                <w:sz w:val="16"/>
                <w:szCs w:val="16"/>
                <w:color w:val="auto"/>
              </w:rPr>
              <w:t>Acquisition-related expense</w:t>
            </w:r>
          </w:p>
        </w:tc>
        <w:tc>
          <w:tcPr>
            <w:tcW w:w="220" w:type="dxa"/>
            <w:vAlign w:val="bottom"/>
          </w:tcPr>
          <w:p>
            <w:pPr>
              <w:spacing w:after="0"/>
              <w:rPr>
                <w:sz w:val="20"/>
                <w:szCs w:val="20"/>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color w:val="auto"/>
              </w:rPr>
              <w:t>—</w:t>
            </w:r>
          </w:p>
        </w:tc>
      </w:tr>
      <w:tr>
        <w:trPr>
          <w:trHeight w:val="268"/>
        </w:trPr>
        <w:tc>
          <w:tcPr>
            <w:tcW w:w="20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9.7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18.1</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18.2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11.5</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3.2</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(10.8)</w:t>
            </w: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70"/>
        </w:trPr>
        <w:tc>
          <w:tcPr>
            <w:tcW w:w="2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 margin</w:t>
            </w:r>
          </w:p>
        </w:tc>
        <w:tc>
          <w:tcPr>
            <w:tcW w:w="2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r>
      <w:tr>
        <w:trPr>
          <w:trHeight w:val="229"/>
        </w:trPr>
        <w:tc>
          <w:tcPr>
            <w:tcW w:w="2080" w:type="dxa"/>
            <w:vAlign w:val="bottom"/>
            <w:gridSpan w:val="2"/>
          </w:tcPr>
          <w:p>
            <w:pPr>
              <w:ind w:left="20"/>
              <w:spacing w:after="0" w:line="229" w:lineRule="exact"/>
              <w:rPr>
                <w:sz w:val="20"/>
                <w:szCs w:val="20"/>
                <w:color w:val="auto"/>
              </w:rPr>
            </w:pPr>
            <w:r>
              <w:rPr>
                <w:rFonts w:ascii="Arial" w:cs="Arial" w:eastAsia="Arial" w:hAnsi="Arial"/>
                <w:sz w:val="16"/>
                <w:szCs w:val="16"/>
                <w:color w:val="auto"/>
              </w:rPr>
              <w:t>Adjusted EBITDA margin</w:t>
            </w:r>
            <w:r>
              <w:rPr>
                <w:rFonts w:ascii="Arial" w:cs="Arial" w:eastAsia="Arial" w:hAnsi="Arial"/>
                <w:sz w:val="21"/>
                <w:szCs w:val="21"/>
                <w:color w:val="auto"/>
                <w:vertAlign w:val="superscript"/>
              </w:rPr>
              <w:t>1</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29 %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(12 %)</w:t>
            </w:r>
          </w:p>
        </w:tc>
      </w:tr>
      <w:tr>
        <w:trPr>
          <w:trHeight w:val="230"/>
        </w:trPr>
        <w:tc>
          <w:tcPr>
            <w:tcW w:w="2000" w:type="dxa"/>
            <w:vAlign w:val="bottom"/>
          </w:tcPr>
          <w:p>
            <w:pPr>
              <w:spacing w:after="0"/>
              <w:rPr>
                <w:sz w:val="20"/>
                <w:szCs w:val="20"/>
                <w:color w:val="auto"/>
              </w:rPr>
            </w:pPr>
            <w:r>
              <w:rPr>
                <w:rFonts w:ascii="Arial" w:cs="Arial" w:eastAsia="Arial" w:hAnsi="Arial"/>
                <w:sz w:val="18"/>
                <w:szCs w:val="18"/>
                <w:color w:val="auto"/>
              </w:rPr>
              <w:t>______________</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bl>
    <w:p>
      <w:pPr>
        <w:spacing w:after="0" w:line="35"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Represents adjusted EBITDA as a percentage of revenue.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Trends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Revenue in each of the quarters in 2019 was higher than revenue in the same quarter of the prior year from an increase in MUU. The slight decrease in revenue in the fourth quarter of 2019 from the third quarter of 2019 was due primarily to seasonal trends in our credit cards business. Revenue in the first quarter of 2020 increased primarily due to an increase in sales and marketing expenses driving an increase in MUU. Revenue in the remaining three quarters of 2020 was lower relative to the first quarter as a result of the economic impacts of the COVID-19 pandemic, which caused fewer financial services partners to market credit cards through our platform due to the economic uncertainty in 2020. Revenue in the third and fourth quarter of 2020 improved relative to the second quarter primarily due to higher consumer demand for mortgage loans in the low interest rate environment. Revenue in the first half of 2021 increased primarily due to the accelerating economic recovery from the COVID-19 pandemic and our increased sales and marketing efforts.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revenue</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a quarterly basis, cost of revenue generally increased for all periods presented primarily due to higher amortization of capitalized software development cost related to our continued investment in research and development. As a percentage of revenue, cost of revenue was relatively consistent in 2019 and the first quarter of 2020, but increased for the last three quarters of 2020 primarily because costs represented a greater proportion of lower revenue during the COVID-19 pandemic. Cost of revenue as a percentage of revenue for the first half of 2021 decreased primarily due to higher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69</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 quarterly basis, research and development expense generally increased for most quarters presented primarily driven by increased personnel-related expenses and allocated overhead due to increased headcount. Research and development expense as a percentage of revenue remained generally consistent in both 2019 and 2020, with the exception of the first quarter of 2020 and the first half of 2021, when we experienced an increase in revenue in the respective quarters.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 expense</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a quarterly basis, sales and marketing expense generally increased throughout 2019 and the first quarter of 2020, but decreased for the last three quarters of 2020 as we substantially decreased marketing efforts in response to the COVID-19 pandemic. Sales and marketing expense in the first half of 2021 increased as we increased both brand and performance marketing as the COVID-19 headwinds continued to subside in 2021. Sales and marketing expense as a percentage of revenue fluctuated in each period presented primarily due to the timing of our brand marketing to increase our brand awareness.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w:t>
      </w:r>
    </w:p>
    <w:p>
      <w:pPr>
        <w:spacing w:after="0" w:line="17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On a quarterly basis, general and administrative expense has generally increased sequentially, primarily attributable to higher levels of professional and consulting service fees, acquisition-related expenses and personnel-related costs resulting from increased headcount to support growth in our business.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 provision (benefit)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 quarterly basis, income tax provision (benefit) as a percentage of revenue remained relatively consistent in 2019, with the exception of the fourth quarter during which we recognized an income tax benefit related to the release of reserves for uncertain tax positions due to expiration of the statute of limitations. Our quarterly income tax provision (benefit) fluctuated in 2020 and the first half of 2021 primarily due to fluctuations in our income (loss) before taxes and excess tax benefits related to stock-based compensation. Additionally, in the first half of 2021, we recognized income tax expense related to nondeductible contingent consideration.</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Adjusted EBITDA</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 quarterly basis, adjusted EBITDA has generally fluctuated based on our net income (loss) and our level of investment in growth initiatives including through acquisitions, as most significantly reflected in our depreciation and amortization expense, stock-based compensation expense and, for the first quarter of 2021, the change in fair value of contingent consideration related to earnouts.</w:t>
      </w:r>
    </w:p>
    <w:p>
      <w:pPr>
        <w:spacing w:after="0" w:line="126" w:lineRule="exact"/>
        <w:rPr>
          <w:sz w:val="20"/>
          <w:szCs w:val="20"/>
          <w:color w:val="auto"/>
        </w:rPr>
      </w:pPr>
    </w:p>
    <w:p>
      <w:pPr>
        <w:jc w:val="center"/>
        <w:ind w:right="8240"/>
        <w:spacing w:after="0"/>
        <w:rPr>
          <w:sz w:val="20"/>
          <w:szCs w:val="20"/>
          <w:color w:val="auto"/>
        </w:rPr>
      </w:pPr>
      <w:r>
        <w:rPr>
          <w:rFonts w:ascii="Arial" w:cs="Arial" w:eastAsia="Arial" w:hAnsi="Arial"/>
          <w:sz w:val="16"/>
          <w:szCs w:val="16"/>
          <w:b w:val="1"/>
          <w:bCs w:val="1"/>
          <w:color w:val="auto"/>
        </w:rPr>
        <w:t>Liquidity, Cash Flows, and Obligations</w:t>
      </w:r>
    </w:p>
    <w:p>
      <w:pPr>
        <w:spacing w:after="0" w:line="198" w:lineRule="exact"/>
        <w:rPr>
          <w:sz w:val="20"/>
          <w:szCs w:val="20"/>
          <w:color w:val="auto"/>
        </w:rPr>
      </w:pPr>
    </w:p>
    <w:p>
      <w:pPr>
        <w:jc w:val="center"/>
        <w:ind w:right="820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Since our inception, we have financed our operations primarily through cash generated from operations and, to a lesser extent, sales of our common and preferred stock, and borrowings under our credit facilities. As of December 31, 2019 and 2020, we had cash and cash equivalents of $67.6 million and $83.4 million, respectively. As of June 30, 2021, we had cash and cash equivalents of $41.1 million.</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primary liquidity needs are related to the funding of general business requirements, including working capital requirements, research and development, and capital expenditures.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six months ended June 30, 2021, we repurchased Class F common stock for $12.4 million and Series A redeemable convertible preferred stock for $2.1 million. Additionally, we paid $2.4 million for option cancellations with a member of our board of directors and an affiliated entity. We also received proceeds from exercised stock options, increasing cash by $5.8 million. A lease signed in April 2021 for the sublease of new office space in San Francisco which is expected to commence in the fourth quarter of 2021 will also cost up to $0.2 million per month. For the year ended December 31, 2019, there was an inflow of $31.4 million cash from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70</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4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activities, which was offset by $14.8 million of cash used in investing activities. For the year ended December 31, 2020, there was an inflow of $15.4 million cash from operating activities and $54.3 million from a primary stock issuance of Class A common stock, which was offset by $55.4 million used in investing activities, of which $36.7 million was spent on business combinations. In order to grow our business, we intend to increase our personnel and related expenses and to make significant investments in our business. The timing and amount of these investments will vary based on our financial condition, the rate at which we add new personnel and the scale of our development, as well as the extent and duration of the COVID-19 pandemic and its impact on the macro-economic environment.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and other investments principally with cash flows from operations, and to the extent that our liquidity needs exceed our cash from operations, we would look to our cash on hand to satisfy those needs.</w:t>
      </w:r>
    </w:p>
    <w:p>
      <w:pPr>
        <w:spacing w:after="0" w:line="11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believe our current cash and cash equivalents, future cash flow from operations, and access to our credit facility will be sufficient to meet our ongoing working capital, capital expenditure and other liquidity requirements for at least twelve months from the date of this filing. If necessary, we may borrow up to $100 million under a credit agreement with Silicon Valley Bank and certain other lenders, subject to borrowing conditions. We had outstanding debt of $5.0 million outstanding under a prior credit facility as of December 31, 2019 and no outstanding balance on our current facility as of December 31, 2020 or June 30, 2021. Our current facility contains certain financial and non-financial covenants. We were in compliance with all covenants as of December 31, 2020 and June 30, 2021. For additional information on these covenants, refer to Note 7 – Debt in the notes to the accompanying consolidated financial statements.</w:t>
      </w:r>
    </w:p>
    <w:p>
      <w:pPr>
        <w:spacing w:after="0" w:line="1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future capital requirements may vary materially from those planned and will depend on certain factors, such as our growth and our operating results. If we require additional capital resources to grow our business or to acquire complementary technologies and businesses in the future, we may seek to sell additional equity or raise funds through debt financing or other sources. We cannot provide assurance that additional financing will be available at all or on terms favorable to us.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460" w:type="dxa"/>
            <w:vAlign w:val="bottom"/>
            <w:gridSpan w:val="4"/>
          </w:tcPr>
          <w:p>
            <w:pPr>
              <w:jc w:val="right"/>
              <w:ind w:right="96"/>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520" w:type="dxa"/>
            <w:vAlign w:val="bottom"/>
            <w:gridSpan w:val="4"/>
          </w:tcPr>
          <w:p>
            <w:pPr>
              <w:jc w:val="right"/>
              <w:ind w:right="561"/>
              <w:spacing w:after="0"/>
              <w:rPr>
                <w:sz w:val="20"/>
                <w:szCs w:val="20"/>
                <w:color w:val="auto"/>
              </w:rPr>
            </w:pPr>
            <w:r>
              <w:rPr>
                <w:rFonts w:ascii="Arial" w:cs="Arial" w:eastAsia="Arial" w:hAnsi="Arial"/>
                <w:sz w:val="14"/>
                <w:szCs w:val="14"/>
                <w:b w:val="1"/>
                <w:bCs w:val="1"/>
                <w:color w:val="auto"/>
              </w:rPr>
              <w:t>Six Months Ended June 30,</w:t>
            </w:r>
          </w:p>
        </w:tc>
      </w:tr>
      <w:tr>
        <w:trPr>
          <w:trHeight w:val="25"/>
        </w:trPr>
        <w:tc>
          <w:tcPr>
            <w:tcW w:w="52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5"/>
        </w:trPr>
        <w:tc>
          <w:tcPr>
            <w:tcW w:w="5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501"/>
              <w:spacing w:after="0"/>
              <w:rPr>
                <w:sz w:val="20"/>
                <w:szCs w:val="20"/>
                <w:color w:val="auto"/>
              </w:rPr>
            </w:pPr>
            <w:r>
              <w:rPr>
                <w:rFonts w:ascii="Arial" w:cs="Arial" w:eastAsia="Arial" w:hAnsi="Arial"/>
                <w:sz w:val="14"/>
                <w:szCs w:val="14"/>
                <w:b w:val="1"/>
                <w:bCs w:val="1"/>
                <w:color w:val="auto"/>
              </w:rPr>
              <w:t>2021</w:t>
            </w:r>
          </w:p>
        </w:tc>
      </w:tr>
      <w:tr>
        <w:trPr>
          <w:trHeight w:val="25"/>
        </w:trPr>
        <w:tc>
          <w:tcPr>
            <w:tcW w:w="52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5"/>
        </w:trPr>
        <w:tc>
          <w:tcPr>
            <w:tcW w:w="5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
        </w:trPr>
        <w:tc>
          <w:tcPr>
            <w:tcW w:w="5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(14.8)</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(55.4)</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7"/>
        </w:trPr>
        <w:tc>
          <w:tcPr>
            <w:tcW w:w="5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67"/>
        </w:trPr>
        <w:tc>
          <w:tcPr>
            <w:tcW w:w="520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920" w:type="dxa"/>
            <w:vAlign w:val="bottom"/>
          </w:tcPr>
          <w:p>
            <w:pPr>
              <w:spacing w:after="0"/>
              <w:rPr>
                <w:sz w:val="23"/>
                <w:szCs w:val="23"/>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92"/>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920" w:type="dxa"/>
            <w:vAlign w:val="bottom"/>
            <w:tcBorders>
              <w:top w:val="single" w:sz="8" w:color="auto"/>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92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For the six months ended June 30, 2020, cash provided by operating activities was $8.6 million. The primary factors affecting our operating cash flows during the period included net income of $3.1 million, adjusted for non-cash charges of $11.8 million and net cash outflow of $6.3 million from changes in operating assets and liabilities. Non-cash charges primarily consisted of $6.3 million in depreciation and amortization, $3.0 million in stock-based compensation and $3.3 million in non-cash lease costs. The net cash outflow from changes in operating assets and liabilities was primarily due to a $3.5 million decrease in accrued and other current liabilities due to a decrease in accrued marketing expenses, and a $3.5 million decrease in operating lease liabilities primarily from lease payments, partially offset by a $3.7 million increase in accounts receivable due to an increase in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71</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4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For the six months ended June 30, 2021, cash used in operating activities was $18.1 million. The primary factors affecting our operating cash flows during the period included net loss of $26.8 million, adjusted for non-cash charges of $20.5 million and net cash outflow of $11.8 million from changes in operating assets and liabilities. Non-cash charges primarily consisted of $12.8 million in depreciation and amortization, $7.7 million in change in fair value of contingent consideration related to earnouts, $6.5 million in stock-based compensation, and $3.8 million in non-cash lease costs. These changes were partially offset by $9.2 million in deferred taxes and $1.2 million in other gains, net. The net cash outflow from changes in operating assets and liabilities was primarily due to a $17.6 million increase in accounts receivable due to an increase in revenue, a $4.2 million decrease in operating lease liabilities primarily from lease payments, and a $4.3 million increase in prepaid expenses and other assets due to an increase in contract assets and prepaid software. These changes were partially offset by a $14.2 million increase in accrued and other current liabilities due to an increase in accrued marketing expenses.</w:t>
      </w:r>
    </w:p>
    <w:p>
      <w:pPr>
        <w:spacing w:after="0" w:line="11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For the year ended December 31, 2019, cash provided by operating activities was $31.4 million. The primary factors affecting our operating cash flows during the period included net income of $24.2 million, adjusted for non-cash charges of $23.5 million and net cash outflow of $16.3 million from changes in operating assets and liabilities. Non-cash charges primarily consisted of $9.4 million in depreciation and amortization, $0.2 million from loss on disposal of assets, $1.1 million in impairment of capitalized software development costs, $0.5 million of loss on in the remeasurement of the embedded derivative in long-term debt, $5.0 million in stock-based compensation, $1.4 million in deferred taxes, and $6.3 million in non-cash lease costs. These changes were partially offset by a $0.4 million in non-cash amortization of debt premium. The net cash outflow from changes in operating assets and liabilities was primarily due to a $12.9 million increase in accounts receivable due to an increase in revenue, a $0.7 million increase in prepaid expenses and other assets due to an increase in contract assets and prepaid software, offset by a decrease in prepaid income tax, a $0.3 million decrease in accounts payable, a $6.2 million decrease in operating lease liabilities primarily from lease payments during the period, and a $1.3 million decrease in other liabilities due to the elimination of deferred rent upon adoption of Topic 842. These changes were partially offset by a $5.1 million increase in accrued and other current liabilities due to an increase in accrued marketing expenses.</w:t>
      </w:r>
    </w:p>
    <w:p>
      <w:pPr>
        <w:spacing w:after="0" w:line="12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For the year ended December 31, 2020, cash provided by operating activities was $15.4 million. The primary factors affecting our operating cash flows during the period included net income of $5.3 million, adjusted for non-cash charges of $22.8 million and net cash outflow of $12.7 million from changes in operating assets and liabilities. Non-cash charges primarily consisted of $15.1 million in depreciation and amortization, $0.2 million in impairment of capitalized software development costs, $0.1 million of loss on in the remeasurement of the embedded derivative in long-term debt, $6.4 million in stock-based compensation, and $6.8 million in non-cash lease costs. These changes were partially offset by $0.4 million in non-cash amortization of debt premium, $0.8 million in change in fair value of contingent consideration related to earnouts, and $4.6 million in deferred taxes. The net cash outflow from changes in operating assets and liabilities was primarily due to a $4.8 million increase in prepaid expenses and other assets, a $5.3 million decrease in accrued and other current liabilities due to a decrease in accrued marketing expenses, a $7.1 million decrease in operating lease liabilities primarily from lease payments during the period, and a $0.1 million decrease in other liabilities due to an increase in deferred payroll taxes. These changes were partially offset by a $1.0 million decrease in accounts receivable and a $3.6 million increase in accounts payable related to an increase in marketing expenses.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 six months ended June 30, 2020, cash used in investing activities was $9.5 million, which consisted of capitalization of software development costs of $8.6 million and purchases of property and equipment of $0.9 million.</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six months ended June 30, 2021, cash used in investing activities was $10.8 million, which consisted of capitalization of software development costs of $10.4 million and purchases of property and equipment of $0.4 million.</w:t>
      </w:r>
    </w:p>
    <w:p>
      <w:pPr>
        <w:spacing w:after="0" w:line="1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For the year ended December 31, 2019, cash used in investing activities was $14.8 million. The primary factors affecting our investing cash flows during the period included capitalization of software development costs of $14.1 million and purchase of property and equipment of $0.7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72</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year ended December 31, 2020, cash used in investing activities was $55.4 million. The primary factors affecting our investing cash flows during the period included business combinations of $36.7 million, capitalization of software development costs of $17.4 million, and purchase of property and equipment of $1.3 million.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six months ended June 30, 2020, cash provided by financing activities was $4.6 million. The primary factor affecting our financing cash flows during the period was proceeds of $5.1 million from the exercise of stock options.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six months ended June 30, 2021, cash used in financing activities was $13.5 million. The primary factors affecting our financing cash flows during the period included $12.4 million of cash used to repurchase Class F common stock from our chief executive officer, $2.1 million of cash used to repurchase Series A preferred stock from a member of our board of directors, $1.4 million of cash used as consideration for the cancellation of stock options, and $1.0 million of tax payments made related to net-share settlement on restricted stock units (RSUs). Cash used was partially offset by proceeds of $5.8 million from the exercise of stock options.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year ended December 31, 2019, cash used in financing activities was $1.4 million. The primary factors affecting our financing cash flows during the period included proceeds of $1.7 million from the exercise of stock options offset by $2.3 million of cash used to repurchase Class A common stock and $0.8 million of cash used as consideration for the cancellation of stock options.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year ended December 31, 2020, cash provided by financing activities was $55.7 million. The primary factors affecting our financing cash flows during the period included net proceeds of $54.3 million from the issuance of Class A common stock, and proceeds of $8.4 million from the exercise of stock options. Proceeds were partially offset by $5.0 million of principal repayments made on our credit facility, $1.2 million of repurchases of Class A common stock, $0.4 million of consideration for the cancellation of stock options and $0.4 million of tax payments made related to net-share settlements on RSUs.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Up to and including the six months ended June 30, 2021, we have not had any relationships with unconsolidated entities or financial partnerships for the purpose of facilitating off-balance sheet arrangements. As a result, we are not exposed to related financing, liquidity, market or credit risks that could arise if we had engaged in those types of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73</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principal contractual commitments consist of obligations under operating leases for real estate facilities and general office equipment, and our obligation under our long-term debt. Our long-term debt consists of promissory notes totaling $28.5 million. The notes bear interest at a rate of 4.2922% and mature in January 2026. In the event of a deemed liquidation event or initial public offering while the notes remain outstanding, we must repay the notes in an amount equal to the outstanding principal plus an unpaid accrued interest, to the extent there are proceeds available after payment of senior obligations. The following table summarizes our consolidated principal contractual cash obligations, as of December 31, 2020 for the periods presented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0" w:type="dxa"/>
            <w:vAlign w:val="bottom"/>
            <w:gridSpan w:val="5"/>
          </w:tcPr>
          <w:p>
            <w:pPr>
              <w:jc w:val="right"/>
              <w:ind w:right="336"/>
              <w:spacing w:after="0"/>
              <w:rPr>
                <w:sz w:val="20"/>
                <w:szCs w:val="20"/>
                <w:color w:val="auto"/>
              </w:rPr>
            </w:pPr>
            <w:r>
              <w:rPr>
                <w:rFonts w:ascii="Arial" w:cs="Arial" w:eastAsia="Arial" w:hAnsi="Arial"/>
                <w:sz w:val="14"/>
                <w:szCs w:val="14"/>
                <w:b w:val="1"/>
                <w:bCs w:val="1"/>
                <w:color w:val="auto"/>
                <w:w w:val="94"/>
              </w:rPr>
              <w:t>Payments Due by Period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Less Than 1 Year</w:t>
            </w:r>
          </w:p>
        </w:tc>
        <w:tc>
          <w:tcPr>
            <w:tcW w:w="240" w:type="dxa"/>
            <w:vAlign w:val="bottom"/>
          </w:tcPr>
          <w:p>
            <w:pPr>
              <w:spacing w:after="0"/>
              <w:rPr>
                <w:sz w:val="16"/>
                <w:szCs w:val="16"/>
                <w:color w:val="auto"/>
              </w:rPr>
            </w:pPr>
          </w:p>
        </w:tc>
        <w:tc>
          <w:tcPr>
            <w:tcW w:w="1080" w:type="dxa"/>
            <w:vAlign w:val="bottom"/>
          </w:tcPr>
          <w:p>
            <w:pPr>
              <w:jc w:val="right"/>
              <w:ind w:right="295"/>
              <w:spacing w:after="0"/>
              <w:rPr>
                <w:sz w:val="20"/>
                <w:szCs w:val="20"/>
                <w:color w:val="auto"/>
              </w:rPr>
            </w:pPr>
            <w:r>
              <w:rPr>
                <w:rFonts w:ascii="Arial" w:cs="Arial" w:eastAsia="Arial" w:hAnsi="Arial"/>
                <w:sz w:val="14"/>
                <w:szCs w:val="14"/>
                <w:b w:val="1"/>
                <w:bCs w:val="1"/>
                <w:color w:val="auto"/>
              </w:rPr>
              <w:t>1-3 Years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3-5 Years</w:t>
            </w: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rPr>
              <w:t>More Than 5 Years</w:t>
            </w:r>
          </w:p>
        </w:tc>
        <w:tc>
          <w:tcPr>
            <w:tcW w:w="340" w:type="dxa"/>
            <w:vAlign w:val="bottom"/>
          </w:tcPr>
          <w:p>
            <w:pPr>
              <w:spacing w:after="0"/>
              <w:rPr>
                <w:sz w:val="16"/>
                <w:szCs w:val="16"/>
                <w:color w:val="auto"/>
              </w:rPr>
            </w:pPr>
          </w:p>
        </w:tc>
        <w:tc>
          <w:tcPr>
            <w:tcW w:w="1140" w:type="dxa"/>
            <w:vAlign w:val="bottom"/>
          </w:tcPr>
          <w:p>
            <w:pPr>
              <w:jc w:val="right"/>
              <w:ind w:right="4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4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commitments</w:t>
            </w:r>
            <w:r>
              <w:rPr>
                <w:rFonts w:ascii="Arial" w:cs="Arial" w:eastAsia="Arial" w:hAnsi="Arial"/>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r>
              <w:rPr>
                <w:rFonts w:ascii="Arial" w:cs="Arial" w:eastAsia="Arial" w:hAnsi="Arial"/>
                <w:sz w:val="23"/>
                <w:szCs w:val="23"/>
                <w:color w:val="auto"/>
                <w:vertAlign w:val="superscript"/>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Consists of future non-cancelable minimum rental payments under operating leases for our real estate facilities and general office equipment.</w:t>
      </w:r>
    </w:p>
    <w:p>
      <w:pPr>
        <w:spacing w:after="0" w:line="43" w:lineRule="exact"/>
        <w:rPr>
          <w:rFonts w:ascii="Arial" w:cs="Arial" w:eastAsia="Arial" w:hAnsi="Arial"/>
          <w:sz w:val="14"/>
          <w:szCs w:val="14"/>
          <w:color w:val="auto"/>
        </w:rPr>
      </w:pPr>
    </w:p>
    <w:p>
      <w:pPr>
        <w:ind w:left="340" w:hanging="332"/>
        <w:spacing w:after="0" w:line="289" w:lineRule="auto"/>
        <w:tabs>
          <w:tab w:leader="none" w:pos="332"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above table does not reflect expected tax payments and unrecognized tax benefits due to the inability to make reasonably reliable estimates of the timing and amount of payments. For additional discussion on unrecognized tax benefits, see Note 11</w:t>
      </w:r>
      <w:r>
        <w:rPr>
          <w:rFonts w:ascii="Arial" w:cs="Arial" w:eastAsia="Arial" w:hAnsi="Arial"/>
          <w:sz w:val="17"/>
          <w:szCs w:val="17"/>
          <w:color w:val="auto"/>
        </w:rPr>
        <w:t>–</w:t>
      </w:r>
      <w:r>
        <w:rPr>
          <w:rFonts w:ascii="Arial" w:cs="Arial" w:eastAsia="Arial" w:hAnsi="Arial"/>
          <w:sz w:val="14"/>
          <w:szCs w:val="14"/>
          <w:color w:val="auto"/>
        </w:rPr>
        <w:t xml:space="preserve"> Income Taxes in the notes to the accompanying consolidated financial statements.</w:t>
      </w:r>
    </w:p>
    <w:p>
      <w:pPr>
        <w:spacing w:after="0" w:line="1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Additionally, a lease signed in April 2021 for the sublease of new office space in San Francisco which is expected to commence in the fourth quarter of 2021 will cost up to $0.2 million per month.</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financial statements, which have been prepared in accordance with accounting policies as provided within U.S. GAAP. The preparation of these financial statements requires us to make estimates and judgments that affect the reported amounts of assets, liabilities, revenues, expenses, and related disclosures. On an ongoing basis, we evaluate our estimates and assumptions. We base our estimates on historical experience and on various other assumptions that are believed to be reasonable. Actual results may differ from these estimates under different assumptions or conditions.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accounting policies we believe to be most critical to understanding our financial condition and results of operations are discussed below. For a comprehensive list of all significant accounting policies refer to Note 1 – The Company and its Significant Accounting Policies in the notes to the accompanying consolidated financial statements.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recognize revenue from fees paid by our financial services partners in the form of either revenue per action, revenue per click, revenue per lead, and revenue per funded loan arrangements. Services are generally transferred to the customer at a point in time and the performance obligation is a series of distinct actions, leads, or clicks.</w:t>
      </w:r>
    </w:p>
    <w:p>
      <w:pPr>
        <w:spacing w:after="0" w:line="13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For some of our arrangements, under ASC 606 (Revenue from Contracts with Customers) our contractual right to fees is not contemporaneous with the satisfaction of the performance obligation to match the consumer with the customer. As a result, the transaction price is considered variable and an estimate of the constrained transaction price is recorded as revenue when the match occurs, subject to a constraint. Constrained revenue is recognized to the extent that it is probable that a significant reversal in the amount of cumulative revenue recognized will not occur. After our initial estimate and constraints are made, we reassess our estimates and constraints at the end of each reporting period. Various factors are analyzed to estimate the constrained revenue, including historical approval rates and historical time between when a consumer request for a financial product is delivered to a financial services partner and when the financial product is approved by such financial services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74</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Valuation of Goodwill and Intangible Assets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Goodwill represents the excess of the purchase price over the fair value of net assets acquired in a business combination. We have one reporting unit. We test goodwill for impairment annually or more frequently when an event occurs or circumstances change that indicate the carrying value may not be recoverable. As a result of the goodwill impairment assessment in 2019 and 2020, we determined that it was not more likely than not that the fair value of its single reporting unit was less than its carrying amount. As such, goodwill was not impaired during the years ended December 31, 2019 and December 31, 2020, or the six months ended June 30, 2021.</w:t>
      </w:r>
    </w:p>
    <w:p>
      <w:pPr>
        <w:spacing w:after="0" w:line="13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evaluate intangible assets and other long-lived assets for impairment whenever events or circumstances indicate that they may not be recoverable. Recoverability is assessed by comparing the carrying amount of an asset group to future undiscounted net cash flows expected to be generated. If the carrying amount of an asset group is not recoverable, an impairment loss is recognized if the carrying amount exceeds the fair value of the asset group. We group assets for purposes of such review at the lowest level for which identifiable cash flows of the asset group are largely independent of the cash flows of the other groups of assets and liabilities. Unforeseen events, changes in circumstances and market conditions and material differences in estimates of future cash flows could adversely affect the fair value of our assets and could result in future impairment charges.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recorded contingent consideration in connection with certain business combinations that require us to pay cash consideration to the seller upon achievement of certain metrics during the years ending December 31, 2021 and 2022. We record the fair value of contingent consideration at the date of the acquisition and measure it using unobservable, Level 3 inputs, due to the absence of quoted market prices. Subsequent to the acquisition date, at each reporting date, the contingent consideration liability is remeasured to fair value with changes in fair value recorded in operating expenses, net on the consolidated statement of operations. We value contingent consideration using a Monte Carlo simulation model, which requires critical estimates to be made, including projected financial information, market volatility, risk-adjusted discount rates and timing of contractual payments. Changes in any one of these inputs may result in a significantly different fair value of the contingent consideration.</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Tax Asset Valuation Allowances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part of fulfilling the requirement to reduce the measurement of deferred tax assets that are not expected to be realized, we consider all available evidence, both positive and negative, to determine whether, based on the weight of that evidence, a valuation allowance for deferred tax assets is needed. In assessing the adequacy of recognized valuation allowances, we consider all available evidence to estimate if sufficient taxable income will be generated in the future to utilize the existing deferred tax assets by jurisdiction. This consideration includes a variety of factors such as historical and projected future taxable income and prudent and feasible tax planning strategies.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June 30, 2021, we had net deferred tax assets of $13.2 million for which we had not recorded a valuation allowance. Our judgment regarding the likelihood of realization of these deferred tax assets could change in future periods, which could result in a material increase in our income tax provision in the period of change.</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Based on our ongoing assessment of all available positive and negative evidence, including consideration of our future operating model and the expected impacts on our profitability, we believe that there is an increased likelihood that a valuation allowance will be recorded against our deferred tax assets as early as the quarter ended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75</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Prior to completion of this offering, as our common shares were not listed on a public marketplace, the calculation of the fair value of our common shares was subject to a greater degree of estimation in determining the basis for share-based awards that were issued. Given the absence of a public market, we were required to estimate the fair value of the common shares at the time of each grant.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have granted stock-based awards consisting primarily of stock options and RSUs to employees and non-employees. We estimate the grant date fair value of stock options granted to employees and nonemployees using the Black-Scholes option-pricing model. The fair value of stock options that is expected to vest is recognized as compensation expense on a straight-line basis over the requisite service period, which is typically the vesting period of the respective awards. We recognize forfeitures as they occur for equity awards with only a service condition, rather than estimate expected forfeitures.</w:t>
      </w:r>
    </w:p>
    <w:p>
      <w:pPr>
        <w:spacing w:after="0" w:line="10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Black-Scholes-Merton option-pricing model considers several variables and assumptions in estimating the grant date fair value of stock-based awards. These assumptions include:</w:t>
      </w:r>
    </w:p>
    <w:p>
      <w:pPr>
        <w:spacing w:after="0" w:line="116" w:lineRule="exact"/>
        <w:rPr>
          <w:sz w:val="20"/>
          <w:szCs w:val="20"/>
          <w:color w:val="auto"/>
        </w:rPr>
      </w:pPr>
    </w:p>
    <w:p>
      <w:pPr>
        <w:jc w:val="both"/>
        <w:ind w:left="660" w:hanging="328"/>
        <w:spacing w:after="0" w:line="263"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Fair Value of Class A Common Stock</w:t>
      </w:r>
      <w:r>
        <w:rPr>
          <w:rFonts w:ascii="Arial" w:cs="Arial" w:eastAsia="Arial" w:hAnsi="Arial"/>
          <w:sz w:val="18"/>
          <w:szCs w:val="18"/>
          <w:color w:val="auto"/>
        </w:rPr>
        <w:t>—Because our Class A common stock is not yet publicly traded, we must estimate the fair value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Class A common stock. Our board of directors considers numerous objective and subjective factors to determine the fair value of our Class A common stock as discussed in “Common Stock Valuations” below.</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stock-based awards are expected to be outstanding. We estimate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term based on the simplified method.</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—Expected volatility is a measure of the amount by which the stock price is expected to fluctuate. Since we do not have</w:t>
      </w:r>
      <w:r>
        <w:rPr>
          <w:rFonts w:ascii="Arial" w:cs="Arial" w:eastAsia="Arial" w:hAnsi="Arial"/>
          <w:sz w:val="18"/>
          <w:szCs w:val="18"/>
          <w:i w:val="1"/>
          <w:iCs w:val="1"/>
          <w:color w:val="auto"/>
        </w:rPr>
        <w:t xml:space="preserve"> </w:t>
      </w:r>
      <w:r>
        <w:rPr>
          <w:rFonts w:ascii="Arial" w:cs="Arial" w:eastAsia="Arial" w:hAnsi="Arial"/>
          <w:sz w:val="18"/>
          <w:szCs w:val="18"/>
          <w:color w:val="auto"/>
        </w:rPr>
        <w:t>sufficient trading history of our Class A common stock, we estimate the expected volatility by taking the average historical volatility of a group of comparable publicly traded companies over a period equal to the expected term of the awards.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yield in effect at the time of grant for zero-coupon U.S.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notes with maturities approximately equal to the expected term of the stock option award.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Expected Dividend</w:t>
      </w:r>
      <w:r>
        <w:rPr>
          <w:rFonts w:ascii="Arial" w:cs="Arial" w:eastAsia="Arial" w:hAnsi="Arial"/>
          <w:sz w:val="17"/>
          <w:szCs w:val="17"/>
          <w:color w:val="auto"/>
        </w:rPr>
        <w:t>—We utilize a dividend yield of zero, as we do not currently issue dividends, nor do we expect to do so in the future.</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 of RSUs is estimated based on the fair value of our Class A common stock on the date of grant. The fair value of RSUs that are expected to vest is recognized as compensation expense over the requisite service period.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Prior to this offering, given the absence of a public trading market for our Class A common stock, and in accordance with the American Institute of Certified Public Accountants Accounting and Valuation Guide, Valuation of Privately-Held Company Equity Securities Issued as Compensation, our board of directors exercised its reasonable judgment and considered numerous objective and subjective factors to determine the best estimate of fair value of our Class A common stock underlying the stock options and RSUs, including:</w:t>
      </w:r>
    </w:p>
    <w:p>
      <w:pPr>
        <w:spacing w:after="0" w:line="133"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contemporaneous valuations of our Class A common stock by an independent valuation specialist;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prices at which others have sold our common and redeemable convertible preferred stock to outside investors in arms-length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76</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44"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rights, preferences, and privileges of our redeemable convertible preferred stock relative to those of our Class A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financial condition, results of operations, and capital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industry outlook;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fact that option and RSU grants have involved rights in illiquid securities in a private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valuation of comparable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lack of marketability of our Class A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likelihood of achieving a liquidity event, such as an initial public offering or a sale of our company given prevailing market conditions;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history and nature of our business, industry trends, and competitive environment;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general economic outlook including economic growth, inflation, unemployment, interest rate environment, and global economic trends.</w:t>
      </w:r>
    </w:p>
    <w:p>
      <w:pPr>
        <w:spacing w:after="0" w:line="18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To determine the fair value of our Class A common stock, we first determined our enterprise value and then allocated that enterprise value among the various classes of our equity securities. Our enterprise value was estimated using two generally accepted approaches: the income approach and the market approach. The income approach estimates enterprise value based on the estimated present value of future cash flows the business is expected to generate over its remaining life. The estimated present value is calculated using a discount rate reflective of the risks associated with an investment in a similar company in a similar industry or having a similar history of revenue growth. The market approach measures the value of a business through an analysis of recent sales or offerings of comparable investments or assets, and in our case, focused on comparing us to a group of our peer companies. In applying this method, valuation multiples are derived from historical operating data of the peer company group. We then apply multiples to our operating data to arrive at a range of indicated values of the company.</w:t>
      </w:r>
    </w:p>
    <w:p>
      <w:pPr>
        <w:spacing w:after="0" w:line="12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addition, we also considered any secondary transactions, including third party tender offers, involving our capital stock. In our evaluation of those transactions, we considered the facts and circumstances of each transaction to determine the extent to which they represented a fair value exchange and assigned the transactions an appropriate weighting in the valuation of our Class A common stock. Factors considered include the number of different buyers and sellers, transaction volume, timing relative to the valuation date, whether the transactions occurred between willing and unrelated parties, and whether the transactions involved investors with access to our financial information.</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Application of these approaches and methodologies involves the use of estimates, judgments, and assumptions that are highly complex and subjective, such as those regarding our expected future revenue, expenses, and future cash flows, discount rates, market multiples, the selection of comparable public companies, and the probability of and timing associated with possible future events. Changes in any or all of these estimates and assumptions or the relationships between those assumptions impact our valuations as of each valuation date and may have a material impact on the valuation of our Class A common stock.</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valuations after the closing of this offering, our board of directors will determine the fair value of each share of underlying Class A common stock based on the closing price of our Class A common stock as reported on the date of grant.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information on recent accounting pronouncements, see Note 1 – The Company and its Significant Accounting Policies in the notes to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77</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Most of our revenue is generated in U.S. dollars, with the remainder generated in British pounds sterling. Our expenses are generally denominated in the currencies of the jurisdictions in which we conduct our operations, which are primarily in the U.S. and UK. Our results of current and future operations and cash flows are, therefore, subject to fluctuations due to changes in foreign currency exchange rates. The effect of a hypothetical 10% change in foreign currency exchange rates applicable to our business would not have had a material impact on our historical consolidated financial statements for the years ended December 31, 2020 and 2019 or for the six months ended June 30, 2021.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cash and cash equivalents primarily consist of cash on hand and highly liquid investments in money market instruments and U.S. government securities. We had cash and cash equivalents of $83.4 million and $41.1 million as of December 31, 2020 and June 30, 2021, respectively. We do not enter into investments for trading or speculative purposes. Our investments are exposed to market risk due to fluctuations in interest rates, which may affect our interest income and the fair market value of our investments. However, due to the short-term nature of our investment portfolio, we do not believe an immediate 10% increase or decrease in interest rates would have a material effect on the fair market value of our portfolio.</w:t>
      </w:r>
    </w:p>
    <w:p>
      <w:pPr>
        <w:spacing w:after="0" w:line="10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therefore do not expect our operating results or cash flows to be materially affected by a sudden change in market interest rates due to changes in the fair market value of our portfolio. However, changes in market interest rates could adversely impact our business, financial condition and results of operations. For additional information, see the sections titled “Risk Factors—Risks Related to Our Industry and the Consumer Finance Economy.”</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future borrowings on our line of credit would be subject to changes in interest rate.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are an emerging growth company, as defined in the JOBS Act. Under the JOBS Act, emerging growth companies can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w:t>
      </w:r>
    </w:p>
    <w:p>
      <w:pPr>
        <w:spacing w:after="0" w:line="2" w:lineRule="exact"/>
        <w:rPr>
          <w:sz w:val="20"/>
          <w:szCs w:val="20"/>
          <w:color w:val="auto"/>
        </w:rPr>
      </w:pPr>
    </w:p>
    <w:p>
      <w:pPr>
        <w:jc w:val="both"/>
        <w:ind w:right="20" w:firstLine="8"/>
        <w:spacing w:after="0" w:line="255" w:lineRule="auto"/>
        <w:tabs>
          <w:tab w:leader="none" w:pos="2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78</w:t>
      </w:r>
    </w:p>
    <w:p>
      <w:pPr>
        <w:sectPr>
          <w:pgSz w:w="11900" w:h="16838" w:orient="portrait"/>
          <w:cols w:equalWidth="0" w:num="1">
            <w:col w:w="11240"/>
          </w:cols>
          <w:pgMar w:left="320" w:top="1440" w:right="339" w:bottom="1440"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346075</wp:posOffset>
            </wp:positionV>
            <wp:extent cx="7029450" cy="90868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029450" cy="9086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NerdWallet provides trustworthy financial guidance to consumers and SMBs.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mission is to provide clarity for all of life’s financial decisions.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vision is a world where everyone makes financial decisions with confidence.</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At NerdWallet, we empower consumers—both individual consumers and SMBs—to make smarter financial decisions with confidence via our digital platform. Technology has changed the way consumers manage their financial lives, making them more comfortable with comparing and shopping for financial products online. This change has accelerated with the dramatic growth in companies offering innovative financial products. At NerdWallet, we are leveraging this transformation to democratize access to trustworthy financial guidance—ultimately helping to improve the financial well-being of consumers and the financial services industry as a whole. As the financial services industry becomes more fragmented and complex, our value proposition as a trusted, independent platform for consumers increases.</w:t>
      </w:r>
    </w:p>
    <w:p>
      <w:pPr>
        <w:spacing w:after="0" w:line="13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deliver guidance to consumers through educational content, tools and calculators, product marketplaces and the NerdWallet app. Our platform delivers unique value across many financial products, including credit cards, mortgages, insurance, SMB products, personal loans, banking, investing and student loans, and has grown to include the UK and Canadian markets, with plans for further international expansion. Across every touchpoint, the cornerstone of our platform is our consumers’ trust in the independent, objective and relevant guidance we provide, free of charge.</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This trusted guidance has helped us build a large, loyal and well-informed audience of consumers who turn to us as a resource for many of their money questions and to shop for the best financial products for them. We then use machine learning to present personalized options using aggregated and scalable information. As a result, we have become an attractive partner for financial services providers wanting access to high-value consumers—consumers who might not otherwise trust these financial services providers’ recommendations because their guidance is inherently biased toward their own products.</w:t>
      </w:r>
    </w:p>
    <w:p>
      <w:pPr>
        <w:spacing w:after="0" w:line="10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By operating at the intersection of consumers and financial services providers, NerdWallet drives value for both. Through our platform, our financial services partners can reach a substantial audience—we had 21 million MUUs per month on average in the first half of 2021. After doing research on our platform, these consumers are better informed about the financial decision they’re about to make and often primed and ready to transact. When consumers are more informed about their financial decisions, they make the appropriate decisions for their needs with confidence, increasing their lifetime value to financial services providers as customers. We have also received feedback from our financial services partners that our users’ approval rates can be significantly higher than those applying through other channels. Plus, as consumers’ smart money moves expand their options, they are eager to explore additional opportunities and products they are now eligible for, driving further demand for NerdWallet’s financial services partners. To meet the standards of more informed consumers, financial services providers in turn must engage in healthy competition for consumer mindshare and develop better financial products, further improving the outcomes for consumers.</w:t>
      </w:r>
    </w:p>
    <w:p>
      <w:pPr>
        <w:spacing w:after="0" w:line="12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NerdWallet’s ability to serve consumers and financial services providers hinges on our position as an independent, unbiased resource. The core strength of our platform is the trust that we build with consumers and the tailored and personalized recommendations we deliver via our data science models. Our consumer-first values and consumer-centric mission permeate everything we do and have been key to building and maintaining trust—it’s the “consumer, company, team, self” value that guides our decision making and product development. Across the company, Nerds engage every day with our values and mission to democratize trusted, accessible guidance and tools, leveling the playing field for everyone.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80</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These values will benefit us over the long-term as we build on our leadership as the place consumers turn to first for financial guidance. Already, we have massive, top-of-funnel reach. By adhering to our consumer-first value, we will not only empower consumers to make better financial decisions, but also help our financial services partners more effectively find new customers well-suited to their products.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fiscal years ended December 31, 2019 and 2020, our revenue was $228.3 million and $245.3 million, respectively, representing year-over-year growth of 7%. For the six months ended June 30, 2020 and 2021, our revenue was $137.3 million and $181.6 million, respectively. We generated net income of $24.2 million and $5.3 million for the fiscal years ended December 31, 2019 and 2020, respectively, and net income (loss) of $3.1 million and $(26.8) million for the six months ended June 30, and 2021,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 in our Favor</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Many trends are transforming the way consumers and SMBs manage their finances and several of these trends accelerated during the COVID-19 pandemic creating tailwinds in our industry.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Consumers Manage Their Lives Digitally, and Financial Wellness is at the Forefront of This Change</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Increasingly, we use a digital-first approach to managing our lives: we manage appointments, book vacations, plan events, and shop using apps and this has been especially true in the wake of the COVID-19 pandemic. During the past several years, this digital-first approach has also permeated personal finance with consumers expecting to have the ability to manage all aspects of their financial wellness online. To meet this consumer demand, traditional financial services providers have established digital interfaces and are continually adding new functionality. At the same time, successful fintech companies are proliferating and setting new standards for digital experiences. These new players are responding to changing consumer expectations by disrupting nearly every aspect of personal finance and offering a wide range of faster, better and cheaper digital services, continually altering the competitive landscape. By focusing on distinct personal financial products, fintech companies have unbundled personal finance and have provided value that conventional financial services providers cannot, often improving and expanding consumers’ choices and therefore, overall financial wellness.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Consumers Are Inundated With Choice and Complexity, but Unbiased Financial Guidance is Difficult to Find</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While digital access and an increasing number of fintech companies are making it easier to invest, make payments and even take out a loan, the explosion of market participants also makes it increasingly difficult and time consuming for consumers to sift through all of the options to determine which product is best suited to their personal financial needs.</w:t>
      </w:r>
    </w:p>
    <w:p>
      <w:pPr>
        <w:spacing w:after="0" w:line="13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Financial products and services are complex and consumers are seeking ways to compare and better understand their options. Many consumers do not have a trusted financial advisor to help them navigate this complexity and instead seek advice online. Unfortunately, finding trustworthy financial guidance online can be challenging. Fees are not always transparent, there is not a standard route to achieve financial literacy and creative marketing can leave consumers feeling overwhelmed. In 2021, only 59% of adults in the United States received a passing score on the National Financial Literacy Test.</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Consumers Want to Know They’ve Made the Right Choice in Their Financial Lives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Consumers want to take control of their financial well-being, ensure they’re getting the right deal, understand exactly what they’re signing up for and have confidence in their decisions. This desire to understand and feel well-informed about finances is prevalent across all generations. Even among the newest Gen Z consumers, many of whom may not have much experience with personal finance or even own a credit card, 89% surveyed in a 2021 Tallo study said that it’s a priority for them to learn about personal finance and 75% are interested in taking personal finance classes.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81</w:t>
      </w:r>
    </w:p>
    <w:p>
      <w:pPr>
        <w:sectPr>
          <w:pgSz w:w="11900" w:h="16838" w:orient="portrait"/>
          <w:cols w:equalWidth="0" w:num="1">
            <w:col w:w="11240"/>
          </w:cols>
          <w:pgMar w:left="320" w:top="1440" w:right="339" w:bottom="1440" w:gutter="0" w:footer="0" w:header="0"/>
        </w:sectPr>
      </w:pPr>
    </w:p>
    <w:bookmarkStart w:id="89" w:name="page90"/>
    <w:bookmarkEnd w:id="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1014730</wp:posOffset>
            </wp:positionV>
            <wp:extent cx="5349240" cy="41490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14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Platform</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have developed a consumer-first platform that empowers consumers and SMBs to make well-informed financial decisions at the right time and with confidence. The cornerstone of our platform is consumer trust in the independent, objective, and relevant guidance we provide, free of charge. Given it is incredibly difficult for any one person to be deeply knowledgeable across all areas of personal finance, we have a 100+ person editorial team that functions as the “brains” behind our guidance. Our writers and editors, who have joined us from notable publications including Bloomberg and The Wall Street Journal, cover specific verticals day in and day out, and, as a result, are deeply knowledgeable about the financial areas they cover, producing high-quality and award-winning guidance. For example, Liz Weston, a certified financial planner, is one of our subject matter experts covering topics including credit score, debt management, and retirement spending. She has worked at the Los Angeles Times, MSN, Reuters and literally wrote the book on how to improve your credit score. The work of writers like Liz, and of our editorial team as a whole, is not only a key reason consumers trust our brand and turn to us for many of their financial questions, it is also the foundation of our personalized guidance and our “nudges.” The guidance developed by our editorial team is codified by our product team to create the insights surfaced across our platform. It’s through this unique combination of human-powered guidance and machine learning capabilities, that we can provide consumers with high-quality and personalized insights.</w:t>
      </w:r>
    </w:p>
    <w:p>
      <w:pPr>
        <w:spacing w:after="0" w:line="11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This trusted guidance has enabled us to build a large, well-informed audience, many of whom are ready to transact. Accordingly, we have become an attractive partner for financial services providers wanting to reach these high value consumers. Today, our platform stretches across many financial products, including credit cards, mortgages, insurance, SMB products, personal loans, banking, investing and student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82</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platform aligns the interests of consumers and SMBs seeking financial guidance and products with the financial services providers that offer these products. A successful initial experience often leads to follow-up activity on our platform and we believe it also leads to higher customer lifetime value for the financial services providers. This alignment of interests, enabled by our unbiased and trusted guidance, benefits consumers, the financial services partners and NerdWallet.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built NerdWallet with the following key assumptions:</w:t>
      </w:r>
    </w:p>
    <w:p>
      <w:pPr>
        <w:spacing w:after="0" w:line="171"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Everything starts with trust;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Consumers have an unmet need for unbiased guidance to inform their financial decisions;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There is a compelling opportunity to use data to personalize and automate guidance at scale.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Starting with these assumptions, we offer the following benefits to consumers and to our financial services partners.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Benefits of Our Platform for Consumers and SMBs</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platform is designed to empower consumers and SMBs to gain clarity about their financial decisions, help them make optimal decisions and instill them with a sense of confidence in their choices. We accomplish this by:</w:t>
      </w:r>
    </w:p>
    <w:p>
      <w:pPr>
        <w:spacing w:after="0" w:line="116" w:lineRule="exact"/>
        <w:rPr>
          <w:sz w:val="20"/>
          <w:szCs w:val="20"/>
          <w:color w:val="auto"/>
        </w:rPr>
      </w:pPr>
    </w:p>
    <w:p>
      <w:pPr>
        <w:jc w:val="both"/>
        <w:ind w:left="660" w:hanging="328"/>
        <w:spacing w:after="0" w:line="254"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Providing Comprehensive Guidance with an Independent, Unbiased Editorial Team. </w:t>
      </w:r>
      <w:r>
        <w:rPr>
          <w:rFonts w:ascii="Arial" w:cs="Arial" w:eastAsia="Arial" w:hAnsi="Arial"/>
          <w:sz w:val="18"/>
          <w:szCs w:val="18"/>
          <w:color w:val="auto"/>
        </w:rPr>
        <w:t>We build trust by offering guidance that is credible,</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consistent and grounded in our consumer-first values. We establish credibility with financial product reviews and content that cover a myriad of topics, developed by our editorial team which is not influenced by monetization. One of our core values is “consumer, company, team, self.” Consistent with that value, we uphold rigorous editorial standards, and all of our articles, reviews and recommendations are written by our independent editorial team. The value of our brand and long-term relationships with consumers are more important to us than any short-term benefit we may derive from any transaction conducted on our platform. We believe that the result of this approach is the direct, ongoing, trusted relationship we have with our users.</w:t>
      </w:r>
    </w:p>
    <w:p>
      <w:pPr>
        <w:spacing w:after="0" w:line="140" w:lineRule="exact"/>
        <w:rPr>
          <w:rFonts w:ascii="Arial" w:cs="Arial" w:eastAsia="Arial" w:hAnsi="Arial"/>
          <w:sz w:val="18"/>
          <w:szCs w:val="18"/>
          <w:color w:val="auto"/>
        </w:rPr>
      </w:pPr>
    </w:p>
    <w:p>
      <w:pPr>
        <w:jc w:val="both"/>
        <w:ind w:left="660" w:hanging="328"/>
        <w:spacing w:after="0" w:line="273" w:lineRule="auto"/>
        <w:tabs>
          <w:tab w:leader="none" w:pos="655"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 xml:space="preserve">Using Simplicity and Transparency to Enable Well-Informed Decisions. </w:t>
      </w:r>
      <w:r>
        <w:rPr>
          <w:rFonts w:ascii="Arial" w:cs="Arial" w:eastAsia="Arial" w:hAnsi="Arial"/>
          <w:sz w:val="17"/>
          <w:szCs w:val="17"/>
          <w:color w:val="auto"/>
        </w:rPr>
        <w:t>We write our articles to appeal to everyone, ranging from the casual reader</w:t>
      </w:r>
      <w:r>
        <w:rPr>
          <w:rFonts w:ascii="Arial" w:cs="Arial" w:eastAsia="Arial" w:hAnsi="Arial"/>
          <w:sz w:val="17"/>
          <w:szCs w:val="17"/>
          <w:i w:val="1"/>
          <w:iCs w:val="1"/>
          <w:color w:val="auto"/>
        </w:rPr>
        <w:t xml:space="preserve"> </w:t>
      </w:r>
      <w:r>
        <w:rPr>
          <w:rFonts w:ascii="Arial" w:cs="Arial" w:eastAsia="Arial" w:hAnsi="Arial"/>
          <w:sz w:val="17"/>
          <w:szCs w:val="17"/>
          <w:color w:val="auto"/>
        </w:rPr>
        <w:t>to someone looking to understand more complex details on a topic. Regardless of the consumer need, we bring a level of clarity to help consumers make sense of even the most complex financial topics. Our content is delivered in a variety of digestible formats, and our comparisons provide transparency on both price and features, given that a particular financial product may appeal to different consumers for different reasons. For example, while some consumers may be looking for the lowest interest rate on a credit card, others may never plan to carry a balance and instead may be looking for the best cash back or rewards offering.</w:t>
      </w:r>
    </w:p>
    <w:p>
      <w:pPr>
        <w:spacing w:after="0" w:line="123" w:lineRule="exact"/>
        <w:rPr>
          <w:rFonts w:ascii="Arial" w:cs="Arial" w:eastAsia="Arial" w:hAnsi="Arial"/>
          <w:sz w:val="17"/>
          <w:szCs w:val="17"/>
          <w:color w:val="auto"/>
        </w:rPr>
      </w:pPr>
    </w:p>
    <w:p>
      <w:pPr>
        <w:jc w:val="both"/>
        <w:ind w:left="660" w:hanging="328"/>
        <w:spacing w:after="0" w:line="272" w:lineRule="auto"/>
        <w:tabs>
          <w:tab w:leader="none" w:pos="655"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 xml:space="preserve">Acting as a Trusted Guide and Navigator, Providing Personalized Guidance. </w:t>
      </w:r>
      <w:r>
        <w:rPr>
          <w:rFonts w:ascii="Arial" w:cs="Arial" w:eastAsia="Arial" w:hAnsi="Arial"/>
          <w:sz w:val="17"/>
          <w:szCs w:val="17"/>
          <w:color w:val="auto"/>
        </w:rPr>
        <w:t>Democratizing access to financial guidance is only half of our vision;</w:t>
      </w:r>
      <w:r>
        <w:rPr>
          <w:rFonts w:ascii="Arial" w:cs="Arial" w:eastAsia="Arial" w:hAnsi="Arial"/>
          <w:sz w:val="17"/>
          <w:szCs w:val="17"/>
          <w:i w:val="1"/>
          <w:iCs w:val="1"/>
          <w:color w:val="auto"/>
        </w:rPr>
        <w:t xml:space="preserve"> </w:t>
      </w:r>
      <w:r>
        <w:rPr>
          <w:rFonts w:ascii="Arial" w:cs="Arial" w:eastAsia="Arial" w:hAnsi="Arial"/>
          <w:sz w:val="17"/>
          <w:szCs w:val="17"/>
          <w:color w:val="auto"/>
        </w:rPr>
        <w:t>the other half is to make it frictionless for consumers to make financial decisions. We built our platform to appeal to both consumers looking to “do it themselves,” as well as those looking for more support managing their financial well-being. We make it easy for our Registered Users to stay on top of their money by centralizing many of their product decisions in one place. Consumers can get a holistic view of their finances, and hone in on specific details about their spending and saving patterns across accounts. By combining insights from our award-winning editorial team with our machine learning capabilities, we are able to recommend smart money moves via contextual “nudges.” As a result, we have become a one-stop-shop for consumers to track, manage and plan their financial futures.</w:t>
      </w:r>
    </w:p>
    <w:p>
      <w:pPr>
        <w:spacing w:after="0" w:line="123"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Providing Comprehensive Coverage Across Major Financial Verticals. </w:t>
      </w:r>
      <w:r>
        <w:rPr>
          <w:rFonts w:ascii="Arial" w:cs="Arial" w:eastAsia="Arial" w:hAnsi="Arial"/>
          <w:sz w:val="18"/>
          <w:szCs w:val="18"/>
          <w:color w:val="auto"/>
        </w:rPr>
        <w:t>Today, we have financial services partners in eight financial verticals:</w:t>
      </w:r>
      <w:r>
        <w:rPr>
          <w:rFonts w:ascii="Arial" w:cs="Arial" w:eastAsia="Arial" w:hAnsi="Arial"/>
          <w:sz w:val="18"/>
          <w:szCs w:val="18"/>
          <w:i w:val="1"/>
          <w:iCs w:val="1"/>
          <w:color w:val="auto"/>
        </w:rPr>
        <w:t xml:space="preserve"> </w:t>
      </w:r>
      <w:r>
        <w:rPr>
          <w:rFonts w:ascii="Arial" w:cs="Arial" w:eastAsia="Arial" w:hAnsi="Arial"/>
          <w:sz w:val="18"/>
          <w:szCs w:val="18"/>
          <w:color w:val="auto"/>
        </w:rPr>
        <w:t>credit cards, mortgages, insurance, SMB products, personal loans, banking, investing and student loans. We partner with over 400 organizations, from the largest financial services providers to the most disruptive startups. This comprehensive coverage shows consumers who may be seeking guidance in one area, such as credit cards, the expertise that we provide in other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83</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44" w:lineRule="exact"/>
        <w:rPr>
          <w:sz w:val="20"/>
          <w:szCs w:val="20"/>
          <w:color w:val="auto"/>
        </w:rPr>
      </w:pPr>
    </w:p>
    <w:p>
      <w:pPr>
        <w:jc w:val="both"/>
        <w:ind w:left="660"/>
        <w:spacing w:after="0" w:line="301" w:lineRule="auto"/>
        <w:rPr>
          <w:sz w:val="20"/>
          <w:szCs w:val="20"/>
          <w:color w:val="auto"/>
        </w:rPr>
      </w:pPr>
      <w:r>
        <w:rPr>
          <w:rFonts w:ascii="Arial" w:cs="Arial" w:eastAsia="Arial" w:hAnsi="Arial"/>
          <w:sz w:val="16"/>
          <w:szCs w:val="16"/>
          <w:color w:val="auto"/>
        </w:rPr>
        <w:t>verticals like renters insurance and deposit accounts. Our guidance, however, is not limited to areas with existing partner relationships or those that we monetize. We quickly adapt to the evolving financial interests of consumers and can easily add coverage in new areas. Specifically, during the COVID-19 pandemic, we added a COVID hub that covered topics such as paycheck protection program (PPP) loans and their forgiveness, unemployment benefits, coverage of debt relief packages (e.g. student loan forbearance), life insurance and personal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74295</wp:posOffset>
            </wp:positionV>
            <wp:extent cx="5349240" cy="3703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49240" cy="370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Benefits of Our Platform for Our Partners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bring our financial services partners well-matched and well-informed consumers. These consumers also frequently have desirable characteristics— they have higher credit scores and maintain higher levels of investable assets—making them highly attractive for our financial services partners. We have received feedback from financial services partners that our users’ approval rates can be significantly higher than those applying through other channels. Benefits that we provide to our financial services partners include:</w:t>
      </w:r>
    </w:p>
    <w:p>
      <w:pPr>
        <w:spacing w:after="0" w:line="133" w:lineRule="exact"/>
        <w:rPr>
          <w:sz w:val="20"/>
          <w:szCs w:val="20"/>
          <w:color w:val="auto"/>
        </w:rPr>
      </w:pPr>
    </w:p>
    <w:p>
      <w:pPr>
        <w:jc w:val="both"/>
        <w:ind w:left="660" w:hanging="328"/>
        <w:spacing w:after="0" w:line="290" w:lineRule="auto"/>
        <w:tabs>
          <w:tab w:leader="none" w:pos="655"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Huge Audience and Reach, with an Average of 21 Million Consumers Turning to the Nerds This Year. </w:t>
      </w:r>
      <w:r>
        <w:rPr>
          <w:rFonts w:ascii="Arial" w:cs="Arial" w:eastAsia="Arial" w:hAnsi="Arial"/>
          <w:sz w:val="16"/>
          <w:szCs w:val="16"/>
          <w:color w:val="auto"/>
        </w:rPr>
        <w:t>During the first half of 2021, we hosted an</w:t>
      </w:r>
      <w:r>
        <w:rPr>
          <w:rFonts w:ascii="Arial" w:cs="Arial" w:eastAsia="Arial" w:hAnsi="Arial"/>
          <w:sz w:val="16"/>
          <w:szCs w:val="16"/>
          <w:i w:val="1"/>
          <w:iCs w:val="1"/>
          <w:color w:val="auto"/>
        </w:rPr>
        <w:t xml:space="preserve"> </w:t>
      </w:r>
      <w:r>
        <w:rPr>
          <w:rFonts w:ascii="Arial" w:cs="Arial" w:eastAsia="Arial" w:hAnsi="Arial"/>
          <w:sz w:val="16"/>
          <w:szCs w:val="16"/>
          <w:color w:val="auto"/>
        </w:rPr>
        <w:t>average of 21 million MUUs, up 23% from the first half of 2020. We also over-index on attracting consumers with high credit scores who are inundated with choices and seek an independent third party to help them find the right product for their distinct needs. These individuals receive many offers for financial products because they are often the most attractive customers for financial services providers as they tend to drive long-term value. We believe we drive strong conversion both on and off our platform. For example, tracking tests with our financial partners in our credit cards vertical have shown that on average, for every transaction that happens through NerdWallet, one or more additional transactions with a user occur with the partner as a result of the user previously engaging with our platform. This encourages our financial services partners to continue promoting their products through NerdWallet, as we are a channel for them to acquire attractive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84</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44" w:lineRule="exact"/>
        <w:rPr>
          <w:sz w:val="20"/>
          <w:szCs w:val="20"/>
          <w:color w:val="auto"/>
        </w:rPr>
      </w:pPr>
    </w:p>
    <w:p>
      <w:pPr>
        <w:jc w:val="both"/>
        <w:ind w:left="328" w:hanging="328"/>
        <w:spacing w:after="0" w:line="291" w:lineRule="auto"/>
        <w:tabs>
          <w:tab w:leader="none" w:pos="323"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Access to Consumers Who Are Ready to Transact. </w:t>
      </w:r>
      <w:r>
        <w:rPr>
          <w:rFonts w:ascii="Arial" w:cs="Arial" w:eastAsia="Arial" w:hAnsi="Arial"/>
          <w:sz w:val="16"/>
          <w:szCs w:val="16"/>
          <w:color w:val="auto"/>
        </w:rPr>
        <w:t>While our expertise and personalized guidance is helpful for consumers at all stages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decision-making process, many of the consumers that use NerdWallet are already poised to make a transaction, using NerdWallet as the final check. For our financial services partners, this leads to more engaged potential customers, who have a better understanding of our partners’ products than the average customer. We believe that these high-quality matches can result in higher customer lifetime values for our partners. In addition to providing our financial services partners with attractive potential customers, we do so just as consumers’ purchase intent is the highest. Because of this, some financial services partners choose to market special or unique offers first or only through NerdWallet. For example, Discover digitally re-introduced their balance transfer product exclusively on NerdWallet for a one month period in February 2021.</w:t>
      </w:r>
    </w:p>
    <w:p>
      <w:pPr>
        <w:spacing w:after="0" w:line="112" w:lineRule="exact"/>
        <w:rPr>
          <w:rFonts w:ascii="Arial" w:cs="Arial" w:eastAsia="Arial" w:hAnsi="Arial"/>
          <w:sz w:val="16"/>
          <w:szCs w:val="16"/>
          <w:color w:val="auto"/>
        </w:rPr>
      </w:pPr>
    </w:p>
    <w:p>
      <w:pPr>
        <w:jc w:val="both"/>
        <w:ind w:left="328" w:right="20" w:hanging="328"/>
        <w:spacing w:after="0" w:line="301" w:lineRule="auto"/>
        <w:tabs>
          <w:tab w:leader="none" w:pos="323"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Positive Brand Association. </w:t>
      </w:r>
      <w:r>
        <w:rPr>
          <w:rFonts w:ascii="Arial" w:cs="Arial" w:eastAsia="Arial" w:hAnsi="Arial"/>
          <w:sz w:val="16"/>
          <w:szCs w:val="16"/>
          <w:color w:val="auto"/>
        </w:rPr>
        <w:t>All of our articles, reviews and recommendations are written by our independent editorial team, and because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we believe consumers trust our assessment of the financial services and products offered on our platform. As a result, we believe that our financial services partners greatly benefit from placement on our Best-of Awards lists, in our reviews and within other NerdWallet content. In fact, 60% of the financial services providers who won a Best-of award in 2020 have promoted their designation in their own marketing efforts.</w:t>
      </w:r>
    </w:p>
    <w:p>
      <w:pPr>
        <w:spacing w:after="0" w:line="103" w:lineRule="exact"/>
        <w:rPr>
          <w:rFonts w:ascii="Arial" w:cs="Arial" w:eastAsia="Arial" w:hAnsi="Arial"/>
          <w:sz w:val="16"/>
          <w:szCs w:val="16"/>
          <w:color w:val="auto"/>
        </w:rPr>
      </w:pPr>
    </w:p>
    <w:p>
      <w:pPr>
        <w:jc w:val="both"/>
        <w:ind w:left="328" w:hanging="328"/>
        <w:spacing w:after="0" w:line="255" w:lineRule="auto"/>
        <w:tabs>
          <w:tab w:leader="none" w:pos="323"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Exposure to Consumers Seeking a Broader Range of Financial Products. </w:t>
      </w:r>
      <w:r>
        <w:rPr>
          <w:rFonts w:ascii="Arial" w:cs="Arial" w:eastAsia="Arial" w:hAnsi="Arial"/>
          <w:sz w:val="18"/>
          <w:szCs w:val="18"/>
          <w:color w:val="auto"/>
        </w:rPr>
        <w:t>Given the breadth of our expertise, consumers are able to use our</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 for multiple facets of their financial well-being beyond their initial transactions. Through the wide range of guidance that we offer, consumers are exposed to relevant products outside of the one they are researching at a given time. For example, a consumer researching credit cards may see a relevant article regarding mortgages, then remember that article when they are in the market for a mortgage at a later date. As a result, consumers are exposed to our financial services partners’ products at various points in their financial journey, increasing the value of our platform both to consumers and financial services partners.</w:t>
      </w:r>
    </w:p>
    <w:p>
      <w:pPr>
        <w:spacing w:after="0" w:line="138" w:lineRule="exact"/>
        <w:rPr>
          <w:sz w:val="20"/>
          <w:szCs w:val="20"/>
          <w:color w:val="auto"/>
        </w:rPr>
      </w:pPr>
    </w:p>
    <w:p>
      <w:pPr>
        <w:ind w:left="8"/>
        <w:spacing w:after="0"/>
        <w:rPr>
          <w:sz w:val="20"/>
          <w:szCs w:val="20"/>
          <w:color w:val="auto"/>
        </w:rPr>
      </w:pPr>
      <w:r>
        <w:rPr>
          <w:rFonts w:ascii="Arial" w:cs="Arial" w:eastAsia="Arial" w:hAnsi="Arial"/>
          <w:sz w:val="18"/>
          <w:szCs w:val="18"/>
          <w:b w:val="1"/>
          <w:bCs w:val="1"/>
          <w:i w:val="1"/>
          <w:iCs w:val="1"/>
          <w:color w:val="auto"/>
        </w:rPr>
        <w:t>Our Strengths</w:t>
      </w:r>
    </w:p>
    <w:p>
      <w:pPr>
        <w:spacing w:after="0" w:line="171" w:lineRule="exact"/>
        <w:rPr>
          <w:sz w:val="20"/>
          <w:szCs w:val="20"/>
          <w:color w:val="auto"/>
        </w:rPr>
      </w:pPr>
    </w:p>
    <w:p>
      <w:pPr>
        <w:ind w:left="8"/>
        <w:spacing w:after="0"/>
        <w:rPr>
          <w:sz w:val="20"/>
          <w:szCs w:val="20"/>
          <w:color w:val="auto"/>
        </w:rPr>
      </w:pPr>
      <w:r>
        <w:rPr>
          <w:rFonts w:ascii="Arial" w:cs="Arial" w:eastAsia="Arial" w:hAnsi="Arial"/>
          <w:sz w:val="18"/>
          <w:szCs w:val="18"/>
          <w:color w:val="auto"/>
        </w:rPr>
        <w:t>We have five core strengths that provide us with a competitive advantage:</w:t>
      </w:r>
    </w:p>
    <w:p>
      <w:pPr>
        <w:spacing w:after="0" w:line="167" w:lineRule="exact"/>
        <w:rPr>
          <w:sz w:val="20"/>
          <w:szCs w:val="20"/>
          <w:color w:val="auto"/>
        </w:rPr>
      </w:pPr>
    </w:p>
    <w:p>
      <w:pPr>
        <w:jc w:val="both"/>
        <w:ind w:left="328" w:hanging="328"/>
        <w:spacing w:after="0" w:line="256" w:lineRule="auto"/>
        <w:tabs>
          <w:tab w:leader="none" w:pos="323"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Trusted Platform for Consumer and SMB Financial Guidance. </w:t>
      </w:r>
      <w:r>
        <w:rPr>
          <w:rFonts w:ascii="Arial" w:cs="Arial" w:eastAsia="Arial" w:hAnsi="Arial"/>
          <w:sz w:val="18"/>
          <w:szCs w:val="18"/>
          <w:color w:val="auto"/>
        </w:rPr>
        <w:t>We believe our strategy of optimizing guidance for the consumer, as opposed</w:t>
      </w:r>
      <w:r>
        <w:rPr>
          <w:rFonts w:ascii="Arial" w:cs="Arial" w:eastAsia="Arial" w:hAnsi="Arial"/>
          <w:sz w:val="18"/>
          <w:szCs w:val="18"/>
          <w:b w:val="1"/>
          <w:bCs w:val="1"/>
          <w:color w:val="auto"/>
        </w:rPr>
        <w:t xml:space="preserve"> </w:t>
      </w:r>
      <w:r>
        <w:rPr>
          <w:rFonts w:ascii="Arial" w:cs="Arial" w:eastAsia="Arial" w:hAnsi="Arial"/>
          <w:sz w:val="18"/>
          <w:szCs w:val="18"/>
          <w:color w:val="auto"/>
        </w:rPr>
        <w:t>to transactions per consumer, will benefit us over the long-term as we build on our leadership as the go-to destination platform for financial guidance. We have maintained an unwavering commitment to providing consumers with free and trusted financial guidance for over a decade, including unbiased recommendations and decision-making tools. Additionally, approximately 73% of all traffic to NerdWallet in the trailing twelve months as of June 30, 2021 came from direct or unpaid traffic sources, further demonstrating the value of our brand, organic marketing efforts and strategy.</w:t>
      </w:r>
    </w:p>
    <w:p>
      <w:pPr>
        <w:spacing w:after="0" w:line="133" w:lineRule="exact"/>
        <w:rPr>
          <w:rFonts w:ascii="Arial" w:cs="Arial" w:eastAsia="Arial" w:hAnsi="Arial"/>
          <w:sz w:val="18"/>
          <w:szCs w:val="18"/>
          <w:color w:val="auto"/>
        </w:rPr>
      </w:pPr>
    </w:p>
    <w:p>
      <w:pPr>
        <w:jc w:val="both"/>
        <w:ind w:left="328" w:hanging="328"/>
        <w:spacing w:after="0" w:line="258" w:lineRule="auto"/>
        <w:tabs>
          <w:tab w:leader="none" w:pos="323"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Massive Top-of-the-Funnel Reach. </w:t>
      </w:r>
      <w:r>
        <w:rPr>
          <w:rFonts w:ascii="Arial" w:cs="Arial" w:eastAsia="Arial" w:hAnsi="Arial"/>
          <w:sz w:val="18"/>
          <w:szCs w:val="18"/>
          <w:color w:val="auto"/>
        </w:rPr>
        <w:t>The foundation of our platform is a direct, consumer-first approach, combined with deep domain expertise.</w:t>
      </w:r>
      <w:r>
        <w:rPr>
          <w:rFonts w:ascii="Arial" w:cs="Arial" w:eastAsia="Arial" w:hAnsi="Arial"/>
          <w:sz w:val="18"/>
          <w:szCs w:val="18"/>
          <w:b w:val="1"/>
          <w:bCs w:val="1"/>
          <w:color w:val="auto"/>
        </w:rPr>
        <w:t xml:space="preserve"> </w:t>
      </w:r>
      <w:r>
        <w:rPr>
          <w:rFonts w:ascii="Arial" w:cs="Arial" w:eastAsia="Arial" w:hAnsi="Arial"/>
          <w:sz w:val="18"/>
          <w:szCs w:val="18"/>
          <w:color w:val="auto"/>
        </w:rPr>
        <w:t>This drives superior brand awareness and traffic to our platform. During the first half of 2021, we hosted an audience comprised of an average of 21 million MUUs, up 23% from the first half of 2020. Our platform delivers financial product reviews and decision-making tools across a broad range of topics to consumers, free of charge. This approach powers large-scale traffic acquisition capabilities at the top of the funnel in both unpaid and paid channels.</w:t>
      </w:r>
    </w:p>
    <w:p>
      <w:pPr>
        <w:spacing w:after="0" w:line="129" w:lineRule="exact"/>
        <w:rPr>
          <w:rFonts w:ascii="Arial" w:cs="Arial" w:eastAsia="Arial" w:hAnsi="Arial"/>
          <w:sz w:val="18"/>
          <w:szCs w:val="18"/>
          <w:color w:val="auto"/>
        </w:rPr>
      </w:pPr>
    </w:p>
    <w:p>
      <w:pPr>
        <w:jc w:val="both"/>
        <w:ind w:left="328" w:hanging="328"/>
        <w:spacing w:after="0" w:line="256" w:lineRule="auto"/>
        <w:tabs>
          <w:tab w:leader="none" w:pos="323"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Unique Breadth of Financial Offerings Under One Brand. </w:t>
      </w:r>
      <w:r>
        <w:rPr>
          <w:rFonts w:ascii="Arial" w:cs="Arial" w:eastAsia="Arial" w:hAnsi="Arial"/>
          <w:sz w:val="18"/>
          <w:szCs w:val="18"/>
          <w:color w:val="auto"/>
        </w:rPr>
        <w:t>We are a one-stop destination for consumer and SMB financial guidance, covering</w:t>
      </w:r>
      <w:r>
        <w:rPr>
          <w:rFonts w:ascii="Arial" w:cs="Arial" w:eastAsia="Arial" w:hAnsi="Arial"/>
          <w:sz w:val="18"/>
          <w:szCs w:val="18"/>
          <w:b w:val="1"/>
          <w:bCs w:val="1"/>
          <w:color w:val="auto"/>
        </w:rPr>
        <w:t xml:space="preserve"> </w:t>
      </w:r>
      <w:r>
        <w:rPr>
          <w:rFonts w:ascii="Arial" w:cs="Arial" w:eastAsia="Arial" w:hAnsi="Arial"/>
          <w:sz w:val="18"/>
          <w:szCs w:val="18"/>
          <w:color w:val="auto"/>
        </w:rPr>
        <w:t>credit cards, mortgages, insurance, SMB products, personal loans, banking, investing and student loans. This makes it easy for consumers to compare solutions from a wide array of providers across multiple products to meet their diverse needs. As a result, we experience a high level of engagement and repeat activity on our platform. We do not offer our own financial products, but instead surface offers from hundreds of top-quality financial services providers. Therefore, we remain a trusted source of information and insight for consumers and are complementary, not competitive, with our financial services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12"/>
        <w:spacing w:after="0"/>
        <w:rPr>
          <w:sz w:val="20"/>
          <w:szCs w:val="20"/>
          <w:color w:val="auto"/>
        </w:rPr>
      </w:pPr>
      <w:r>
        <w:rPr>
          <w:rFonts w:ascii="Arial" w:cs="Arial" w:eastAsia="Arial" w:hAnsi="Arial"/>
          <w:sz w:val="16"/>
          <w:szCs w:val="16"/>
          <w:b w:val="1"/>
          <w:bCs w:val="1"/>
          <w:color w:val="auto"/>
        </w:rPr>
        <w:t>85</w:t>
      </w:r>
    </w:p>
    <w:p>
      <w:pPr>
        <w:sectPr>
          <w:pgSz w:w="11900" w:h="16838" w:orient="portrait"/>
          <w:cols w:equalWidth="0" w:num="1">
            <w:col w:w="10908"/>
          </w:cols>
          <w:pgMar w:left="652" w:top="1440" w:right="339" w:bottom="1440" w:gutter="0" w:footer="0" w:header="0"/>
        </w:sectPr>
      </w:pPr>
    </w:p>
    <w:bookmarkStart w:id="93" w:name="page94"/>
    <w:bookmarkEnd w:id="93"/>
    <w:p>
      <w:pPr>
        <w:spacing w:after="0" w:line="140" w:lineRule="exact"/>
        <w:rPr>
          <w:sz w:val="20"/>
          <w:szCs w:val="20"/>
          <w:color w:val="auto"/>
        </w:rPr>
      </w:pPr>
    </w:p>
    <w:p>
      <w:pPr>
        <w:jc w:val="both"/>
        <w:ind w:left="328" w:hanging="328"/>
        <w:spacing w:after="0" w:line="258" w:lineRule="auto"/>
        <w:tabs>
          <w:tab w:leader="none" w:pos="323"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Founder-Led Management Team Focused on Continual Innovation and Capital Efficiency. </w:t>
      </w:r>
      <w:r>
        <w:rPr>
          <w:rFonts w:ascii="Arial" w:cs="Arial" w:eastAsia="Arial" w:hAnsi="Arial"/>
          <w:sz w:val="18"/>
          <w:szCs w:val="18"/>
          <w:color w:val="auto"/>
        </w:rPr>
        <w:t>Our co-founder and Chief Executive Officer, Tim</w:t>
      </w:r>
      <w:r>
        <w:rPr>
          <w:rFonts w:ascii="Arial" w:cs="Arial" w:eastAsia="Arial" w:hAnsi="Arial"/>
          <w:sz w:val="18"/>
          <w:szCs w:val="18"/>
          <w:b w:val="1"/>
          <w:bCs w:val="1"/>
          <w:color w:val="auto"/>
        </w:rPr>
        <w:t xml:space="preserve"> </w:t>
      </w:r>
      <w:r>
        <w:rPr>
          <w:rFonts w:ascii="Arial" w:cs="Arial" w:eastAsia="Arial" w:hAnsi="Arial"/>
          <w:sz w:val="18"/>
          <w:szCs w:val="18"/>
          <w:color w:val="auto"/>
        </w:rPr>
        <w:t>Chen, started NerdWallet in 2009 to bring clarity to all of life’s financial decisions. We grew to approximately $44 million of revenue in 2014 with no outside equity capital. Subsequently, we have increased revenue at a compound annual growth rate (CAGR) of 33% per year from 2014 to 2020, while averaging less than 4% of equity dilution per year. Today, we continue to maintain a mindset of capital and financial discipline balanced with growth-oriented investing.</w:t>
      </w:r>
    </w:p>
    <w:p>
      <w:pPr>
        <w:spacing w:after="0" w:line="129" w:lineRule="exact"/>
        <w:rPr>
          <w:rFonts w:ascii="Arial" w:cs="Arial" w:eastAsia="Arial" w:hAnsi="Arial"/>
          <w:sz w:val="18"/>
          <w:szCs w:val="18"/>
          <w:color w:val="auto"/>
        </w:rPr>
      </w:pPr>
    </w:p>
    <w:p>
      <w:pPr>
        <w:jc w:val="both"/>
        <w:ind w:left="328" w:hanging="328"/>
        <w:spacing w:after="0" w:line="255" w:lineRule="auto"/>
        <w:tabs>
          <w:tab w:leader="none" w:pos="323"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Platform That Drives and Benefits from Strong Network Effects. </w:t>
      </w:r>
      <w:r>
        <w:rPr>
          <w:rFonts w:ascii="Arial" w:cs="Arial" w:eastAsia="Arial" w:hAnsi="Arial"/>
          <w:sz w:val="18"/>
          <w:szCs w:val="18"/>
          <w:color w:val="auto"/>
        </w:rPr>
        <w:t>As more consumers use our platform and engage with our extensive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guidance and tools, our consumer and transaction database grows and our product recommendations yield higher success rates. This increases user satisfaction, converting more users into Registered Users and improving repeat user rates. As we apply machine learning to match more high-quality consumers with products and services, our platform becomes increasingly valuable to financial services partners, too. This, in turn, attracts new partners and new financial products to the platform. More partners and more products serve to further increase the success rates of consumers using our platform, all of which drives our growth. This creates a unique value proposition for all constituents in our ecosystem, making our platform more valuable.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685800</wp:posOffset>
            </wp:positionH>
            <wp:positionV relativeFrom="paragraph">
              <wp:posOffset>97155</wp:posOffset>
            </wp:positionV>
            <wp:extent cx="5349240" cy="31375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49240" cy="313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8"/>
        <w:spacing w:after="0"/>
        <w:rPr>
          <w:sz w:val="20"/>
          <w:szCs w:val="20"/>
          <w:color w:val="auto"/>
        </w:rPr>
      </w:pPr>
      <w:r>
        <w:rPr>
          <w:rFonts w:ascii="Arial" w:cs="Arial" w:eastAsia="Arial" w:hAnsi="Arial"/>
          <w:sz w:val="18"/>
          <w:szCs w:val="18"/>
          <w:b w:val="1"/>
          <w:bCs w:val="1"/>
          <w:i w:val="1"/>
          <w:iCs w:val="1"/>
          <w:color w:val="auto"/>
        </w:rPr>
        <w:t>Our Growth Strategies</w:t>
      </w:r>
    </w:p>
    <w:p>
      <w:pPr>
        <w:spacing w:after="0" w:line="171" w:lineRule="exact"/>
        <w:rPr>
          <w:sz w:val="20"/>
          <w:szCs w:val="20"/>
          <w:color w:val="auto"/>
        </w:rPr>
      </w:pPr>
    </w:p>
    <w:p>
      <w:pPr>
        <w:ind w:left="8"/>
        <w:spacing w:after="0"/>
        <w:rPr>
          <w:sz w:val="20"/>
          <w:szCs w:val="20"/>
          <w:color w:val="auto"/>
        </w:rPr>
      </w:pPr>
      <w:r>
        <w:rPr>
          <w:rFonts w:ascii="Arial" w:cs="Arial" w:eastAsia="Arial" w:hAnsi="Arial"/>
          <w:sz w:val="18"/>
          <w:szCs w:val="18"/>
          <w:color w:val="auto"/>
        </w:rPr>
        <w:t>We intend to continue investing in and leveraging our key strengths to expand our business:</w:t>
      </w:r>
    </w:p>
    <w:p>
      <w:pPr>
        <w:spacing w:after="0" w:line="167" w:lineRule="exact"/>
        <w:rPr>
          <w:sz w:val="20"/>
          <w:szCs w:val="20"/>
          <w:color w:val="auto"/>
        </w:rPr>
      </w:pPr>
    </w:p>
    <w:p>
      <w:pPr>
        <w:jc w:val="both"/>
        <w:ind w:left="328" w:hanging="328"/>
        <w:spacing w:after="0" w:line="273" w:lineRule="auto"/>
        <w:tabs>
          <w:tab w:leader="none" w:pos="323" w:val="left"/>
        </w:tabs>
        <w:numPr>
          <w:ilvl w:val="0"/>
          <w:numId w:val="61"/>
        </w:numPr>
        <w:rPr>
          <w:rFonts w:ascii="Arial" w:cs="Arial" w:eastAsia="Arial" w:hAnsi="Arial"/>
          <w:sz w:val="17"/>
          <w:szCs w:val="17"/>
          <w:color w:val="auto"/>
        </w:rPr>
      </w:pPr>
      <w:r>
        <w:rPr>
          <w:rFonts w:ascii="Arial" w:cs="Arial" w:eastAsia="Arial" w:hAnsi="Arial"/>
          <w:sz w:val="17"/>
          <w:szCs w:val="17"/>
          <w:b w:val="1"/>
          <w:bCs w:val="1"/>
          <w:color w:val="auto"/>
        </w:rPr>
        <w:t xml:space="preserve">Grow Our Traffic and Increase Engagement. </w:t>
      </w:r>
      <w:r>
        <w:rPr>
          <w:rFonts w:ascii="Arial" w:cs="Arial" w:eastAsia="Arial" w:hAnsi="Arial"/>
          <w:sz w:val="17"/>
          <w:szCs w:val="17"/>
          <w:color w:val="auto"/>
        </w:rPr>
        <w:t>We are focused on growing the traffic and engagement on our platform, as well as increasing our</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Registered Users, who have a lifetime revenue value five times greater than our non-registered users and more than twice the transactions and sessions, on average. In the first half of 2021, we had an average of 21 million MUUs, an increase of 23% compared to the first half of 2020. Since 2016, we have started converting unique users into Registered Users that utilize our consumer decisioning tools and increased machine learning functionality. We had over 5.5 million Registered Users as of December 31, 2019, 8 million Registered Users as of December 31, 2020 and over 9 million Registered Users as of June 30, 2021. We will continue to invest in building efficient and scalable technical capabilities to deliver personalized guidance and nudge consumers, at the right time, to take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2"/>
        <w:spacing w:after="0"/>
        <w:rPr>
          <w:sz w:val="20"/>
          <w:szCs w:val="20"/>
          <w:color w:val="auto"/>
        </w:rPr>
      </w:pPr>
      <w:r>
        <w:rPr>
          <w:rFonts w:ascii="Arial" w:cs="Arial" w:eastAsia="Arial" w:hAnsi="Arial"/>
          <w:sz w:val="16"/>
          <w:szCs w:val="16"/>
          <w:b w:val="1"/>
          <w:bCs w:val="1"/>
          <w:color w:val="auto"/>
        </w:rPr>
        <w:t>86</w:t>
      </w:r>
    </w:p>
    <w:p>
      <w:pPr>
        <w:sectPr>
          <w:pgSz w:w="11900" w:h="16838" w:orient="portrait"/>
          <w:cols w:equalWidth="0" w:num="1">
            <w:col w:w="10908"/>
          </w:cols>
          <w:pgMar w:left="652" w:top="1440" w:right="339" w:bottom="1440" w:gutter="0" w:footer="0" w:header="0"/>
        </w:sectPr>
      </w:pPr>
    </w:p>
    <w:bookmarkStart w:id="94" w:name="page95"/>
    <w:bookmarkEnd w:id="94"/>
    <w:p>
      <w:pPr>
        <w:spacing w:after="0" w:line="14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action based on our advice. With better machine learning, we believe our recommendations and contextual nudges will encourage repeat engagement and user registration on our platform.</w:t>
      </w:r>
    </w:p>
    <w:p>
      <w:pPr>
        <w:spacing w:after="0" w:line="112" w:lineRule="exact"/>
        <w:rPr>
          <w:sz w:val="20"/>
          <w:szCs w:val="20"/>
          <w:color w:val="auto"/>
        </w:rPr>
      </w:pPr>
    </w:p>
    <w:p>
      <w:pPr>
        <w:jc w:val="both"/>
        <w:ind w:left="660" w:hanging="328"/>
        <w:spacing w:after="0" w:line="269" w:lineRule="auto"/>
        <w:tabs>
          <w:tab w:leader="none" w:pos="655" w:val="left"/>
        </w:tabs>
        <w:numPr>
          <w:ilvl w:val="0"/>
          <w:numId w:val="62"/>
        </w:numPr>
        <w:rPr>
          <w:rFonts w:ascii="Arial" w:cs="Arial" w:eastAsia="Arial" w:hAnsi="Arial"/>
          <w:sz w:val="17"/>
          <w:szCs w:val="17"/>
          <w:color w:val="auto"/>
        </w:rPr>
      </w:pPr>
      <w:r>
        <w:rPr>
          <w:rFonts w:ascii="Arial" w:cs="Arial" w:eastAsia="Arial" w:hAnsi="Arial"/>
          <w:sz w:val="17"/>
          <w:szCs w:val="17"/>
          <w:b w:val="1"/>
          <w:bCs w:val="1"/>
          <w:color w:val="auto"/>
        </w:rPr>
        <w:t>Grow Within Existing and New Verticals</w:t>
      </w:r>
      <w:r>
        <w:rPr>
          <w:rFonts w:ascii="Arial" w:cs="Arial" w:eastAsia="Arial" w:hAnsi="Arial"/>
          <w:sz w:val="17"/>
          <w:szCs w:val="17"/>
          <w:color w:val="auto"/>
        </w:rPr>
        <w:t>. Our brand is a natural extension as we land and expand by adding capabilities within our existing</w:t>
      </w:r>
      <w:r>
        <w:rPr>
          <w:rFonts w:ascii="Arial" w:cs="Arial" w:eastAsia="Arial" w:hAnsi="Arial"/>
          <w:sz w:val="17"/>
          <w:szCs w:val="17"/>
          <w:b w:val="1"/>
          <w:bCs w:val="1"/>
          <w:color w:val="auto"/>
        </w:rPr>
        <w:t xml:space="preserve"> </w:t>
      </w:r>
      <w:r>
        <w:rPr>
          <w:rFonts w:ascii="Arial" w:cs="Arial" w:eastAsia="Arial" w:hAnsi="Arial"/>
          <w:sz w:val="17"/>
          <w:szCs w:val="17"/>
          <w:color w:val="auto"/>
        </w:rPr>
        <w:t>verticals and by entering new verticals to provide a broad range of tools for consumers. By improving the quality of our guidance within existing verticals, we believe we can enhance the experience for our users and continue to build recurring revenue streams. For example, in the fourth quarter of 2020, we acquired Fundera, which allows us to both improve our offering for SMBs by providing a human touch during one of their biggest financial decisions and build a deeper relationship to anticipate future needs. Upon integration, we combined NerdWallet's top-of-funnel strength to increase organic SMB traffic by over 30% with Fundera’s monetization strategy, which almost doubled up-front revenue per NerdWallet SMB visit and adds a recurring revenue tail, as 50% of Fundera’s loan revenue in the year prior to acquisition came from existing customers. We can apply this playbook to other existing verticals that have relationship-driven or renewal revenue models. Our approach for new vertical expansion is well-defined—provide trusted content and tools to attract organic traffic, then leverage our brand and marketing expertise to accelerate growth. Our ability to implement this playbook is exemplified by our growth in the mortgages vertical: we have had strong conversion with new and existing consumers in this vertical, growing revenue at a four year CAGR of 143% from 2016 to 2020. Expansion to new verticals allows us to address more of our consumers’ needs and increases our potential for cross-selling, thereby making existing verticals and marketing channels more efficient.</w:t>
      </w:r>
    </w:p>
    <w:p>
      <w:pPr>
        <w:spacing w:after="0" w:line="121" w:lineRule="exact"/>
        <w:rPr>
          <w:rFonts w:ascii="Arial" w:cs="Arial" w:eastAsia="Arial" w:hAnsi="Arial"/>
          <w:sz w:val="17"/>
          <w:szCs w:val="17"/>
          <w:color w:val="auto"/>
        </w:rPr>
      </w:pPr>
    </w:p>
    <w:p>
      <w:pPr>
        <w:jc w:val="both"/>
        <w:ind w:left="660" w:hanging="328"/>
        <w:spacing w:after="0" w:line="298" w:lineRule="auto"/>
        <w:tabs>
          <w:tab w:leader="none" w:pos="655" w:val="left"/>
        </w:tabs>
        <w:numPr>
          <w:ilvl w:val="0"/>
          <w:numId w:val="62"/>
        </w:numPr>
        <w:rPr>
          <w:rFonts w:ascii="Arial" w:cs="Arial" w:eastAsia="Arial" w:hAnsi="Arial"/>
          <w:sz w:val="16"/>
          <w:szCs w:val="16"/>
          <w:color w:val="auto"/>
        </w:rPr>
      </w:pPr>
      <w:r>
        <w:rPr>
          <w:rFonts w:ascii="Arial" w:cs="Arial" w:eastAsia="Arial" w:hAnsi="Arial"/>
          <w:sz w:val="16"/>
          <w:szCs w:val="16"/>
          <w:b w:val="1"/>
          <w:bCs w:val="1"/>
          <w:color w:val="auto"/>
        </w:rPr>
        <w:t xml:space="preserve">Expand Geographically. </w:t>
      </w:r>
      <w:r>
        <w:rPr>
          <w:rFonts w:ascii="Arial" w:cs="Arial" w:eastAsia="Arial" w:hAnsi="Arial"/>
          <w:sz w:val="16"/>
          <w:szCs w:val="16"/>
          <w:color w:val="auto"/>
        </w:rPr>
        <w:t>We believe there is significant potential for us to grow the global reach of our platform. Our success in the United States</w:t>
      </w:r>
      <w:r>
        <w:rPr>
          <w:rFonts w:ascii="Arial" w:cs="Arial" w:eastAsia="Arial" w:hAnsi="Arial"/>
          <w:sz w:val="16"/>
          <w:szCs w:val="16"/>
          <w:b w:val="1"/>
          <w:bCs w:val="1"/>
          <w:color w:val="auto"/>
        </w:rPr>
        <w:t xml:space="preserve"> </w:t>
      </w:r>
      <w:r>
        <w:rPr>
          <w:rFonts w:ascii="Arial" w:cs="Arial" w:eastAsia="Arial" w:hAnsi="Arial"/>
          <w:sz w:val="16"/>
          <w:szCs w:val="16"/>
          <w:color w:val="auto"/>
        </w:rPr>
        <w:t>and our strong brand give us a solid foundation to expand into other geographies. Following our 2020 acquisition of Know Your Money (KYM), an online provider of financial guidance and tools in the United Kingdom, KYM was rebranded as NerdWallet UK. By deploying our playbook, organic traffic to the NerdWallet UK site has increased from approximately 10,000 monthly sessions pre-acquisition to approximately 90,000 monthly sessions in the second quarter of 2021. This early proof point has encouraged us to invest in further global expansion.</w:t>
      </w:r>
    </w:p>
    <w:p>
      <w:pPr>
        <w:spacing w:after="0" w:line="99" w:lineRule="exact"/>
        <w:rPr>
          <w:rFonts w:ascii="Arial" w:cs="Arial" w:eastAsia="Arial" w:hAnsi="Arial"/>
          <w:sz w:val="16"/>
          <w:szCs w:val="16"/>
          <w:color w:val="auto"/>
        </w:rPr>
      </w:pPr>
    </w:p>
    <w:p>
      <w:pPr>
        <w:jc w:val="both"/>
        <w:ind w:left="660" w:hanging="328"/>
        <w:spacing w:after="0" w:line="303" w:lineRule="auto"/>
        <w:tabs>
          <w:tab w:leader="none" w:pos="655" w:val="left"/>
        </w:tabs>
        <w:numPr>
          <w:ilvl w:val="0"/>
          <w:numId w:val="62"/>
        </w:numPr>
        <w:rPr>
          <w:rFonts w:ascii="Arial" w:cs="Arial" w:eastAsia="Arial" w:hAnsi="Arial"/>
          <w:sz w:val="16"/>
          <w:szCs w:val="16"/>
          <w:color w:val="auto"/>
        </w:rPr>
      </w:pPr>
      <w:r>
        <w:rPr>
          <w:rFonts w:ascii="Arial" w:cs="Arial" w:eastAsia="Arial" w:hAnsi="Arial"/>
          <w:sz w:val="16"/>
          <w:szCs w:val="16"/>
          <w:b w:val="1"/>
          <w:bCs w:val="1"/>
          <w:color w:val="auto"/>
        </w:rPr>
        <w:t xml:space="preserve">Broaden and Deepen our Partnerships with Financial Services Providers. </w:t>
      </w:r>
      <w:r>
        <w:rPr>
          <w:rFonts w:ascii="Arial" w:cs="Arial" w:eastAsia="Arial" w:hAnsi="Arial"/>
          <w:sz w:val="16"/>
          <w:szCs w:val="16"/>
          <w:color w:val="auto"/>
        </w:rPr>
        <w:t>We partner with banks, insurance agencies, financial advisors, loan</w:t>
      </w:r>
      <w:r>
        <w:rPr>
          <w:rFonts w:ascii="Arial" w:cs="Arial" w:eastAsia="Arial" w:hAnsi="Arial"/>
          <w:sz w:val="16"/>
          <w:szCs w:val="16"/>
          <w:b w:val="1"/>
          <w:bCs w:val="1"/>
          <w:color w:val="auto"/>
        </w:rPr>
        <w:t xml:space="preserve"> </w:t>
      </w:r>
      <w:r>
        <w:rPr>
          <w:rFonts w:ascii="Arial" w:cs="Arial" w:eastAsia="Arial" w:hAnsi="Arial"/>
          <w:sz w:val="16"/>
          <w:szCs w:val="16"/>
          <w:color w:val="auto"/>
        </w:rPr>
        <w:t>brokers and other financial services providers. As we deepen our relationships with our financial services partners, our pricing often increases as they see greater value in being matched with the well-informed consumers who use our platform. We will continue to identify new financial services partners, as well as vertical expansion opportunities with existing financial services partners to optimize our platform for consumers.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Market Opportunity</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a substantial market opportunity in the growing global market for financial services. Our comprehensive platform serves a broad set of financial verticals, including credit cards, mortgages, insurance, SMB products, personal loans, banking, investing and student loans.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current and primary addressable market opportunity is U.S. financial services digital advertising spend, which is expected to be more than $23 billion in 2021 and has been growing at double digit rates annually, according to eMarketer. Additionally, IDC estimates global financial services advertising spend to be approximately $73 billion in 2021, and we believe that we will be able to increasingly address this global spend as we grow internationally. As digital advertising spend continues to increase as a percentage of overall advertising spend, we expect our addressable market opportunity to grow along with it.</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the services provided by financial advisors, insurance agencies, loan brokers and others will increasingly transition online in the coming years, which will expand our addressable market. As a result of this offline-to-online shift, offline sales commission dollars will be reallocated to better align with the growth and importance of digital channels. To illustrate the growth potential of our addressable market, for example, the life insurance industry in 2019 spent $9 billion on advertising, of which $2 billion was digital advertising—yet, $13-$15 billion in commissions were still paid to agencies. As financial services providers modernize their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87</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to sales commissions and related compensation, we expect that our addressable market opportunity will continue to grow.</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Product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117475</wp:posOffset>
            </wp:positionV>
            <wp:extent cx="5349240" cy="21005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49240"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NerdWallet platform is designed to empower consumers at every stage of their financial journey through our personalized offerings. Whether consumers have a specific money question, are shopping for the “best” financial product or want to proactively stay on top of their finances, we provide financial guidance to meet their varied needs. We offer guidance across eight verticals: credit cards, mortgages, insurance, SMB products, personal loans, banking, investing and student loans.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our unbiased and comprehensive approach to financial guidance and personalized insights provides a competitive advantage for NerdWallet. This advantage will compound as we further expand our product offerings and as we continue to apply the power of machine learning to further refine our personalized insights. To ensure we are able to meet distinct consumer needs and preferences, our financial guidance is delivered in a variety of ways, organized in the following core categories: Learn, Shop and Manage.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Learn</w:t>
      </w:r>
    </w:p>
    <w:p>
      <w:pPr>
        <w:spacing w:after="0" w:line="2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mission is to provide clarity for all of life’s financial decisions, and we provide resources that make even the most complicated financial questions and topics simple to understand. The resources consumers can access on our platform include articles, calculators, videos and podcasts. We do this with our award-winning editorial team of Nerds who create and curate NerdWallet’s house views on a wide variety of personal finance topics. Our writers and editors, who have joined us from notable publications including Bloomberg and The Wall Street Journal, cover specific verticals day in and day out, and, as a result, are deeply knowledgeable about the financial areas they cover, producing high-quality and award-winning guidance. This trusted guidance has enabled us to build a large, well-informed audience, many of whom are ready to transact. Accordingly, we have become an attractive partner for financial services providers wanting to reach these high value consumers. Today, our platform stretches across many verticals, including credit cards, mortgages, insurance, SMB products, personal loans, banking, investing and student loans. These capabilities help consumers make educated decisions about financial products, while allowing us to provide our financial services partners with informed consumers ready to transact.</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Shop</w:t>
      </w:r>
    </w:p>
    <w:p>
      <w:pPr>
        <w:spacing w:after="0" w:line="23"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6"/>
          <w:szCs w:val="16"/>
          <w:color w:val="auto"/>
        </w:rPr>
        <w:t>NerdWallet’s platform and intuitive user interface help consumers find the products that best match their searches, instilling confidence in their financial decisions. Consumers can easily explore available products, filter results according to their specific needs, sort by NerdWallet rating and narrow down their options with the help of various tools, including side-by-side comparisons, “Best-of” lists and financial product reviews. In our credit card and loans verticals, we also offer the ability to personalize our recommendations by matching consumers to the appropriate lender for their unique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88</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Manage</w:t>
      </w:r>
    </w:p>
    <w:p>
      <w:pPr>
        <w:spacing w:after="0" w:line="2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NerdWallet makes it easy for our Registered Users to stay on top of their money by centralizing many of their financial decisions in one place. Consumers can get a holistic view of their finances, and hone in on specific details about their spending and saving patterns across accounts. By codifying insights from our award-winning editorial team, we are able to recommend smart money moves via contextual “nudges” for example, letting consumers know that the improvement in their credit score means that they could qualify for lower auto insurance rates. As a result, NerdWallet has become a one-stop-shop for consumers to track, manage and plan their financial futures.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Technology</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built our scalable technology platform to serve both the growing number of consumers searching for financial products digitally and the increasing number of financial service providers looking to reach consumers with the right characteristics for any given product. Additionally, beyond enabling all elements of our consumer “Learn, Shop, Manage” product experience, our technology is key to keeping our platform secure and compliant. The key capabilities and features of our platform include Content Management, Partner Access, Recommendation Engine and Personal Financial Management.</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Content Management</w:t>
      </w:r>
    </w:p>
    <w:p>
      <w:pPr>
        <w:spacing w:after="0" w:line="2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content management platform leverages structured data components to showcase our financial guidance to consumers at scale. By codifying our editorial team’s house views, we are able to dynamically recommend relevant content using machine learning for consumers seeking guidance and thus increase product matches. Our personalized article recommendations lead to higher click-through rates, ultimately increasing transactions on our platform.</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Partner Access</w:t>
      </w:r>
    </w:p>
    <w:p>
      <w:pPr>
        <w:spacing w:after="0" w:line="2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platform manages over 400 financial services partners across eight verticals. We have a team focused on ingesting and aggregating data from our financial services partners across our verticals and financial products to surface and apply product details and attributes for matching with consumers. Our partner data ingestion, quality and compliance processes ensures accuracy and scalability across our platform. We are able to onboard new partners quickly with significantly lower partner marketing compliance risk—for example, inaccurate displays of rewards, fees, or interest rates. Our partner platform also includes the ability to integrate prequalification experiences and targeting engines.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Recommendation Engine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proprietary recommendation engine uses machine learning to match consumers to financial products and partners that meet their unique needs.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Examples include, but are not limited to:</w:t>
      </w:r>
    </w:p>
    <w:p>
      <w:pPr>
        <w:spacing w:after="0" w:line="157" w:lineRule="exact"/>
        <w:rPr>
          <w:sz w:val="20"/>
          <w:szCs w:val="20"/>
          <w:color w:val="auto"/>
        </w:rPr>
      </w:pPr>
    </w:p>
    <w:p>
      <w:pPr>
        <w:ind w:left="660" w:hanging="328"/>
        <w:spacing w:after="0" w:line="308" w:lineRule="auto"/>
        <w:tabs>
          <w:tab w:leader="none" w:pos="655" w:val="left"/>
        </w:tabs>
        <w:numPr>
          <w:ilvl w:val="0"/>
          <w:numId w:val="63"/>
        </w:numPr>
        <w:rPr>
          <w:rFonts w:ascii="Arial" w:cs="Arial" w:eastAsia="Arial" w:hAnsi="Arial"/>
          <w:sz w:val="17"/>
          <w:szCs w:val="17"/>
          <w:color w:val="auto"/>
        </w:rPr>
      </w:pPr>
      <w:r>
        <w:rPr>
          <w:rFonts w:ascii="Arial" w:cs="Arial" w:eastAsia="Arial" w:hAnsi="Arial"/>
          <w:sz w:val="17"/>
          <w:szCs w:val="17"/>
          <w:color w:val="auto"/>
        </w:rPr>
        <w:t>For credit card products, our approval odds model determines a consumer's likelihood of getting approved, which ultimately saves them time, enables users to avoid unnecessary hard credit checks, and drives stronger conversion rates for our financial services partners.</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For some loans products, we operate a prequalification system that assists consumers through the underwriting process.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technology is flexible enough to engage with financial services partners in ways that align with each industry’s unique requirements and business practices.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Personal Financial Management</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logged-in experience for Registered Users serves as a one-stop shop for consumers to track, manage and maximize their finances, all in one place. We analyze first-party data, third-party data from financial account aggregators and credit reports to understand our users’ unique financial situations. Our recommendation engine surfaces insights and actions that users can take to make smart money moves, such as improving their credit scores, maximizing their credit card rewards or earning a higher savings interest rate. Additionally, our credit score predictive modeling can estimate the impact of financial decisions on consumers’ credit scores, thus enhancing the insights and recommendations that we can provide to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89</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Security and Privacy</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 consumer-first company that is building a trusted brand, we are both committed and mandated to adhere to the strictest privacy standards. We believe our commitment to data protection and privacy, as well as our superior insights and guidance, are the primary reasons why consumers provide us with personal data on our platform.</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practice a security-first approach to product development, with our security team involved in building our products, features, platforms and infrastructure from the beginning. This approach allows us to build with security as a core requirement rather than treating it as an afterthought. Our security team has a wide range of expertise, from corporate security to network security to application security, giving us the ability to design security into everything that we do, from product development to vendor selection to the tools that we use in our day-to-day work as Nerds.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Marketing</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marketing function is a critical way we reach and build trust with consumers and is an important growth lever for our business. Our marketing strategy is diversified across brand marketing, organic and performance marketing, customer relationship management and communications. Importantly, these strategies build on and reinforce one another, optimizing for building consumer trust and managing spend efficiently. Brand marketing campaigns, such as “Turn to the Nerds,” which encourage consumers to turn to NerdWallet with all of their money questions, increase awareness and drive top-of-funnel interest, while amplifying the effectiveness of our organic and performance marketing channels. All of our marketing programs and channels are measured by a data-driven media mix model to determine results and effectively allocate marketing investments to drive maximum business impact.</w:t>
      </w:r>
    </w:p>
    <w:p>
      <w:pPr>
        <w:spacing w:after="0" w:line="11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a substantial organic and performance marketing presence that drives high-intent traffic. Our organic marketing program leverages our substantial, proprietary body of trusted guidance coupled with expertise in SEO and public relations, to reinforce NerdWallet as a trusted authority in personal finance. Our performance marketing is also highly optimized for profitable revenue growth.</w:t>
      </w:r>
    </w:p>
    <w:p>
      <w:pPr>
        <w:spacing w:after="0" w:line="13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NerdWallet’s editorial team is made up of writers and editors who have worked at publications including Bloomberg and The Wall Street Journal and are deeply knowledgeable about personal finance. Our editorial team provides well-researched guidance across all areas of personal finance and for various stages of consumers’ financial journeys, from basic information about saving for retirement to timely guidance about applying for unemployment to in-depth product reviews. Our high quality content is distributed by approximately 30 news sites such as The Associated Press, and our writers are frequently featured providing guidance in print, online and broadcast media such as The New York Times and Good Morning America, among others.</w:t>
      </w:r>
    </w:p>
    <w:p>
      <w:pPr>
        <w:spacing w:after="0" w:line="10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communications team oversees the execution of consumer, product and corporate communications to both reinforce NerdWallet as a trusted brand and support our organic growth strategies by generating considerable media and syndication coverage, particularly for NerdWallet’s consumer finance spokespeople.</w:t>
      </w:r>
    </w:p>
    <w:p>
      <w:pPr>
        <w:spacing w:after="0" w:line="13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believe our marketing strategy will position NerdWallet as the trusted brand of choice in personal finance, improve traffic acquisition at all levels of the funnel, drive engagement with users, and enable us to scale quickly across new consumer finance verticals and geographies.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Culture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NerdWallet’s culture is defined by its vision, a world where everyone makes financial decisions with confidence. We attract people who are passionate about bringing our mission to life and inspired by the possibility of making real change—to brighten futures, ask hard questions, usher in solutions and provide our consumers with clarity and confidence.</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Our mission-driven Nerds are the key to our success and the reason we believe we will achieve our mission; they are also one of our most crucial areas of investment. We’re consistently recognized as a </w:t>
      </w:r>
      <w:r>
        <w:rPr>
          <w:rFonts w:ascii="Arial" w:cs="Arial" w:eastAsia="Arial" w:hAnsi="Arial"/>
          <w:sz w:val="17"/>
          <w:szCs w:val="17"/>
          <w:i w:val="1"/>
          <w:iCs w:val="1"/>
          <w:color w:val="auto"/>
        </w:rPr>
        <w:t>Fortune</w:t>
      </w:r>
      <w:r>
        <w:rPr>
          <w:rFonts w:ascii="Arial" w:cs="Arial" w:eastAsia="Arial" w:hAnsi="Arial"/>
          <w:sz w:val="17"/>
          <w:szCs w:val="17"/>
          <w:color w:val="auto"/>
        </w:rPr>
        <w:t xml:space="preserve"> “Best Place to Work” due to our competitive employee benefits, commitment to employee growth and empowerment and a flexible workplace environment. We also infuse Nerdy fun along the way with employee activities like an annual Charity Auction, employee appreciation events like Nerd Love Week, and more. And we’ve embraced a remote-first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90</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workplace culture: offering remote-first support like flexible working hours and stipends, reimagining favorite NerdWallet traditions and rethinking employee engagement for a more virtual world. Importantly, our remote-first culture also allows us to reach, attract and retain more diverse talent across all levels of our organization. Attracting and retaining highly skilled, diverse talent is a key component of our burgeoning diversity, equity and inclusion efforts, and is absolutely critical to our success as a business and to fully realizing NerdWallet’s mission. Our Nerdy, mission-driven culture also extends beyond our four walls with investments in our community. We have several employee resource groups to engage our Nerds, including a robust volunteer group, Nerds Pay it Forward, who are active in supporting a variety of organizations and causes. We also recently launched a Corporate Social Responsibility Program focused on advancing equal economic opportunity and are working with community development credit unions to help provide underrepresented communities with access to equitable financial products and services.</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the core of our Nerdy culture are our values. They’re not just words written on a wall or printed on t-shirts, but lived and breathed every day by every Nerd: Consumer, Company, Team, Self; Relentless Self-Improvement; Ownership; Informed Risk Taking; and Open, Candid and Constructive. By living our values and embracing our Nerdiness, our Nerds have propelled us to greater success every year.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focused on attracting, developing and retaining top talent to help drive the growth of our business. We have a strong commitment to building a diverse workforce that reflects our values and the needs of our user base.</w:t>
      </w:r>
    </w:p>
    <w:p>
      <w:pPr>
        <w:spacing w:after="0" w:line="116"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During the COVID-19 pandemic we transitioned all of our employees to a remote work environment in order to mitigate the spread of COVID-19 and comply with local shelter in place policies. Subsequently we adopted a new policy that allows for almost all roles to be open to remote employees on an ongoing basis, even if local shelter in place restrictions are lifted. We expect our workforce will continue to operate effectively in this remote work environment, as it has done during the pandemic.</w:t>
      </w:r>
    </w:p>
    <w:p>
      <w:pPr>
        <w:spacing w:after="0" w:line="133"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As of June 30, 2021, we had 634 full</w:t>
      </w:r>
      <w:r>
        <w:rPr>
          <w:rFonts w:ascii="MS PGothic" w:cs="MS PGothic" w:eastAsia="MS PGothic" w:hAnsi="MS PGothic"/>
          <w:sz w:val="18"/>
          <w:szCs w:val="18"/>
          <w:color w:val="auto"/>
        </w:rPr>
        <w:t>‑</w:t>
      </w:r>
      <w:r>
        <w:rPr>
          <w:rFonts w:ascii="Arial" w:cs="Arial" w:eastAsia="Arial" w:hAnsi="Arial"/>
          <w:sz w:val="18"/>
          <w:szCs w:val="18"/>
          <w:color w:val="auto"/>
        </w:rPr>
        <w:t>time employees. None of our employees are represented by a labor union or covered by collective bargaining agreements. We have not experienced any work stoppages. We consider our relationship with our employees to be good.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built a scaled and highly differentiated online platform. We face competition from both online and offline financial guidance providers in four primary categories: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Consumer Personal Finance Guidance</w:t>
      </w:r>
    </w:p>
    <w:p>
      <w:pPr>
        <w:spacing w:after="0" w:line="167"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Financial advisors, agents, and brokers </w:t>
      </w:r>
      <w:r>
        <w:rPr>
          <w:rFonts w:ascii="Arial" w:cs="Arial" w:eastAsia="Arial" w:hAnsi="Arial"/>
          <w:sz w:val="18"/>
          <w:szCs w:val="18"/>
          <w:color w:val="auto"/>
        </w:rPr>
        <w:t>who provide guidance and expertise as part of their offerings;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Traditional media </w:t>
      </w:r>
      <w:r>
        <w:rPr>
          <w:rFonts w:ascii="Arial" w:cs="Arial" w:eastAsia="Arial" w:hAnsi="Arial"/>
          <w:sz w:val="18"/>
          <w:szCs w:val="18"/>
          <w:color w:val="auto"/>
        </w:rPr>
        <w:t>such as the New York Times, U.S. News &amp; World Report and other print and broadcast media;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Friends and family</w:t>
      </w:r>
      <w:r>
        <w:rPr>
          <w:rFonts w:ascii="Arial" w:cs="Arial" w:eastAsia="Arial" w:hAnsi="Arial"/>
          <w:sz w:val="18"/>
          <w:szCs w:val="18"/>
          <w:color w:val="auto"/>
        </w:rPr>
        <w:t>, as many consumers consult friends and family for financial guidance;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Influencers on social media platforms.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we compete with the following for advertising budgets designated for financial products:</w:t>
      </w:r>
    </w:p>
    <w:p>
      <w:pPr>
        <w:spacing w:after="0" w:line="167" w:lineRule="exact"/>
        <w:rPr>
          <w:sz w:val="20"/>
          <w:szCs w:val="20"/>
          <w:color w:val="auto"/>
        </w:rPr>
      </w:pPr>
    </w:p>
    <w:p>
      <w:pPr>
        <w:ind w:left="660" w:right="20" w:hanging="328"/>
        <w:spacing w:after="0" w:line="282"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Financial services providers' own marketing</w:t>
      </w:r>
      <w:r>
        <w:rPr>
          <w:rFonts w:ascii="Arial" w:cs="Arial" w:eastAsia="Arial" w:hAnsi="Arial"/>
          <w:sz w:val="18"/>
          <w:szCs w:val="18"/>
          <w:color w:val="auto"/>
        </w:rPr>
        <w:t>: Financial services providers connect directly through many different channels, digitally (in-app,</w:t>
      </w:r>
      <w:r>
        <w:rPr>
          <w:rFonts w:ascii="Arial" w:cs="Arial" w:eastAsia="Arial" w:hAnsi="Arial"/>
          <w:sz w:val="18"/>
          <w:szCs w:val="18"/>
          <w:b w:val="1"/>
          <w:bCs w:val="1"/>
          <w:color w:val="auto"/>
        </w:rPr>
        <w:t xml:space="preserve"> </w:t>
      </w:r>
      <w:r>
        <w:rPr>
          <w:rFonts w:ascii="Arial" w:cs="Arial" w:eastAsia="Arial" w:hAnsi="Arial"/>
          <w:sz w:val="18"/>
          <w:szCs w:val="18"/>
          <w:color w:val="auto"/>
        </w:rPr>
        <w:t>email etc.) and offline channels (direct mail, printed media etc.);</w:t>
      </w:r>
    </w:p>
    <w:p>
      <w:pPr>
        <w:spacing w:after="0" w:line="107"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Online search engines</w:t>
      </w:r>
      <w:r>
        <w:rPr>
          <w:rFonts w:ascii="Arial" w:cs="Arial" w:eastAsia="Arial" w:hAnsi="Arial"/>
          <w:sz w:val="18"/>
          <w:szCs w:val="18"/>
          <w:color w:val="auto"/>
        </w:rPr>
        <w:t>: Financial services providers spend advertising budgets with online search engines, primarily Google AdWords, as many</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consumers turn to Google to answer their personal finance questions; and</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Online marketplaces</w:t>
      </w:r>
      <w:r>
        <w:rPr>
          <w:rFonts w:ascii="Arial" w:cs="Arial" w:eastAsia="Arial" w:hAnsi="Arial"/>
          <w:sz w:val="18"/>
          <w:szCs w:val="18"/>
          <w:color w:val="auto"/>
        </w:rPr>
        <w:t>: including Bankrate, Credit Karma, LendingTree, and Zillow.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91</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believe we compete favorably due to the breadth and depth of our financial guidance, the trust we’ve built with our consumers, and our brand, organic traffic, convenience, and simplicity.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believe that our intellectual property rights are valuable and important to our business. We rely on trademarks, copyrights, trade secrets, license agreements, intellectual property assignment agreements, confidentiality procedures, non-disclosure agreements, and employee and contractor non-disclosure and invention assignment agreements to establish and protect our proprietary rights. Though we rely in part upon these legal and contractual protections, we believe that factors such as our skills and the ingenuity of our employees, the quality of our guidance to consumers and the functionality and frequent enhancements to our platform are larger contributors to our success in the marketplace.</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trademark rights in our name, our logo, and other brand indicia, and have trademark registrations for select marks in the United States and many other jurisdictions around the world. We also have registered domain names for websites that we use in our business.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intend to pursue additional intellectual property protection to the extent we believe it would be beneficial and cost-effective. Despite our efforts to protect our intellectual property rights, they may not be respected in the future or may be invalidated, circumvented, or challenged. For additional information, see the section titled “Risk Factors—Risks Related to Our Technology and Intellectual Property—Failure to protect or enforce our intellectual property rights could harm our business, financial condition and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market and provide our products and services in heavily regulated industries through a number of different channels across the United States and the UK. As a result, aspects of our business are potentially subject to a variety of U.S. and UK laws and regulations, including:</w:t>
      </w:r>
    </w:p>
    <w:p>
      <w:pPr>
        <w:spacing w:after="0" w:line="92" w:lineRule="exact"/>
        <w:rPr>
          <w:sz w:val="20"/>
          <w:szCs w:val="20"/>
          <w:color w:val="auto"/>
        </w:rPr>
      </w:pPr>
    </w:p>
    <w:p>
      <w:pPr>
        <w:jc w:val="both"/>
        <w:ind w:left="660" w:hanging="328"/>
        <w:spacing w:after="0" w:line="279" w:lineRule="auto"/>
        <w:tabs>
          <w:tab w:leader="none" w:pos="655"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Truth-in-Lending Act, the Equal Credit Opportunity Act, the Fair Credit Reporting Act (FCRA), Fair and Accurate Credit Transactions Act of 2003, the Fair Housing Act, the Real Estate Settlement Procedures Act, and similar state laws, all of which place certain restrictions on the manner in which mortgages and other consumer loans are marketed and originated, and some of which impose restrictions on the amount and nature of fees that may be charged to lenders and real estate professionals for providing or obtaining consumer loan requests;</w:t>
      </w:r>
    </w:p>
    <w:p>
      <w:pPr>
        <w:spacing w:after="0" w:line="117"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Dodd-Frank Wall Street Reform and Consumer Protection Act, which imposes, among other things, a broad prohibition on Unfair, Deceptive and Abusive Acts and Practices (UDAAPs) in connection with consumer financial products and services, limitations on fees charged by mortgage lenders, and requirements related to mortgage disclosures and is enforced by the Consumer Financial Protection Bureau and state regulatory authorities;</w:t>
      </w:r>
    </w:p>
    <w:p>
      <w:pPr>
        <w:spacing w:after="0" w:line="13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Federal Trade Commission Act (FTC Act), which, among other things, imposes a broad prohibition on Unfair and Deceptive Acts and Practices in or affecting commerce, and is enforced by the Federal Trade Commission.</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State laws that impose prohibitions on Unfair, Deceptive and Abusive Acts and Practices similar to the Dodd-Frank Act and FTC Act’s prohibitions.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Federal and State licensing laws;</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Federal and state laws, which impose restrictions on activities conducted through telephone, mail, email, mobile device or the Internet, including the Telemarketing Sales Rule, the Telephone Consumer Protection Act, and the Controlling the Assault of Non-Solicited Pornography and Marketing Act of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92</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44" w:lineRule="exact"/>
        <w:rPr>
          <w:sz w:val="20"/>
          <w:szCs w:val="20"/>
          <w:color w:val="auto"/>
        </w:rPr>
      </w:pPr>
    </w:p>
    <w:p>
      <w:pPr>
        <w:ind w:left="660" w:right="20" w:hanging="328"/>
        <w:spacing w:after="0" w:line="277"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Federal and state laws relating to offering of credit repair services to consumers, including such laws that impose restrictions on the usage and storage of consumer credit information such as the Credit Repair Organizations Act and the FCRA;</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Federal and state laws and regulations relating to data privacy and security, such as the Gramm-Leach-Bliley Act and the California Consumer Privacy Act (CCPA), which impact how we collect, use, store, share and otherwise process personal information of consumers and other individuals;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Recent state laws regulating data privacy and security such as the CCPA; and</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Foreign laws and regulations relating to data privacy and security, such as the UK General Data Protection Regulation, the UK Data Protection Act 2018 and the General Data Protection Regulation 2016/679, each of which regulates our collection, processing, disclosure and other use of data relating to identifiable living individuals (personal data).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corporate headquarters are located in San Francisco, California. We maintain additional offices in New York City and Norwich, UK. We lease all of our facilities and do not own any real property. We believe our facilities are adequate and suitable for our current needs and that, should it be needed, suitable additional or alternative space will be available to accommodate our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93</w:t>
      </w:r>
    </w:p>
    <w:p>
      <w:pPr>
        <w:sectPr>
          <w:pgSz w:w="11900" w:h="16838" w:orient="portrait"/>
          <w:cols w:equalWidth="0" w:num="1">
            <w:col w:w="11240"/>
          </w:cols>
          <w:pgMar w:left="320" w:top="1440" w:right="339" w:bottom="1440"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346075</wp:posOffset>
            </wp:positionV>
            <wp:extent cx="7029450" cy="90868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7029450" cy="9086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346075</wp:posOffset>
            </wp:positionV>
            <wp:extent cx="7115175" cy="90868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7115175" cy="9086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346075</wp:posOffset>
            </wp:positionV>
            <wp:extent cx="7115175" cy="90868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115175" cy="9086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140"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MANAGEMENT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for our executive officers and directors as of October 1,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5060" w:type="dxa"/>
            <w:vAlign w:val="bottom"/>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5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r>
      <w:tr>
        <w:trPr>
          <w:trHeight w:val="243"/>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Executive Officers</w:t>
            </w: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6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Tim Chen</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100" w:type="dxa"/>
            <w:vAlign w:val="bottom"/>
          </w:tcPr>
          <w:p>
            <w:pPr>
              <w:spacing w:after="0"/>
              <w:rPr>
                <w:sz w:val="21"/>
                <w:szCs w:val="21"/>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7"/>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6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Lauren StClair</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41</w:t>
            </w:r>
          </w:p>
        </w:tc>
        <w:tc>
          <w:tcPr>
            <w:tcW w:w="100" w:type="dxa"/>
            <w:vAlign w:val="bottom"/>
            <w:tcBorders>
              <w:bottom w:val="single" w:sz="8" w:color="CCEEFF"/>
            </w:tcBorders>
            <w:shd w:val="clear" w:color="auto" w:fill="CCEEFF"/>
          </w:tcPr>
          <w:p>
            <w:pPr>
              <w:spacing w:after="0"/>
              <w:rPr>
                <w:sz w:val="21"/>
                <w:szCs w:val="21"/>
                <w:color w:val="auto"/>
              </w:rPr>
            </w:pPr>
          </w:p>
        </w:tc>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Financial Officer</w:t>
            </w:r>
          </w:p>
        </w:tc>
      </w:tr>
      <w:tr>
        <w:trPr>
          <w:trHeight w:val="243"/>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Kevin Yuann</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100" w:type="dxa"/>
            <w:vAlign w:val="bottom"/>
          </w:tcPr>
          <w:p>
            <w:pPr>
              <w:spacing w:after="0"/>
              <w:rPr>
                <w:sz w:val="21"/>
                <w:szCs w:val="21"/>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Chief Business Officer</w:t>
            </w:r>
          </w:p>
        </w:tc>
      </w:tr>
      <w:tr>
        <w:trPr>
          <w:trHeight w:val="27"/>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6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Kelly Gillease</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100" w:type="dxa"/>
            <w:vAlign w:val="bottom"/>
            <w:tcBorders>
              <w:bottom w:val="single" w:sz="8" w:color="CCEEFF"/>
            </w:tcBorders>
            <w:shd w:val="clear" w:color="auto" w:fill="CCEEFF"/>
          </w:tcPr>
          <w:p>
            <w:pPr>
              <w:spacing w:after="0"/>
              <w:rPr>
                <w:sz w:val="21"/>
                <w:szCs w:val="21"/>
                <w:color w:val="auto"/>
              </w:rPr>
            </w:pPr>
          </w:p>
        </w:tc>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Marketing Officer</w:t>
            </w:r>
          </w:p>
        </w:tc>
      </w:tr>
      <w:tr>
        <w:trPr>
          <w:trHeight w:val="243"/>
        </w:trPr>
        <w:tc>
          <w:tcPr>
            <w:tcW w:w="51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Non-Employee Directors</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6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6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Jennifer E. Ceran</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tcBorders>
              <w:bottom w:val="single" w:sz="8" w:color="CCEEFF"/>
            </w:tcBorders>
            <w:shd w:val="clear" w:color="auto" w:fill="CCEEFF"/>
          </w:tcPr>
          <w:p>
            <w:pPr>
              <w:spacing w:after="0"/>
              <w:rPr>
                <w:sz w:val="21"/>
                <w:szCs w:val="21"/>
                <w:color w:val="auto"/>
              </w:rPr>
            </w:pPr>
          </w:p>
        </w:tc>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Lynne M. Laube</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tcPr>
          <w:p>
            <w:pPr>
              <w:spacing w:after="0"/>
              <w:rPr>
                <w:sz w:val="21"/>
                <w:szCs w:val="21"/>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6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Thomas Loverro</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100" w:type="dxa"/>
            <w:vAlign w:val="bottom"/>
            <w:tcBorders>
              <w:bottom w:val="single" w:sz="8" w:color="CCEEFF"/>
            </w:tcBorders>
            <w:shd w:val="clear" w:color="auto" w:fill="CCEEFF"/>
          </w:tcPr>
          <w:p>
            <w:pPr>
              <w:spacing w:after="0"/>
              <w:rPr>
                <w:sz w:val="21"/>
                <w:szCs w:val="21"/>
                <w:color w:val="auto"/>
              </w:rPr>
            </w:pPr>
          </w:p>
        </w:tc>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James D. Robinson III</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85</w:t>
            </w:r>
          </w:p>
        </w:tc>
        <w:tc>
          <w:tcPr>
            <w:tcW w:w="100" w:type="dxa"/>
            <w:vAlign w:val="bottom"/>
          </w:tcPr>
          <w:p>
            <w:pPr>
              <w:spacing w:after="0"/>
              <w:rPr>
                <w:sz w:val="21"/>
                <w:szCs w:val="21"/>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Tim Chen</w:t>
      </w:r>
      <w:r>
        <w:rPr>
          <w:rFonts w:ascii="Arial" w:cs="Arial" w:eastAsia="Arial" w:hAnsi="Arial"/>
          <w:sz w:val="18"/>
          <w:szCs w:val="18"/>
          <w:color w:val="auto"/>
        </w:rPr>
        <w:t>. Mr. Chen has served as our Chief Executive Officer since February 2009 and as a member of our board of directors since December 2011.</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founding the Company that would become NerdWallet in 2009, Mr. Chen worked at JAT Capital Management, L.P. and Perry Capital as an Investor and at Credit Suisse as an Equity Research Associate. Mr. Chen holds a B.A. in Economics from Stanford University. We believe Mr. Chen is qualified to serve on our board of directors due to his perspective and experience from serving as our Chief Executive Officer, as well as his experience in the finance industry.</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Lauren StClair</w:t>
      </w:r>
      <w:r>
        <w:rPr>
          <w:rFonts w:ascii="Arial" w:cs="Arial" w:eastAsia="Arial" w:hAnsi="Arial"/>
          <w:sz w:val="18"/>
          <w:szCs w:val="18"/>
          <w:color w:val="auto"/>
        </w:rPr>
        <w:t>. Ms. StClair has served as our Chief Financial Officer since December 2020. Prior to joining NerdWallet, Ms. StClair served as CFO,</w:t>
      </w:r>
      <w:r>
        <w:rPr>
          <w:rFonts w:ascii="Arial" w:cs="Arial" w:eastAsia="Arial" w:hAnsi="Arial"/>
          <w:sz w:val="18"/>
          <w:szCs w:val="18"/>
          <w:i w:val="1"/>
          <w:iCs w:val="1"/>
          <w:color w:val="auto"/>
        </w:rPr>
        <w:t xml:space="preserve"> </w:t>
      </w:r>
      <w:r>
        <w:rPr>
          <w:rFonts w:ascii="Arial" w:cs="Arial" w:eastAsia="Arial" w:hAnsi="Arial"/>
          <w:sz w:val="18"/>
          <w:szCs w:val="18"/>
          <w:color w:val="auto"/>
        </w:rPr>
        <w:t>North America at eBay Inc., a position she held since June 2019. Prior to June 2019, Ms. StClair served as CFO, International at StubHub, a position she held since February 2017. Prior to February 2017, Ms. StClair served as Director, Investor Relations at eBay Inc. Ms. StClair holds a B.S. from Stanford University and M.B.A. from Duke University.</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Kevin Yuann</w:t>
      </w:r>
      <w:r>
        <w:rPr>
          <w:rFonts w:ascii="Arial" w:cs="Arial" w:eastAsia="Arial" w:hAnsi="Arial"/>
          <w:sz w:val="18"/>
          <w:szCs w:val="18"/>
          <w:color w:val="auto"/>
        </w:rPr>
        <w:t>. Mr. Yuann has served as our Chief Business Officer since March 2021. Prior to that, Mr. Yuann served as Vice President from August</w:t>
      </w:r>
      <w:r>
        <w:rPr>
          <w:rFonts w:ascii="Arial" w:cs="Arial" w:eastAsia="Arial" w:hAnsi="Arial"/>
          <w:sz w:val="18"/>
          <w:szCs w:val="18"/>
          <w:i w:val="1"/>
          <w:iCs w:val="1"/>
          <w:color w:val="auto"/>
        </w:rPr>
        <w:t xml:space="preserve"> </w:t>
      </w:r>
      <w:r>
        <w:rPr>
          <w:rFonts w:ascii="Arial" w:cs="Arial" w:eastAsia="Arial" w:hAnsi="Arial"/>
          <w:sz w:val="18"/>
          <w:szCs w:val="18"/>
          <w:color w:val="auto"/>
        </w:rPr>
        <w:t>2016 to March 2021, as Senior Director from March 2016 to August 2016, and Director from July 2014 to March 2016. Mr. Yuann holds an A.B. from Brown University and M.B.A. from the University of California, Los Angeles.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Kelly Gillease</w:t>
      </w:r>
      <w:r>
        <w:rPr>
          <w:rFonts w:ascii="Arial" w:cs="Arial" w:eastAsia="Arial" w:hAnsi="Arial"/>
          <w:sz w:val="18"/>
          <w:szCs w:val="18"/>
          <w:color w:val="auto"/>
        </w:rPr>
        <w:t>. Ms. Gillease has served as our Chief Marketing Officer since September of 2019. Prior to September 2019, Ms. Gillease served as our</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Marketing beginning in August of 2018. Prior to joining NerdWallet, Ms. Gillease served as Chief Marketing Officer at StudyBlue, a position she held since February 2017. Prior to February 2017, Ms. Gillease served as Vice President, Marketing at TripAdvisor/Viator. Ms. Gillease holds a B.A. from the University of California, Berkeley.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Jennifer E. Ceran</w:t>
      </w:r>
      <w:r>
        <w:rPr>
          <w:rFonts w:ascii="Arial" w:cs="Arial" w:eastAsia="Arial" w:hAnsi="Arial"/>
          <w:sz w:val="17"/>
          <w:szCs w:val="17"/>
          <w:color w:val="auto"/>
        </w:rPr>
        <w:t>. Ms. Ceran has been a member of our board of directors since 2020. Until January 2021, she served as Chief Financial Officer of</w:t>
      </w:r>
      <w:r>
        <w:rPr>
          <w:rFonts w:ascii="Arial" w:cs="Arial" w:eastAsia="Arial" w:hAnsi="Arial"/>
          <w:sz w:val="17"/>
          <w:szCs w:val="17"/>
          <w:i w:val="1"/>
          <w:iCs w:val="1"/>
          <w:color w:val="auto"/>
        </w:rPr>
        <w:t xml:space="preserve"> </w:t>
      </w:r>
      <w:r>
        <w:rPr>
          <w:rFonts w:ascii="Arial" w:cs="Arial" w:eastAsia="Arial" w:hAnsi="Arial"/>
          <w:sz w:val="17"/>
          <w:szCs w:val="17"/>
          <w:color w:val="auto"/>
        </w:rPr>
        <w:t>Smartsheet Inc., a role she held since September 2016. Prior to joining Smartsheet, Ms. Ceran served as the Chief Financial Officer of Quotient Technology, Inc., an online marketing platform, from September 2015 to September 2016. From 2012 to September 2015, Ms. Ceran served as Vice President of Finance at Box, Inc., a cloud content management platform. From 2003 to 2012, Ms. Ceran served in various leadership roles at eBay Inc., a global commerce and payments platform, including as Vice President of Investor Relations, Vice President of Financial Planning and Analysis, and Vice President and Treasurer. Ms. Ceran is also a member of the board of directors of Plum Acquisition Corp. I, where she serves as chair of the audit committee. Ms. Ceran holds a B.A. in Communications and French from Vanderbilt University and a M.B.A. in Finance and Accounting from the University of Chicago, Booth School of Business. Ms. Ceran brings to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97</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valuable financial and business expertise through her years of experience as a chief financial officer with publicly traded companies. Ms. Ceran provides an important role in leading the Board’s activities on financial and auditing matters, as well as collaborating with our independent registered public accounting firm and management team in these areas.</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Lynne M. Laube</w:t>
      </w:r>
      <w:r>
        <w:rPr>
          <w:rFonts w:ascii="Arial" w:cs="Arial" w:eastAsia="Arial" w:hAnsi="Arial"/>
          <w:sz w:val="18"/>
          <w:szCs w:val="18"/>
          <w:color w:val="auto"/>
        </w:rPr>
        <w:t>. Ms. Laube has been a member of our board of directors since 2020. She has served as the Chief Executive Officer of Cardlytics, Inc.</w:t>
      </w:r>
      <w:r>
        <w:rPr>
          <w:rFonts w:ascii="Arial" w:cs="Arial" w:eastAsia="Arial" w:hAnsi="Arial"/>
          <w:sz w:val="18"/>
          <w:szCs w:val="18"/>
          <w:i w:val="1"/>
          <w:iCs w:val="1"/>
          <w:color w:val="auto"/>
        </w:rPr>
        <w:t xml:space="preserve"> </w:t>
      </w:r>
      <w:r>
        <w:rPr>
          <w:rFonts w:ascii="Arial" w:cs="Arial" w:eastAsia="Arial" w:hAnsi="Arial"/>
          <w:sz w:val="18"/>
          <w:szCs w:val="18"/>
          <w:color w:val="auto"/>
        </w:rPr>
        <w:t>since May of 2020 and as a director of Cardlytics, Inc., since 2008. Prior to that Ms. Laube served as the Chief Operating Officer of Cardlytics, Inc., a role she held since 2008. From 1994 to 2008, Ms. Laube held various positions at Capital One, including as a Vice President. Ms. Laube started her career at Bank One Corporation, where she specialized in operations analysis. Ms. Laube holds a B.S. in Finance and Marketing from the University of Cincinnati. Ms. Laube’s extensive experience in the financial industry, and in analytics and operations, brings a valuable perspective to our Board, along with her experience as a chief executive officer.</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Thomas Loverro. </w:t>
      </w:r>
      <w:r>
        <w:rPr>
          <w:rFonts w:ascii="Arial" w:cs="Arial" w:eastAsia="Arial" w:hAnsi="Arial"/>
          <w:sz w:val="18"/>
          <w:szCs w:val="18"/>
          <w:color w:val="auto"/>
        </w:rPr>
        <w:t>Mr. Loverro has been a member of our board of directors since 2019. Mr. Loverro is currently a General Partner and Managing</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at IVP, a role he has held since 2019. Prior to that Mr. Loverro served as a Principal at IVP. Prior to joining IVP in 2015, Mr. Loverro was a Principal at RRE Ventures. Mr. Loverro holds a B.A. from Stanford University, where he graduated with Distinction and a M.B.A. from the Kellogg School of Management. Mr. Loverro’s years of experience in venture capital investing and his insights in building businesses provide a valuable perspective to our Board.</w:t>
      </w:r>
    </w:p>
    <w:p>
      <w:pPr>
        <w:spacing w:after="0" w:line="13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James D. Robinson III. </w:t>
      </w:r>
      <w:r>
        <w:rPr>
          <w:rFonts w:ascii="Arial" w:cs="Arial" w:eastAsia="Arial" w:hAnsi="Arial"/>
          <w:sz w:val="17"/>
          <w:szCs w:val="17"/>
          <w:color w:val="auto"/>
        </w:rPr>
        <w:t>Mr. Robinson has been a member of our board of directors since 2017. Mr. Robinson is a founder and general partner at RRE</w:t>
      </w:r>
      <w:r>
        <w:rPr>
          <w:rFonts w:ascii="Arial" w:cs="Arial" w:eastAsia="Arial" w:hAnsi="Arial"/>
          <w:sz w:val="17"/>
          <w:szCs w:val="17"/>
          <w:i w:val="1"/>
          <w:iCs w:val="1"/>
          <w:color w:val="auto"/>
        </w:rPr>
        <w:t xml:space="preserve"> </w:t>
      </w:r>
      <w:r>
        <w:rPr>
          <w:rFonts w:ascii="Arial" w:cs="Arial" w:eastAsia="Arial" w:hAnsi="Arial"/>
          <w:sz w:val="17"/>
          <w:szCs w:val="17"/>
          <w:color w:val="auto"/>
        </w:rPr>
        <w:t>Ventures. Prior to founding RRE in 1994, Mr. Robinson served as Chairman and Chief Executive Officer of American Express Company from 1977 to 1993. Mr. Robinson was also a Partner at White Weld &amp; Co., and an officer of Morgan Guaranty Trust Company, where he served as an Assistant to the Chairman and Chief Executive Officer. He has served since 1970 as both a board member and chairperson of the Memorial Sloan-Kettering Cancer Center, and he is Chairman Emeritus of the Partnership for New York City. He also served as a board member of the Coca-Cola Company from 1975 to 2015 and as a board member of Bristol-Myers Squibb from 1979 to 2008, serving as chairperson from 2005 to 2008. Mr. Robinson holds a B.S. from Georgia Institute of Technology and a M.B.A. from Harvard Business School. Mr. Robinson brings to our Board deep experience in the financial industry, along with his substantial experience as a director of various public companies.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business and affairs are managed under the direction of our board of directors. We currently have five directors. Our current directors will continue to serve as directors until their resignation, removal or successor is duly elected.</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Five of our directors currently serve on the board of directors pursuant to the provisions of a voting agreement dated as of January 30, 2015 between us and certain of our stockholders. Under the terms of this voting agreement, the stockholders who are party thereto agreed to vote their respective shares so as to elect (1) one director designated by Institutional Venture Partners XIV, L.P., currently Mr. Loverro; (2) one director designated by RRE Ventures VI LP, currently Mr. Robinson; (3) two independent directors elected by the holders of common stock and preferred stock, currently Ms. Ceran and Ms. Laube; and (4) one director designated by the holders of Class F common stock, currently Mr. Chen. This voting agreement will terminate upon the closing of this offering and there will be no further contractual arrangements regarding the election of our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98</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board of directors has undertaken a review of the independence of each director. Based on information provided by each director concerning his or her background, employment and affiliations, our board of directors has determined that Mses. Ceran and Laube and Messrs. Loverro and Robinson do not have relationships that would interfere with the exercise of independent judgment in carrying out the responsibilities of a director and that each of these directors is “independent” as that term is defined under the listing standards.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held by each non-employee director and the transactions described in the section titled “Certain Relationships and Related Party Transactions.”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Controlled Company</w:t>
      </w:r>
    </w:p>
    <w:p>
      <w:pPr>
        <w:spacing w:after="0" w:line="17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are a “controlled company” under the corporate governance rules of the Nasdaq Listing Rules because Tim Chen and his affiliated trusts control a majority of the voting power of our outstanding capital stock. Therefore, we are not required to have a majority of our board of directors be independent, nor are we required to have a compensation committee or an independent nominating function. In light of our status as a controlled company, our board of directors has determined not to have an independent nominating function and to have the full board of directors be directly responsible for nominating members of our board of directors. Our board of directors has also determined to have a compensation committee (although we are not required to have one), but our compensation committee will not be comprised solely of independent directors. Additionally, so long as the outstanding shares of our Class B common stock held by Mr. Chen and his affiliated trusts represent a majority of the combined voting power of our common stock, Mr. Chen will be able to effectively control all matters submitted to our stockholders for a vote, as well as the overall management and direction of our company.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7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Our board of directors has established an audit committee and a compensation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audit committee consists of Mses. Ceran and Laube and Mr. Loverro. Our board of directors has determined that Mses. Ceran and Laube and Mr. Loverro satisfy the independence requirements under the listing standards of Nasdaq and Rule 10A-3(b)(1) of the Exchange Act. The chair of our audit committee is Ms. Ceran. Our board of directors has determined that Ms. Ceran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their employment.</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primary purpose of the audit committee is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130"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helping our board of directors oversee our corporate accounting and financial reporting processes;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managing the selection, engagement, qualifications, independence and performance of a qualified firm to serve as the independent registered public accounting firm to audit our financial statements;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99</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44"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reviewing related person transactions;</w:t>
      </w:r>
    </w:p>
    <w:p>
      <w:pPr>
        <w:spacing w:after="0" w:line="171"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69"/>
        </w:numPr>
        <w:rPr>
          <w:rFonts w:ascii="Arial" w:cs="Arial" w:eastAsia="Arial" w:hAnsi="Arial"/>
          <w:sz w:val="16"/>
          <w:szCs w:val="16"/>
          <w:color w:val="auto"/>
        </w:rPr>
      </w:pPr>
      <w:r>
        <w:rPr>
          <w:rFonts w:ascii="Arial" w:cs="Arial" w:eastAsia="Arial" w:hAnsi="Arial"/>
          <w:sz w:val="16"/>
          <w:szCs w:val="16"/>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p>
      <w:pPr>
        <w:spacing w:after="0" w:line="69"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approving or, as permitted, pre-approving, audit and permissible non-audit services to be performed by the independent registered public accounting firm.</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audit committee will operate under a written charter, to be effective prior to the completion of this offering, that satisfies the applicable listing standards of Nasdaq.</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compensation committee consists of Ms. Laube and Mr. Robinson. The chair of our compensation committee is Ms. Laube. Our board of directors has determined that each of Ms. Laube and Mr. Robinson is independent under the listing standards of Nasdaq, and a “non-employee director” as defined in Rule 16b-3 promulgated under the Exchange Act. Since we are a “controlled company” under the Nasdaq corporate governance rules, we are not required to have a compensation committee consisting solely of independent directors.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130"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chief executive officer and other executive officers;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administering our equity incentive plans and other benefit programs;</w:t>
      </w:r>
    </w:p>
    <w:p>
      <w:pPr>
        <w:spacing w:after="0" w:line="171"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70"/>
        </w:numPr>
        <w:rPr>
          <w:rFonts w:ascii="Arial" w:cs="Arial" w:eastAsia="Arial" w:hAnsi="Arial"/>
          <w:sz w:val="16"/>
          <w:szCs w:val="16"/>
          <w:color w:val="auto"/>
        </w:rPr>
      </w:pPr>
      <w:r>
        <w:rPr>
          <w:rFonts w:ascii="Arial" w:cs="Arial" w:eastAsia="Arial" w:hAnsi="Arial"/>
          <w:sz w:val="16"/>
          <w:szCs w:val="16"/>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 and</w:t>
      </w:r>
    </w:p>
    <w:p>
      <w:pPr>
        <w:spacing w:after="0" w:line="69"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including our overall compensation philosophy.</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compensation committee will operate under a written charter, to be effective prior to the completion of this offering, that satisfies the applicable listing standards of Nasdaq.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adopted a code of business conduct and ethics that applies to our directors, officers and employees, including our principal executive officer, principal financial officer, principal accounting officer or controller, or persons performing similar functions. Upon the completion of this offering, our code of business conduct and ethics will be available under the Corporate Governance section of our website at https://www.nerdwallet.com. In addition, we intend to post on our website all disclosures that are required by law or the listing standards of Nasdaq concerning any amendments to, or waivers from, any provision of the code. The reference to our website address does not constitute incorporation by reference of the information contained at or available through our website, and you should not consider it to be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None of the members of the compensation committee is currently or has been at any time one of our officers or employees.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2020, we did not pay cash compensation to any of our non-employee directors for service on our board of directors.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However, during our 2020 fiscal year, we granted options to purchase 240,000 shares of our Class A common stock to each of Jennifer Ceran and Lynne Laube on July 27, 2020 and November 11, 2020, respectively, at an exercise price per share of $6.48 and $6.76, respectively. Such options vest over four years of continuous service, with 25% of the option shares vesting after one year of continuous service and 1/48th of the option shares vesting monthly thereafter.</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table sets forth information regarding the compensation earned or paid to our directors during the year ended December 31, 2020, other than Tim Chen, our Chief Executive Officer, who is also a member of our board of directors but did not receive any additional compensation for service as a director. The compensation of Mr. Chen as a named executive officer is set forth below under “Executive Compensation—Summary Compensation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0" w:type="dxa"/>
            <w:vAlign w:val="bottom"/>
            <w:gridSpan w:val="2"/>
          </w:tcPr>
          <w:p>
            <w:pPr>
              <w:ind w:left="1360"/>
              <w:spacing w:after="0"/>
              <w:rPr>
                <w:sz w:val="20"/>
                <w:szCs w:val="20"/>
                <w:color w:val="auto"/>
              </w:rPr>
            </w:pPr>
            <w:r>
              <w:rPr>
                <w:rFonts w:ascii="Arial" w:cs="Arial" w:eastAsia="Arial" w:hAnsi="Arial"/>
                <w:sz w:val="14"/>
                <w:szCs w:val="14"/>
                <w:b w:val="1"/>
                <w:bCs w:val="1"/>
                <w:color w:val="auto"/>
              </w:rPr>
              <w:t>Option Awards</w:t>
            </w:r>
          </w:p>
        </w:tc>
        <w:tc>
          <w:tcPr>
            <w:tcW w:w="3680" w:type="dxa"/>
            <w:vAlign w:val="bottom"/>
          </w:tcPr>
          <w:p>
            <w:pPr>
              <w:ind w:left="1680"/>
              <w:spacing w:after="0"/>
              <w:rPr>
                <w:sz w:val="20"/>
                <w:szCs w:val="20"/>
                <w:color w:val="auto"/>
              </w:rPr>
            </w:pPr>
            <w:r>
              <w:rPr>
                <w:rFonts w:ascii="Arial" w:cs="Arial" w:eastAsia="Arial" w:hAnsi="Arial"/>
                <w:sz w:val="14"/>
                <w:szCs w:val="14"/>
                <w:b w:val="1"/>
                <w:bCs w:val="1"/>
                <w:color w:val="auto"/>
              </w:rPr>
              <w:t>Total</w:t>
            </w:r>
          </w:p>
        </w:tc>
      </w:tr>
      <w:tr>
        <w:trPr>
          <w:trHeight w:val="215"/>
        </w:trPr>
        <w:tc>
          <w:tcPr>
            <w:tcW w:w="366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18"/>
                <w:szCs w:val="18"/>
                <w:color w:val="auto"/>
              </w:rPr>
            </w:pPr>
          </w:p>
        </w:tc>
        <w:tc>
          <w:tcPr>
            <w:tcW w:w="368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24"/>
                <w:szCs w:val="24"/>
                <w:b w:val="1"/>
                <w:bCs w:val="1"/>
                <w:color w:val="auto"/>
                <w:w w:val="91"/>
                <w:vertAlign w:val="subscript"/>
              </w:rPr>
              <w:t>($)</w:t>
            </w:r>
            <w:r>
              <w:rPr>
                <w:rFonts w:ascii="Arial" w:cs="Arial" w:eastAsia="Arial" w:hAnsi="Arial"/>
                <w:sz w:val="9"/>
                <w:szCs w:val="9"/>
                <w:b w:val="1"/>
                <w:bCs w:val="1"/>
                <w:color w:val="auto"/>
                <w:w w:val="91"/>
              </w:rPr>
              <w:t>(1)(2)</w:t>
            </w:r>
          </w:p>
        </w:tc>
        <w:tc>
          <w:tcPr>
            <w:tcW w:w="120" w:type="dxa"/>
            <w:vAlign w:val="bottom"/>
            <w:tcBorders>
              <w:bottom w:val="single" w:sz="8" w:color="CCEEFF"/>
            </w:tcBorders>
          </w:tcPr>
          <w:p>
            <w:pPr>
              <w:spacing w:after="0"/>
              <w:rPr>
                <w:sz w:val="18"/>
                <w:szCs w:val="18"/>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243"/>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Jennifer E. Ceran</w:t>
            </w:r>
          </w:p>
        </w:tc>
        <w:tc>
          <w:tcPr>
            <w:tcW w:w="3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790,623</w:t>
            </w:r>
          </w:p>
        </w:tc>
        <w:tc>
          <w:tcPr>
            <w:tcW w:w="120" w:type="dxa"/>
            <w:vAlign w:val="bottom"/>
            <w:tcBorders>
              <w:bottom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790,623</w:t>
            </w:r>
          </w:p>
        </w:tc>
      </w:tr>
      <w:tr>
        <w:trPr>
          <w:trHeight w:val="243"/>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Lynne M. Laube</w:t>
            </w:r>
          </w:p>
        </w:tc>
        <w:tc>
          <w:tcPr>
            <w:tcW w:w="3680" w:type="dxa"/>
            <w:vAlign w:val="bottom"/>
          </w:tcPr>
          <w:p>
            <w:pPr>
              <w:jc w:val="center"/>
              <w:spacing w:after="0"/>
              <w:rPr>
                <w:sz w:val="20"/>
                <w:szCs w:val="20"/>
                <w:color w:val="auto"/>
              </w:rPr>
            </w:pPr>
            <w:r>
              <w:rPr>
                <w:rFonts w:ascii="Arial" w:cs="Arial" w:eastAsia="Arial" w:hAnsi="Arial"/>
                <w:sz w:val="18"/>
                <w:szCs w:val="18"/>
                <w:color w:val="auto"/>
                <w:w w:val="89"/>
              </w:rPr>
              <w:t>822,396</w:t>
            </w:r>
          </w:p>
        </w:tc>
        <w:tc>
          <w:tcPr>
            <w:tcW w:w="120" w:type="dxa"/>
            <w:vAlign w:val="bottom"/>
          </w:tcPr>
          <w:p>
            <w:pPr>
              <w:spacing w:after="0"/>
              <w:rPr>
                <w:sz w:val="21"/>
                <w:szCs w:val="21"/>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89"/>
              </w:rPr>
              <w:t>822,396</w:t>
            </w:r>
          </w:p>
        </w:tc>
      </w:tr>
      <w:tr>
        <w:trPr>
          <w:trHeight w:val="27"/>
        </w:trPr>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50"/>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Thomas Loverro</w:t>
            </w:r>
          </w:p>
        </w:tc>
        <w:tc>
          <w:tcPr>
            <w:tcW w:w="38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3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James D. Robinson III</w:t>
            </w:r>
          </w:p>
        </w:tc>
        <w:tc>
          <w:tcPr>
            <w:tcW w:w="3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36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6"/>
        </w:trPr>
        <w:tc>
          <w:tcPr>
            <w:tcW w:w="3660" w:type="dxa"/>
            <w:vAlign w:val="bottom"/>
          </w:tcPr>
          <w:p>
            <w:pPr>
              <w:spacing w:after="0"/>
              <w:rPr>
                <w:sz w:val="20"/>
                <w:szCs w:val="20"/>
                <w:color w:val="auto"/>
              </w:rPr>
            </w:pPr>
            <w:r>
              <w:rPr>
                <w:rFonts w:ascii="Arial" w:cs="Arial" w:eastAsia="Arial" w:hAnsi="Arial"/>
                <w:sz w:val="18"/>
                <w:szCs w:val="18"/>
                <w:color w:val="auto"/>
              </w:rPr>
              <w:t>____________</w:t>
            </w:r>
          </w:p>
        </w:tc>
        <w:tc>
          <w:tcPr>
            <w:tcW w:w="1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80" w:type="dxa"/>
            <w:vAlign w:val="bottom"/>
          </w:tcPr>
          <w:p>
            <w:pPr>
              <w:spacing w:after="0"/>
              <w:rPr>
                <w:sz w:val="20"/>
                <w:szCs w:val="20"/>
                <w:color w:val="auto"/>
              </w:rPr>
            </w:pPr>
          </w:p>
        </w:tc>
      </w:tr>
    </w:tbl>
    <w:p>
      <w:pPr>
        <w:jc w:val="both"/>
        <w:ind w:left="340" w:hanging="332"/>
        <w:spacing w:after="0" w:line="241" w:lineRule="auto"/>
        <w:tabs>
          <w:tab w:leader="none" w:pos="332"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amounts reported represent the aggregate grant date fair value of the stock options granted to our directors during 2020 under the 2012 Plan, computed in accordance with Financial Accounting Standard Board Accounting Standards Codification, Topic 718, or ASC Topic 718. The assumptions used in calculating the grant date fair value of the stock options reported in this column are set forth in the notes to our audited consolidated financial statements included elsewhere in this prospectus. This amount does not reflect the actual economic value that may be realized by the non-employee director.</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aggregate number of shares subject to each non-employee director’s outstanding and unexercised option awards as of December 31, 2020 is set forth in the table below.</w:t>
      </w:r>
    </w:p>
    <w:p>
      <w:pPr>
        <w:spacing w:after="0" w:line="15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table below shows the aggregate numbers of outstanding and unexercised option awards held by each non-employee director as of December 31, 2020.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gridSpan w:val="2"/>
          </w:tcPr>
          <w:p>
            <w:pPr>
              <w:ind w:left="2600"/>
              <w:spacing w:after="0"/>
              <w:rPr>
                <w:sz w:val="20"/>
                <w:szCs w:val="20"/>
                <w:color w:val="auto"/>
              </w:rPr>
            </w:pPr>
            <w:r>
              <w:rPr>
                <w:rFonts w:ascii="Arial" w:cs="Arial" w:eastAsia="Arial" w:hAnsi="Arial"/>
                <w:sz w:val="14"/>
                <w:szCs w:val="14"/>
                <w:b w:val="1"/>
                <w:bCs w:val="1"/>
                <w:color w:val="auto"/>
              </w:rPr>
              <w:t>Name</w:t>
            </w:r>
          </w:p>
        </w:tc>
        <w:tc>
          <w:tcPr>
            <w:tcW w:w="5580" w:type="dxa"/>
            <w:vAlign w:val="bottom"/>
          </w:tcPr>
          <w:p>
            <w:pPr>
              <w:ind w:left="1380"/>
              <w:spacing w:after="0"/>
              <w:rPr>
                <w:sz w:val="20"/>
                <w:szCs w:val="20"/>
                <w:color w:val="auto"/>
              </w:rPr>
            </w:pPr>
            <w:r>
              <w:rPr>
                <w:rFonts w:ascii="Arial" w:cs="Arial" w:eastAsia="Arial" w:hAnsi="Arial"/>
                <w:sz w:val="14"/>
                <w:szCs w:val="14"/>
                <w:b w:val="1"/>
                <w:bCs w:val="1"/>
                <w:color w:val="auto"/>
              </w:rPr>
              <w:t>Options Outstanding as of December 31, 2020</w:t>
            </w:r>
          </w:p>
        </w:tc>
      </w:tr>
      <w:tr>
        <w:trPr>
          <w:trHeight w:val="25"/>
        </w:trPr>
        <w:tc>
          <w:tcPr>
            <w:tcW w:w="5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44"/>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Jennifer E. Ceran</w:t>
            </w:r>
          </w:p>
        </w:tc>
        <w:tc>
          <w:tcPr>
            <w:tcW w:w="5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240,000</w:t>
            </w:r>
          </w:p>
        </w:tc>
      </w:tr>
      <w:tr>
        <w:trPr>
          <w:trHeight w:val="243"/>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Lynne M. Laube</w:t>
            </w:r>
          </w:p>
        </w:tc>
        <w:tc>
          <w:tcPr>
            <w:tcW w:w="5580" w:type="dxa"/>
            <w:vAlign w:val="bottom"/>
          </w:tcPr>
          <w:p>
            <w:pPr>
              <w:jc w:val="center"/>
              <w:spacing w:after="0"/>
              <w:rPr>
                <w:sz w:val="20"/>
                <w:szCs w:val="20"/>
                <w:color w:val="auto"/>
              </w:rPr>
            </w:pPr>
            <w:r>
              <w:rPr>
                <w:rFonts w:ascii="Arial" w:cs="Arial" w:eastAsia="Arial" w:hAnsi="Arial"/>
                <w:sz w:val="18"/>
                <w:szCs w:val="18"/>
                <w:color w:val="auto"/>
                <w:w w:val="89"/>
              </w:rPr>
              <w:t>240,000</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580" w:type="dxa"/>
            <w:vAlign w:val="bottom"/>
          </w:tcPr>
          <w:p>
            <w:pPr>
              <w:spacing w:after="0"/>
              <w:rPr>
                <w:sz w:val="2"/>
                <w:szCs w:val="2"/>
                <w:color w:val="auto"/>
              </w:rPr>
            </w:pPr>
          </w:p>
        </w:tc>
      </w:tr>
      <w:tr>
        <w:trPr>
          <w:trHeight w:val="250"/>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Thomas Loverro</w:t>
            </w:r>
          </w:p>
        </w:tc>
        <w:tc>
          <w:tcPr>
            <w:tcW w:w="5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James D. Robinson III</w:t>
            </w:r>
          </w:p>
        </w:tc>
        <w:tc>
          <w:tcPr>
            <w:tcW w:w="558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101</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following is a summary of the rights of our capital stock and some of the provisions of our amended and restated certificate of incorporation and amended and restated bylaws, which will each become effective upon the completion of this offering, the investors’ rights agreement and relevant provisions of Delaware General Corporation Law. The descriptions herein are qualified in their entirety by our amended and restated certificate of incorporation, amended and restated bylaws and investors’ rights agreement, copies of which have been filed as exhibits to the registration statement of which this prospectus is a part, as well as the relevant provisions of Delaware General Corporation Law.</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Upon the completion of this offering, our amended and restated certificate of incorporation will provide for two classes of common stock: Class A common stock and Class B common stock. In addition, our amended and restated certificate of incorporation will authorize shares of undesignated preferred stock, the rights, preferences, and privileges of which may be designated from time to time by our board of directors.</w:t>
      </w:r>
    </w:p>
    <w:p>
      <w:pPr>
        <w:spacing w:after="0" w:line="130" w:lineRule="exact"/>
        <w:rPr>
          <w:sz w:val="20"/>
          <w:szCs w:val="20"/>
          <w:color w:val="auto"/>
        </w:rPr>
      </w:pPr>
    </w:p>
    <w:p>
      <w:pPr>
        <w:ind w:left="340"/>
        <w:spacing w:after="0"/>
        <w:tabs>
          <w:tab w:leader="none" w:pos="6400" w:val="left"/>
        </w:tabs>
        <w:rPr>
          <w:sz w:val="20"/>
          <w:szCs w:val="20"/>
          <w:color w:val="auto"/>
        </w:rPr>
      </w:pPr>
      <w:r>
        <w:rPr>
          <w:rFonts w:ascii="Arial" w:cs="Arial" w:eastAsia="Arial" w:hAnsi="Arial"/>
          <w:sz w:val="18"/>
          <w:szCs w:val="18"/>
          <w:color w:val="auto"/>
        </w:rPr>
        <w:t>Upon the closing of this offering, our authorized capital stock will consist of</w:t>
      </w:r>
      <w:r>
        <w:rPr>
          <w:sz w:val="20"/>
          <w:szCs w:val="20"/>
          <w:color w:val="auto"/>
        </w:rPr>
        <w:tab/>
      </w:r>
      <w:r>
        <w:rPr>
          <w:rFonts w:ascii="Arial" w:cs="Arial" w:eastAsia="Arial" w:hAnsi="Arial"/>
          <w:sz w:val="16"/>
          <w:szCs w:val="16"/>
          <w:color w:val="auto"/>
        </w:rPr>
        <w:t>shares, all with a par value of $0.0001 per share, of which:</w:t>
      </w:r>
    </w:p>
    <w:p>
      <w:pPr>
        <w:spacing w:after="0" w:line="171" w:lineRule="exact"/>
        <w:rPr>
          <w:sz w:val="20"/>
          <w:szCs w:val="20"/>
          <w:color w:val="auto"/>
        </w:rPr>
      </w:pPr>
    </w:p>
    <w:p>
      <w:pPr>
        <w:ind w:left="1240" w:hanging="908"/>
        <w:spacing w:after="0"/>
        <w:tabs>
          <w:tab w:leader="none" w:pos="12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shares are designated as Class A common stock;</w:t>
      </w:r>
    </w:p>
    <w:p>
      <w:pPr>
        <w:spacing w:after="0" w:line="171" w:lineRule="exact"/>
        <w:rPr>
          <w:rFonts w:ascii="Arial" w:cs="Arial" w:eastAsia="Arial" w:hAnsi="Arial"/>
          <w:sz w:val="18"/>
          <w:szCs w:val="18"/>
          <w:color w:val="auto"/>
        </w:rPr>
      </w:pPr>
    </w:p>
    <w:p>
      <w:pPr>
        <w:ind w:left="1280" w:hanging="948"/>
        <w:spacing w:after="0"/>
        <w:tabs>
          <w:tab w:leader="none" w:pos="12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shares are designated as Class B common stock; and</w:t>
      </w:r>
    </w:p>
    <w:p>
      <w:pPr>
        <w:spacing w:after="0" w:line="171" w:lineRule="exact"/>
        <w:rPr>
          <w:rFonts w:ascii="Arial" w:cs="Arial" w:eastAsia="Arial" w:hAnsi="Arial"/>
          <w:sz w:val="18"/>
          <w:szCs w:val="18"/>
          <w:color w:val="auto"/>
        </w:rPr>
      </w:pPr>
    </w:p>
    <w:p>
      <w:pPr>
        <w:ind w:left="1280" w:hanging="948"/>
        <w:spacing w:after="0"/>
        <w:tabs>
          <w:tab w:leader="none" w:pos="12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shares are designated as preferred stock.</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of June 30, 2021, we had 63,371,308 shares of Class F common stock, 35,833,212 shares of Class A common stock and 15,169,664 shares of redeemable convertible preferred stock outstanding. After giving effect to the reclassification of all outstanding shares of our Class F common stock to Class B common stock and the conversion of all outstanding shares of redeemable convertible preferred stock into shares of Class A common stock immediately prior to the closing of this offering there would have been 63,371,308 shares of Class B common stock and 51,002,876 shares of Class A common stock outstanding on June 30, 2021, held by 753 stockholders of record. As of June 30, 2021, we also had outstanding options to acquire 14,907,678 shares of Class A common stock and 5,542,675 shares of Class A common stock subject to RSUs.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and Class B Common Stock</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Except with respect to voting, conversion, and transfer rights as described below and as otherwise expressly provided in our amended and restated certificate of incorporation or required by applicable law, shares of Class A common stock and Class B common stock will have the same rights and privileges and rank equally, share ratably, and be identical in all respects as to all matters.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 and Distribution Rights</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Subject to the prior rights of holders of all classes and series of stock at the time outstanding having prior rights as to dividends, the holders of Class A common stock and Class B common stock will be entitled to receive, when, as and if declared by the board of directors, out of any of our assets legally available therefor, such dividends as may be declared from time to time by the board of directors. Any dividends paid to the holders of Class A common stock and Class B common stock shall be paid pro rata, on an equal priority, pari passu basis, unless different treatment of the shares of each such class is approved by the affirmative vote of the holders of the majority of the outstanding shares of the applicable class of common stock treated adversely, voting separately as a class. We will not declare or pay any dividend or make any other distribution to the holders of Class A common stock or Class B common stock payable in our securities unless the same dividend or distribution with the same record date and payment date shall be declared and paid on all shares of common stock; provided, however, that (i) dividends or other distributions payable in shares of Class A common stock or rights to acquire shares of Class A common stock may be declared and paid to the holders of Class A common stock without the same dividend or distribution being declared and paid to the holders of the Class B common stock if, and only if, a dividend payable in shares of Class B common stock,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102</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4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rights to acquire shares of Class B common stock, as applicable, are declared and paid to the holders of Class B common stock at the same rate and with the same record date and payment date; and (ii) dividends or other distributions payable in shares of Class B common stock or rights to acquire shares Class B common stock may be declared and paid to the holders of Class B common stock without the same dividend or distribution being declared and paid to the holders of the Class A common stock if, and only if, a dividend payable in shares of Class A common stock, or rights to acquire shares of Class A common stock, as applicable, are declared and paid to the holders of Class A common stock at the same rate and with the same record date and payment date.</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Voting Rights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Holders of our Class A common stock and Class B common stock have identical voting rights, provided that, except as otherwise expressly provided in our amended and restated certificate of incorporation or required by applicable law, on any matter that is submitted to a vote of our stockholders, holders of our Class A common stock are entitled to one vote per share of Class A common stock and holders of our Class B common stock are entitled to 10 votes per share of Class B common stock. Holders of shares of Class A common stock and Class B common stock will vote together as a single class on all matters (including the election of directors) submitted to a vote of stockholders, except that there will be a separate vote of our Class A common stock in order for us to, directly or indirectly, effect an asset transfer, acquisition, or liquidation event (each as defined in our amended and restated certificate of incorporation) pursuant to which the Class A common stock would not receive equivalent consideration (as defined in our amended and restated certificate of incorporation) to the Class B common stock, and there will be a separate vote of our Class B common stock in order for us to, directly or indirectly, take action in the following circumstances:</w:t>
      </w:r>
    </w:p>
    <w:p>
      <w:pPr>
        <w:spacing w:after="0" w:line="127" w:lineRule="exact"/>
        <w:rPr>
          <w:sz w:val="20"/>
          <w:szCs w:val="20"/>
          <w:color w:val="auto"/>
        </w:rPr>
      </w:pPr>
    </w:p>
    <w:p>
      <w:pPr>
        <w:jc w:val="both"/>
        <w:ind w:left="660" w:hanging="328"/>
        <w:spacing w:after="0" w:line="342" w:lineRule="auto"/>
        <w:tabs>
          <w:tab w:leader="none" w:pos="655" w:val="left"/>
        </w:tabs>
        <w:numPr>
          <w:ilvl w:val="0"/>
          <w:numId w:val="73"/>
        </w:numPr>
        <w:rPr>
          <w:rFonts w:ascii="Arial" w:cs="Arial" w:eastAsia="Arial" w:hAnsi="Arial"/>
          <w:sz w:val="16"/>
          <w:szCs w:val="16"/>
          <w:color w:val="auto"/>
        </w:rPr>
      </w:pPr>
      <w:r>
        <w:rPr>
          <w:rFonts w:ascii="Arial" w:cs="Arial" w:eastAsia="Arial" w:hAnsi="Arial"/>
          <w:sz w:val="16"/>
          <w:szCs w:val="16"/>
          <w:color w:val="auto"/>
        </w:rPr>
        <w:t>if we propose to amend, alter, or repeal any provision of our amended and restated certificate of incorporation or our amended and restated bylaws that modifies the voting, conversion, or other powers, preferences, or other special rights or privileges or restrictions of the Class B common stock;</w:t>
      </w:r>
    </w:p>
    <w:p>
      <w:pPr>
        <w:spacing w:after="0" w:line="69"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we authorize any shares of capital stock, or reclassify any outstanding shares of the Class A common stock into shares, that are entitled to more than one vote for each share thereof; or</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we effect an asset transfer, acquisition, or liquidation event (each as defined in our amended and restated certificate of incorporation) pursuant to which the Class B common stock would not receive equivalent consideration (as defined in our amended and restated certificate of incorporation) to the Class A common stock.</w:t>
      </w:r>
    </w:p>
    <w:p>
      <w:pPr>
        <w:spacing w:after="0" w:line="13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addition, Delaware law would permit holders of Class A common stock to vote separately, as a single class, if an amendment of our amended and restated certificate of incorporation would adversely affect them by altering the powers, preferences, or special rights of the Class A common stock, but not the Class B common stock. As a result, in these limited instances, the holders of a majority of the Class A common stock could defeat any amendment to our amended and restated certificate of incorporation. For example, if a proposed amendment of our certificate of incorporation provided for the Class A common stock to rank junior to the Class B common stock with respect to (i) any dividend or distribution, (ii) the distribution of proceeds were we to be acquired, or (iii) any other right, Delaware law would require the vote of the Class A common stock. In this instance, the holders of a majority of Class A common stock could defeat that amendment to our amended and restated certificate of incorporation.</w:t>
      </w:r>
    </w:p>
    <w:p>
      <w:pPr>
        <w:spacing w:after="0" w:line="12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Further, except as otherwise required by applicable law, holders of Class A common stock and Class B common stock shall not be entitled to vote on any amendment to our amended and restated certificate of incorporation that relates solely to the terms of one or more series of preferred stock if the holders of such affected series of preferred stock are entitled to vote thereon pursuant to our amended and restated certificate of incorporation or applicable law.</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Upon the closing of this offering, under our amended and restated certificate of incorporation, we may not increase or decrease the authorized number of shares of Class A common stock or Class B common stock without the affirmative vote of the holders of a majority of the combined voting power of the outstanding shares of Class A common stock and Class B common stock, voting together as a single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103</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amended and restated certificate of incorporation that will be in effect on the completion of this offering will not provide for cumulative voting for the election of directors.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common stock is not entitled to preemptive rights and is not subject to redemption, or sinking fund provisions. The rights, preferences, and privileges of the holders of our common stock are subject to, and may be adversely affected by, the rights of the holders of any series of our preferred stock that we may designate and issue in the future.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event of our liquidation, dissolution, or winding-up, upon the completion of the distributions required with respect to any series of preferred stock that may then be outstanding, or remaining assets legally available for distribution to stockholders shall be distributed on an equal priority, pro rata basis to the holders of Class A common stock and Class B common stock.</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Subdivisions and Combinations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If we subdivide or combine in any manner outstanding shares of Class A common stock or Class B common stock, then the outstanding shares of all common stock will be subdivided or combined in the same proportion and manner.</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Conversion</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Each share of Class B common stock is convertible, at any time at the option of the holder, into one share of Class A common stock. Each share of Class B common stock will automatically convert into one share of Class A common stock upon any transfer, whether or not for value and whether voluntary or involuntary or by operation of law, except for certain transfers for tax and estate planning purposes so long as the transferring holder continues to hold sole voting and dispositive power, or has the direct or indirect power to replace any person having voting or dispositive power, over the applicable shares after such Transfer, as described in our amended and restated certificate of incorporation that will be in effect following the closing of this offering, or to an entity approved by the holders of Class B common stock and a majority of the independent directors. In addition, all the outstanding shares of Class B common stock will convert automatically into Class A common stock, on a one-to-one basis, (1) nine months following the death or permanent incapacity of Tim Chen, our Co-founder and Chief Executive Officer, and (2) the first trading day that falls nine months after the date on which there are outstanding less than 10,000,000 shares of Class B common stock (subject to adjustment for stock splits, stock dividends, stock combinations and the like). Our Class A common stock is not subject to conversion provisions.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Holders of common stock will be entitled to ratably receive dividends if, as, and when declared from time to time by our board of directors at its own discretion out of funds legally available for that purpose, after payment of dividends required to be paid on outstanding preferred stock, if any. Under Delaware law, we can only pay dividends either out of “surplus” or out of the current or the immediately preceding year’s net profits. Surplus is defined as the excess, if any, at any given time, of the total assets of a corporation over its total liabilities and statutory capital. The value of a corporation’s assets can be measured in a number of ways and may not necessarily equal their book value.</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Applicable insurance laws restrict the ability of our insurance subsidiary to declare stockholder dividends and require insurance companies to maintain specified levels of statutory capital and surplus. Insurance regulators have broad powers to prevent reduction of statutory surplus to inadequate levels, and there is no assurance that dividends of the maximum amounts calculated under any applicable formula would be permitted. State insurance regulatory authorities that have jurisdiction over the payment of dividends by our insurance subsidiary may in the future adopt statutory provisions more restrictive than those currently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104</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Upon our dissolution, liquidation, or winding-up, the assets legally available for distribution to our stockholders are distributable ratably among the holders of our common stock, subject to prior satisfaction of all outstanding debt and liabilities and the preferential rights and payment of liquidation preferences, if any, on any outstanding shares of preferred stock.</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Matters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common stock will have no preemptive rights pursuant to the terms of our amended and restated certificate of incorporation and our amended and restated bylaws. There will be no redemption or sinking fund provisions applicable to the common stock. All outstanding shares of our common stock will be fully paid and non-assessable, and the shares of our common stock offered in this offering, upon payment and delivery in accordance with the underwriting agreement, will be fully paid and non-assessable.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June 30, 2021, there were 15,169,664 shares of redeemable convertible preferred stock outstanding. Upon the closing of this offering, our board</w:t>
      </w:r>
    </w:p>
    <w:p>
      <w:pPr>
        <w:spacing w:after="0" w:line="4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of directors may, without further action by our stockholders, fix the rights, preferences, privileges and restrictions of up to an aggregate of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our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or other corporate action. Upon the closing of this offering, no shares of preferred stock will be outstanding, and we have no present plan to issue any shares of preferred stock.</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2021, we had outstanding options under our equity compensation plans to purchase an aggregate of 14,907,678 shares of our Class A common stock, with a weighted average exercise price of $4.18 per share.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June 30, 2021, we had outstanding 5,542,675 shares of our Class A common stock subject to RSUs under our 2012 Plan. Our outstanding RSUs vest upon the satisfaction of a time-based condition. For outstanding RSUs granted to new hires, the time-based condition will be satisfied following seventeen successive quarters, with one quarter of the RSUs vesting on the first quarterly installment date following the first anniversary of the vesting commencement date and the remaining seventy-five percent vesting in substantially equal installments over sixteen successive quarters thereafter. For outstanding RSUs granted to existing employees, the time-based condition will be satisfied in sixteen successive equal quarterly installments. In each case vesting is subject to continued service through each such vesting date.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are party to an investors’ rights agreement and other letter agreements that provide that certain holders of our redeemable convertible preferred stock, including certain holders of at least 1% of our outstanding capital stock, have certain registration rights as set forth below. The registration of shares of our Class A common stock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Generally, in an underwritten offering, the managing underwriter, if any, has the right, subject to specified conditions, to limit the number of shares such holders may include. The demand, piggyback and Form S-3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105</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registration rights described below will expire three years after the closing of this offering, of which this prospectus is a part, or with respect to any particular stockholder, such time after the closing of this offering that such stockholder can sell all of its shares entitled to registration rights under Rule 144 of the Securities Act during any 90-day period.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holders of an aggregate of 15,147,183 shares of our Class A common stock will be entitled to certain demand registration rights. At any time beginning the 180 days after the completion of this offering, certain holders of these shares may request that we register all or a portion of the registrable shares. We are obligated to effect only one such registration. Such request for registration must cover at least 40% of then outstanding registrable securities (or a lesser percent if the anticipated aggregate offering price, before deduction of underwriting discounts and commissions, is at least $25 million).</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connection with this offering, the holders of an aggregate of 31,344,009 shares of our Class A common stock were entitled to, and the necessary percentage of holders waived, their rights to notice of this offering and to include their 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a registration relating to (i) any employee benefit plan, (ii) the offer and sale of debt securities or the stock issuable upon conversion thereof, (iii) any corporate reorganization or transaction under Rule 145 of the Securities Act, including any registration statements related to the issuance or resale of securities issued in such a transaction, or (iv) a registration on any form that does not include substantially the same information as would be required to be included a registration statement covering the sale of the registrable securities, the holders of these shares are entitled to notice of the registration and have the right to include their shares in the registration, subject to limitations that the underwriters may impose on the number of shares included in the offering.</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holders of an aggregate of 15,147,183 shares of Class A common stock will be entitled to certain Form S-3 registration rights. The holders of these shares can make a request that we register their shares on Form S-3 if we are qualified to file a registration statement on Form S-3 and if the reasonably anticipated aggregate gross proceeds of the shares offered would equal or exceed $5 million. We will not be required to effect more than two registrations on Form S-3 within any 12-month period.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Some provisions of Delaware law, our amended and restated certificate of incorporation and our amended and restated bylaws contain or will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3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106</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Dual class stock</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described above in “Class A and Class B Common Stock—Voting Rights,” our amended and restated certificate of incorporation will provide for a dual class common stock structure, which will provide our Co-founder and current Chief Executive Officer with significant influence over all matters requiring stockholder approval, including the election of directors and significant corporate transactions, such as a merger or other sale of our company or our assets.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Stockholder Meetings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amended and restated bylaws will provide that a special meeting of stockholders may be called only by our chairperson of the board, our chief executive officer, by a holder of more than 21,000,000 shares of Class B common stock (subject to adjustment for stock splits, stock dividends, stock combinations and the like), or by a resolution adopted by a majority of our board of directors.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amended and restated bylaws will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will eliminate the right of stockholders to act by written consent without a meeting unless specifically authorized therein with respect to matters upon which the holders of Class B common stock have a separate vote.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amended and restated certificate of incorporation will provide that no member of our board of directors may be removed from office by our stockholders except for cause and, in addition to any other vote required by law, upon the approval of not less than two thirds of the total voting power of all of our outstanding voting stock then entitled to vote in the election of directors.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Stockholders Not Entitled to Cumulative Voting</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amended and restated certificate of incorporation will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Choice of Forum</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amended and restated certificate of incorporation to be effective on the completion of this offering will provide that the Court of Chancery of the State of Delaware be the exclusive forum for actions or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107</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brought under Delaware statutory or common law: (1) any derivative action or proceeding brought on our behalf; (2) any action asserting a breach of fiduciary duty; (3) any action asserting a claim against us arising under the Delaware General Corporation Law; (4) any action regarding our amended and restated certificate of incorporation or our amended and restated bylaws; (5) any action as to which the Delaware General Corporate Law confers jurisdiction to the Court of Chancery of the State of Delaware; or (6) any action asserting a claim against us that is governed by the internal affairs doctrine. This choice of forum provision does not apply to suits brought to enforce a duty or liability created by the Securities Act or the Exchange Act, or any claim for which the federal courts have exclusive jurisdiction. Our amended and restated certificate of incorporation to be effective immediately prior to the closing of this offering will further provide that, unless we consent in writing to the selection of an alternative forum, to the fullest extent permitted by law, the federal district courts of the United States of America will be the exclusive forum for resolving any complaint asserting a cause or causes of action arising under the Securities Act, including all causes of action asserted against any defendant to such complaint. Additionally, our amended and restated certificate of incorporation to be effective on the completion of this offering will provide that any person or entity holding, owning or otherwise acquiring any interest in any of our securities shall be deemed to have notice of and consented to these provisions.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amendment of any of the above provisions, except for the provision making it possible for our board of directors to issue preferred stock, would require approval by holders of at least two-thirds of the total voting power of all of our outstanding voting stock.</w:t>
      </w:r>
    </w:p>
    <w:p>
      <w:pPr>
        <w:spacing w:after="0" w:line="11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Class A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 Our amended and restated certificate of incorporation that will become effective upon the closing of this offering provides that the Court of Chancery of the State of Delaware will, to the fullest extent permitted by applicable law, be the exclusive forum for substantially all disputes between us and our stockholders, which could limit our stockholders’ ability to obtain a favorable judicial forum for disputes with us or our directors, officers or employees. Any person or entity purchasing or otherwise acquiring any interest in our securities shall be deemed to have notice of and consented to this provision. Although we believe this provision benefits us by providing increased consistency in the application of Delaware law in the types of lawsuits to which it applies, the provision may have the effect of discouraging lawsuits against our directors and officers. See the section titled “Risk Factors—Risks Related to this Offering and Ownership of Our Class A Common Stock”.</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75" w:lineRule="exact"/>
        <w:rPr>
          <w:sz w:val="20"/>
          <w:szCs w:val="20"/>
          <w:color w:val="auto"/>
        </w:rPr>
      </w:pPr>
    </w:p>
    <w:p>
      <w:pPr>
        <w:ind w:left="340"/>
        <w:spacing w:after="0"/>
        <w:tabs>
          <w:tab w:leader="none" w:pos="10520" w:val="left"/>
        </w:tabs>
        <w:rPr>
          <w:sz w:val="20"/>
          <w:szCs w:val="20"/>
          <w:color w:val="auto"/>
        </w:rPr>
      </w:pPr>
      <w:r>
        <w:rPr>
          <w:rFonts w:ascii="Arial" w:cs="Arial" w:eastAsia="Arial" w:hAnsi="Arial"/>
          <w:sz w:val="18"/>
          <w:szCs w:val="18"/>
          <w:color w:val="auto"/>
        </w:rPr>
        <w:t>The transfer agent and registrar for our Class A common stock will be Broadridge Corporate Issuer Solutions, Inc.</w:t>
      </w:r>
      <w:r>
        <w:rPr>
          <w:sz w:val="20"/>
          <w:szCs w:val="20"/>
          <w:color w:val="auto"/>
        </w:rPr>
        <w:tab/>
      </w:r>
      <w:r>
        <w:rPr>
          <w:rFonts w:ascii="Arial" w:cs="Arial" w:eastAsia="Arial" w:hAnsi="Arial"/>
          <w:sz w:val="13"/>
          <w:szCs w:val="13"/>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Listing</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common stock is currently not listed on any securities exchange. We have applied to have our Class A common stock listed on Nasdaq under the symbol “NRDS.”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108</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Prior to this offering, there has been no public market for our Class A common stock. Future sales of substantial amounts of Class A common stock in the public market, or the perception that such sales may occur, could adversely affect the market price of our Class A common stock. Although we have applied to have our Class A common stock listed on Nasdaq, we cannot assure you that there will be an active public market for our Class A common stock.</w:t>
      </w:r>
    </w:p>
    <w:p>
      <w:pPr>
        <w:spacing w:after="0" w:line="133"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Following the completion of this offering, based on the number of shares of our common stock outstanding as of and assuming (1) the issuance of shares of common stock in this offering, (2) the conversion of all outstanding shares of our redeemable convertible preferred stock into shares of our Class A common stock, which will automatically occur immediately prior to the completion of the offering, (3) the reclassification of all outstanding shares of our Class F common stock into an equal number of shares of our Class B common stock; (4) the filing and effectiveness of our amended and restated certificate of incorporation in connection with the closing of this offering, and (5) no exercise of the underwriters’ option to purchase additional</w:t>
      </w:r>
    </w:p>
    <w:p>
      <w:pPr>
        <w:spacing w:after="0" w:line="2" w:lineRule="exact"/>
        <w:rPr>
          <w:sz w:val="20"/>
          <w:szCs w:val="20"/>
          <w:color w:val="auto"/>
        </w:rPr>
      </w:pPr>
    </w:p>
    <w:p>
      <w:pPr>
        <w:spacing w:after="0"/>
        <w:tabs>
          <w:tab w:leader="none" w:pos="6000" w:val="left"/>
        </w:tabs>
        <w:rPr>
          <w:sz w:val="20"/>
          <w:szCs w:val="20"/>
          <w:color w:val="auto"/>
        </w:rPr>
      </w:pPr>
      <w:r>
        <w:rPr>
          <w:rFonts w:ascii="Arial" w:cs="Arial" w:eastAsia="Arial" w:hAnsi="Arial"/>
          <w:sz w:val="18"/>
          <w:szCs w:val="18"/>
          <w:color w:val="auto"/>
        </w:rPr>
        <w:t>shares, we will have outstanding an aggregate of approximately</w:t>
      </w:r>
      <w:r>
        <w:rPr>
          <w:sz w:val="20"/>
          <w:szCs w:val="20"/>
          <w:color w:val="auto"/>
        </w:rPr>
        <w:tab/>
      </w:r>
      <w:r>
        <w:rPr>
          <w:rFonts w:ascii="Arial" w:cs="Arial" w:eastAsia="Arial" w:hAnsi="Arial"/>
          <w:sz w:val="16"/>
          <w:szCs w:val="16"/>
          <w:color w:val="auto"/>
        </w:rPr>
        <w:t>shares of Class A common stock</w:t>
      </w:r>
    </w:p>
    <w:p>
      <w:pPr>
        <w:spacing w:after="0" w:line="15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Of these shares, all shares of Class A common stock sold in this offering will be freely tradable without restriction or further registration under the Securities Act, except for any shares of common stock purchased by our “affiliates,” as that term is defined in Rule 144 under the Securities Act. Shares purchased by our affiliates would be subject to the Rule 144 resale restrictions described below, other than the holding period requirement.</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remaining outstanding shares of our Class A common stock will be, and shares underlying outstanding RSUs and shares subject to stock options will be upon issuance, deemed “restricted securities” as defined in Rule 144 under the Securities Act. These restricted securities are eligible for public sale only if they are registered under the Securities Act or if they qualify for an exemption from registration under Rule 144 or 701 under the Securities Act, each of which is summarized below. Substantially all of these shares will be subject to a 180-day lock-up period under the lock-up agreements described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Substantially all of our stockholders are subject to a market stand-off agreement with us in which such stockholders have agreed that for a period of 180 days after the date of this prospectus, subject to specified exceptions, they will not offer, pledge, sell, contract to sell, sell any option or contract to purchase, purchase any option or contract to sell, grant any option, right or warrant to sale of, or otherwise dispose of or transfer any shares of common stock or any securities convertible into or exercisable or exchangeable for shares of common stock, or enter into any swap or other agreement that transfers to another, in whole or in part, directly or indirectly, the economic consequence of ownership of the common stock.</w:t>
      </w:r>
    </w:p>
    <w:p>
      <w:pPr>
        <w:spacing w:after="0" w:line="12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Upon expiration of the lock-up period, certain of our stockholders will have the right to require us to register their shares under the Securities Act. See the sections titled “—Registration Rights” and “Description of Capital Stock—Registration Rights” for additional information.</w:t>
      </w:r>
    </w:p>
    <w:p>
      <w:pPr>
        <w:spacing w:after="0" w:line="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Upon the expiration of the lock-up period, substantially all of the shares subject to such lock-up restrictions will become eligible for sale, subject to the limitations discussed above.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Affiliate Resales of Restricted Securities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general, once we have been subject to the public company reporting requirements of Section 13 or Section 15(d) of the Exchange Act for at least 90 days, a person who is an affiliate of ours, or who was an affiliate at any time during the 90 days before a sale, who has beneficially owned shares of our capital stock for at least six months would be entitled to sell in “broker’s transactions” or certain “riskless principal transactions” or to market makers, a number of shares within any three-month period that does not exceed the greater of:</w:t>
      </w:r>
    </w:p>
    <w:p>
      <w:pPr>
        <w:sectPr>
          <w:pgSz w:w="11900" w:h="16838" w:orient="portrait"/>
          <w:cols w:equalWidth="0" w:num="1">
            <w:col w:w="11240"/>
          </w:cols>
          <w:pgMar w:left="320" w:top="1440" w:right="339" w:bottom="1440" w:gutter="0" w:footer="0" w:header="0"/>
        </w:sectPr>
      </w:pPr>
    </w:p>
    <w:p>
      <w:pPr>
        <w:spacing w:after="0" w:line="1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hanging="4"/>
        <w:spacing w:after="0" w:line="277" w:lineRule="auto"/>
        <w:rPr>
          <w:sz w:val="20"/>
          <w:szCs w:val="20"/>
          <w:color w:val="auto"/>
        </w:rPr>
      </w:pPr>
      <w:r>
        <w:rPr>
          <w:rFonts w:ascii="Arial" w:cs="Arial" w:eastAsia="Arial" w:hAnsi="Arial"/>
          <w:sz w:val="18"/>
          <w:szCs w:val="18"/>
          <w:color w:val="auto"/>
        </w:rPr>
        <w:t>1% of the number of shares of our Class A common stock then outstanding, which will equal approximately offering; or</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 after this</w:t>
      </w:r>
    </w:p>
    <w:p>
      <w:pPr>
        <w:spacing w:after="0" w:line="493" w:lineRule="exact"/>
        <w:rPr>
          <w:sz w:val="20"/>
          <w:szCs w:val="20"/>
          <w:color w:val="auto"/>
        </w:rPr>
      </w:pPr>
    </w:p>
    <w:p>
      <w:pPr>
        <w:sectPr>
          <w:pgSz w:w="11900" w:h="16838" w:orient="portrait"/>
          <w:cols w:equalWidth="0" w:num="3">
            <w:col w:w="400" w:space="260"/>
            <w:col w:w="7820" w:space="680"/>
            <w:col w:w="208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109</w:t>
      </w:r>
    </w:p>
    <w:p>
      <w:pPr>
        <w:sectPr>
          <w:pgSz w:w="11900" w:h="16838" w:orient="portrait"/>
          <w:cols w:equalWidth="0" w:num="1">
            <w:col w:w="11240"/>
          </w:cols>
          <w:pgMar w:left="320" w:top="1440" w:right="339" w:bottom="1440" w:gutter="0" w:footer="0" w:header="0"/>
          <w:type w:val="continuous"/>
        </w:sectPr>
      </w:pPr>
    </w:p>
    <w:bookmarkStart w:id="117" w:name="page118"/>
    <w:bookmarkEnd w:id="117"/>
    <w:p>
      <w:pPr>
        <w:spacing w:after="0" w:line="14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right="200" w:hanging="4"/>
        <w:spacing w:after="0" w:line="277" w:lineRule="auto"/>
        <w:rPr>
          <w:sz w:val="20"/>
          <w:szCs w:val="20"/>
          <w:color w:val="auto"/>
        </w:rPr>
      </w:pPr>
      <w:r>
        <w:rPr>
          <w:rFonts w:ascii="Arial" w:cs="Arial" w:eastAsia="Arial" w:hAnsi="Arial"/>
          <w:sz w:val="18"/>
          <w:szCs w:val="18"/>
          <w:color w:val="auto"/>
        </w:rPr>
        <w:t>the average weekly trading volume in our Class A common stock on Form 144 with respect to such sale.</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during the four calendar weeks preceding the filing of a notice on</w:t>
      </w:r>
    </w:p>
    <w:p>
      <w:pPr>
        <w:spacing w:after="0" w:line="409" w:lineRule="exact"/>
        <w:rPr>
          <w:sz w:val="20"/>
          <w:szCs w:val="20"/>
          <w:color w:val="auto"/>
        </w:rPr>
      </w:pPr>
    </w:p>
    <w:p>
      <w:pPr>
        <w:sectPr>
          <w:pgSz w:w="11900" w:h="16838" w:orient="portrait"/>
          <w:cols w:equalWidth="0" w:num="3">
            <w:col w:w="400" w:space="260"/>
            <w:col w:w="5140" w:space="720"/>
            <w:col w:w="4720"/>
          </w:cols>
          <w:pgMar w:left="320" w:top="1440" w:right="339" w:bottom="1440" w:gutter="0" w:footer="0" w:header="0"/>
        </w:sectPr>
      </w:pPr>
    </w:p>
    <w:p>
      <w:pPr>
        <w:jc w:val="both"/>
        <w:ind w:firstLine="324"/>
        <w:spacing w:after="0" w:line="291" w:lineRule="auto"/>
        <w:rPr>
          <w:sz w:val="20"/>
          <w:szCs w:val="20"/>
          <w:color w:val="auto"/>
        </w:rPr>
      </w:pPr>
      <w:r>
        <w:rPr>
          <w:rFonts w:ascii="Arial" w:cs="Arial" w:eastAsia="Arial" w:hAnsi="Arial"/>
          <w:sz w:val="16"/>
          <w:szCs w:val="16"/>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w:t>
      </w:r>
    </w:p>
    <w:p>
      <w:pPr>
        <w:jc w:val="both"/>
        <w:spacing w:after="0" w:line="260" w:lineRule="auto"/>
        <w:rPr>
          <w:sz w:val="20"/>
          <w:szCs w:val="20"/>
          <w:color w:val="auto"/>
        </w:rPr>
      </w:pPr>
      <w:r>
        <w:rPr>
          <w:rFonts w:ascii="Arial" w:cs="Arial" w:eastAsia="Arial" w:hAnsi="Arial"/>
          <w:sz w:val="18"/>
          <w:szCs w:val="18"/>
          <w:color w:val="auto"/>
        </w:rPr>
        <w:t>file a notice on Form 144 with the Securities and Exchange Commission and concurrently with either the placing of a sale order with the broker or the execution of a sale directly with a market maker.</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Non-Affiliate Resales of Restricted Securities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general, once we have been subject to the public company reporting requirements of Section 13 or Section 15(d) of the Exchange Act for at least 90 days, a person who is not an affiliate of ours at the time of sale, and has not been an affiliate at any time during the three months preceding a sale, and who has beneficially owned shares of our capital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Non-affiliate resales are not subject to the manner of sale, volume limitation or notice filing provisions of Rule 144.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general, under Rule 701, any of our employees, directors, officers, consultants or advisors who purchases shares from us in connection with a compensatory stock or option plan or other written agreement before the effective date of a registration statement under the Securities Act is entitled to sell such shares 90 days after such effective date in reliance on Rule 144. Securities issued in reliance on Rule 701 are restricted securities and, subject to the contractual restrictions described above, beginning 90 days after the date of this prospectus, may be sold by persons other than “affiliates,” as defined in Rule 144, subject only to the manner of sale provisions of Rule 144 and by “affiliates” under Rule 144 without compliance with its one-year minimum holding period requirement. However, substantially all Rule 701 shares are subject to lock-up agreements as described below and will become eligible for sale upon the expiration of the restrictions set forth in those agreements.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S-8 Registration Statement</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all shares of Class A common stock subject to outstanding stock options and Class A common stock issued or issuable under the 2021 Plan, the 2012 Plan and the ESPP, as applicable. We expect to file the registration statement covering shares offered pursuant to these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June 30, 2021, holders of up to 31,344,009 shares of our Class A common stock, which includes all of the shares of Class A common stock issuable upon the automatic conversion of our redeemable convertible preferred stock immediately prior to the completion of this offering, or their transferees, will be entitled to various rights with respect to the registration of these shares under the Securities Act upon the completion of this offering and the expiration of lock-up agreements. Registration of these shares under the Securities Act would result in these shares becoming fully tradable without restriction under the Securities Act immediately upon the effectiveness of the registration, except for shares purchased by affiliates. See the section titled “Description of Capital Stock—Registration Rights” for additional information. Shares covered by a registration statement will be eligible for sale in the public market upon the expiration or release from the terms of the lock-up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110</w:t>
      </w:r>
    </w:p>
    <w:p>
      <w:pPr>
        <w:sectPr>
          <w:pgSz w:w="11900" w:h="16838" w:orient="portrait"/>
          <w:cols w:equalWidth="0" w:num="1">
            <w:col w:w="11240"/>
          </w:cols>
          <w:pgMar w:left="320" w:top="1440" w:right="339" w:bottom="1440" w:gutter="0" w:footer="0" w:header="0"/>
          <w:type w:val="continuous"/>
        </w:sectPr>
      </w:pPr>
    </w:p>
    <w:bookmarkStart w:id="118" w:name="page119"/>
    <w:bookmarkEnd w:id="118"/>
    <w:p>
      <w:pPr>
        <w:spacing w:after="0" w:line="140"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EXECUTIVE COMPENSATION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named executive officers for the year ended December 31, 2020, were:</w:t>
      </w:r>
    </w:p>
    <w:p>
      <w:pPr>
        <w:spacing w:after="0" w:line="171"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Tim Chen, our Co-founder and Chief Executive Officer;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Lauren StClair, our Chief Financial Officer;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Kevin Yuann, our Chief Business Officer;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Laura Onopchenko, our former Chief Financial Officer.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7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presents all of the compensation awarded to or earned by or paid to our named executive officers during the fiscal year ended December 31, 2020.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Non-Equity</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Incentive Plan</w:t>
            </w:r>
          </w:p>
        </w:tc>
        <w:tc>
          <w:tcPr>
            <w:tcW w:w="14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All Other</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b w:val="1"/>
                <w:bCs w:val="1"/>
                <w:color w:val="auto"/>
              </w:rPr>
              <w:t>Salary</w:t>
            </w:r>
          </w:p>
        </w:tc>
        <w:tc>
          <w:tcPr>
            <w:tcW w:w="960" w:type="dxa"/>
            <w:vAlign w:val="bottom"/>
            <w:gridSpan w:val="2"/>
          </w:tcPr>
          <w:p>
            <w:pPr>
              <w:ind w:left="240"/>
              <w:spacing w:after="0"/>
              <w:rPr>
                <w:sz w:val="20"/>
                <w:szCs w:val="20"/>
                <w:color w:val="auto"/>
              </w:rPr>
            </w:pPr>
            <w:r>
              <w:rPr>
                <w:rFonts w:ascii="Arial" w:cs="Arial" w:eastAsia="Arial" w:hAnsi="Arial"/>
                <w:sz w:val="13"/>
                <w:szCs w:val="13"/>
                <w:b w:val="1"/>
                <w:bCs w:val="1"/>
                <w:color w:val="auto"/>
              </w:rPr>
              <w:t>Bonus</w:t>
            </w:r>
          </w:p>
        </w:tc>
        <w:tc>
          <w:tcPr>
            <w:tcW w:w="11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Stock Awards ($)</w:t>
            </w:r>
          </w:p>
        </w:tc>
        <w:tc>
          <w:tcPr>
            <w:tcW w:w="1140" w:type="dxa"/>
            <w:vAlign w:val="bottom"/>
            <w:gridSpan w:val="2"/>
          </w:tcPr>
          <w:p>
            <w:pPr>
              <w:ind w:left="80"/>
              <w:spacing w:after="0"/>
              <w:rPr>
                <w:sz w:val="20"/>
                <w:szCs w:val="20"/>
                <w:color w:val="auto"/>
              </w:rPr>
            </w:pPr>
            <w:r>
              <w:rPr>
                <w:rFonts w:ascii="Arial" w:cs="Arial" w:eastAsia="Arial" w:hAnsi="Arial"/>
                <w:sz w:val="13"/>
                <w:szCs w:val="13"/>
                <w:b w:val="1"/>
                <w:bCs w:val="1"/>
                <w:color w:val="auto"/>
              </w:rPr>
              <w:t>Option Awards</w:t>
            </w:r>
          </w:p>
        </w:tc>
        <w:tc>
          <w:tcPr>
            <w:tcW w:w="14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Compensation</w:t>
            </w:r>
          </w:p>
        </w:tc>
        <w:tc>
          <w:tcPr>
            <w:tcW w:w="14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Compensation</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40"/>
        </w:trPr>
        <w:tc>
          <w:tcPr>
            <w:tcW w:w="15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80" w:type="dxa"/>
            <w:vAlign w:val="bottom"/>
            <w:vMerge w:val="restart"/>
          </w:tcPr>
          <w:p>
            <w:pPr>
              <w:spacing w:after="0"/>
              <w:rPr>
                <w:sz w:val="3"/>
                <w:szCs w:val="3"/>
                <w:color w:val="auto"/>
              </w:rPr>
            </w:pPr>
          </w:p>
        </w:tc>
        <w:tc>
          <w:tcPr>
            <w:tcW w:w="1020" w:type="dxa"/>
            <w:vAlign w:val="bottom"/>
            <w:vMerge w:val="restart"/>
          </w:tcPr>
          <w:p>
            <w:pPr>
              <w:ind w:left="380"/>
              <w:spacing w:after="0"/>
              <w:rPr>
                <w:sz w:val="20"/>
                <w:szCs w:val="20"/>
                <w:color w:val="auto"/>
              </w:rPr>
            </w:pPr>
            <w:r>
              <w:rPr>
                <w:rFonts w:ascii="Arial" w:cs="Arial" w:eastAsia="Arial" w:hAnsi="Arial"/>
                <w:sz w:val="13"/>
                <w:szCs w:val="13"/>
                <w:b w:val="1"/>
                <w:bCs w:val="1"/>
                <w:color w:val="auto"/>
              </w:rPr>
              <w:t>Year</w:t>
            </w:r>
          </w:p>
        </w:tc>
        <w:tc>
          <w:tcPr>
            <w:tcW w:w="100" w:type="dxa"/>
            <w:vAlign w:val="bottom"/>
            <w:vMerge w:val="restart"/>
          </w:tcPr>
          <w:p>
            <w:pPr>
              <w:spacing w:after="0"/>
              <w:rPr>
                <w:sz w:val="3"/>
                <w:szCs w:val="3"/>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3"/>
                <w:szCs w:val="3"/>
                <w:color w:val="auto"/>
              </w:rPr>
            </w:pPr>
          </w:p>
        </w:tc>
        <w:tc>
          <w:tcPr>
            <w:tcW w:w="880" w:type="dxa"/>
            <w:vAlign w:val="bottom"/>
            <w:vMerge w:val="restart"/>
          </w:tcPr>
          <w:p>
            <w:pPr>
              <w:jc w:val="right"/>
              <w:ind w:right="29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040" w:type="dxa"/>
            <w:vAlign w:val="bottom"/>
            <w:vMerge w:val="restart"/>
          </w:tcPr>
          <w:p>
            <w:pPr>
              <w:jc w:val="right"/>
              <w:ind w:right="31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7"/>
                <w:szCs w:val="17"/>
                <w:b w:val="1"/>
                <w:bCs w:val="1"/>
                <w:color w:val="auto"/>
                <w:vertAlign w:val="superscript"/>
              </w:rPr>
              <w:t>(1)</w:t>
            </w:r>
          </w:p>
        </w:tc>
        <w:tc>
          <w:tcPr>
            <w:tcW w:w="100" w:type="dxa"/>
            <w:vAlign w:val="bottom"/>
          </w:tcPr>
          <w:p>
            <w:pPr>
              <w:spacing w:after="0"/>
              <w:rPr>
                <w:sz w:val="3"/>
                <w:szCs w:val="3"/>
                <w:color w:val="auto"/>
              </w:rPr>
            </w:pPr>
          </w:p>
        </w:tc>
        <w:tc>
          <w:tcPr>
            <w:tcW w:w="13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w:t>
            </w:r>
            <w:r>
              <w:rPr>
                <w:rFonts w:ascii="Arial" w:cs="Arial" w:eastAsia="Arial" w:hAnsi="Arial"/>
                <w:sz w:val="17"/>
                <w:szCs w:val="17"/>
                <w:b w:val="1"/>
                <w:bCs w:val="1"/>
                <w:color w:val="auto"/>
                <w:w w:val="87"/>
                <w:vertAlign w:val="superscript"/>
              </w:rPr>
              <w:t>(2)</w:t>
            </w:r>
          </w:p>
        </w:tc>
        <w:tc>
          <w:tcPr>
            <w:tcW w:w="80" w:type="dxa"/>
            <w:vAlign w:val="bottom"/>
          </w:tcPr>
          <w:p>
            <w:pPr>
              <w:spacing w:after="0"/>
              <w:rPr>
                <w:sz w:val="3"/>
                <w:szCs w:val="3"/>
                <w:color w:val="auto"/>
              </w:rPr>
            </w:pPr>
          </w:p>
        </w:tc>
        <w:tc>
          <w:tcPr>
            <w:tcW w:w="138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3"/>
                <w:szCs w:val="3"/>
                <w:color w:val="auto"/>
              </w:rPr>
            </w:pPr>
          </w:p>
        </w:tc>
        <w:tc>
          <w:tcPr>
            <w:tcW w:w="1200" w:type="dxa"/>
            <w:vAlign w:val="bottom"/>
            <w:vMerge w:val="restart"/>
          </w:tcPr>
          <w:p>
            <w:pPr>
              <w:jc w:val="right"/>
              <w:ind w:right="45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line="20" w:lineRule="exact"/>
              <w:rPr>
                <w:sz w:val="1"/>
                <w:szCs w:val="1"/>
                <w:color w:val="auto"/>
              </w:rPr>
            </w:pPr>
          </w:p>
        </w:tc>
      </w:tr>
      <w:tr>
        <w:trPr>
          <w:trHeight w:val="162"/>
        </w:trPr>
        <w:tc>
          <w:tcPr>
            <w:tcW w:w="15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9"/>
                <w:szCs w:val="9"/>
                <w:b w:val="1"/>
                <w:bCs w:val="1"/>
                <w:color w:val="auto"/>
              </w:rPr>
              <w:t>(1)</w:t>
            </w: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Tim Chen</w:t>
            </w: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1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Co-founder and Chief</w:t>
            </w: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13,198</w:t>
            </w:r>
            <w:r>
              <w:rPr>
                <w:rFonts w:ascii="Arial" w:cs="Arial" w:eastAsia="Arial" w:hAnsi="Arial"/>
                <w:sz w:val="18"/>
                <w:szCs w:val="18"/>
                <w:color w:val="auto"/>
                <w:vertAlign w:val="superscript"/>
              </w:rPr>
              <w:t>(3)</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Executive Officer</w:t>
            </w:r>
          </w:p>
        </w:tc>
        <w:tc>
          <w:tcPr>
            <w:tcW w:w="1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70,390</w:t>
            </w:r>
          </w:p>
        </w:tc>
        <w:tc>
          <w:tcPr>
            <w:tcW w:w="8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530"/>
              <w:spacing w:after="0"/>
              <w:rPr>
                <w:sz w:val="20"/>
                <w:szCs w:val="20"/>
                <w:color w:val="auto"/>
              </w:rPr>
            </w:pPr>
            <w:r>
              <w:rPr>
                <w:rFonts w:ascii="Arial" w:cs="Arial" w:eastAsia="Arial" w:hAnsi="Arial"/>
                <w:sz w:val="14"/>
                <w:szCs w:val="14"/>
                <w:color w:val="auto"/>
                <w:w w:val="94"/>
              </w:rPr>
              <w:t>533,588</w:t>
            </w:r>
          </w:p>
        </w:tc>
        <w:tc>
          <w:tcPr>
            <w:tcW w:w="0" w:type="dxa"/>
            <w:vAlign w:val="bottom"/>
          </w:tcPr>
          <w:p>
            <w:pPr>
              <w:spacing w:after="0"/>
              <w:rPr>
                <w:sz w:val="1"/>
                <w:szCs w:val="1"/>
                <w:color w:val="auto"/>
              </w:rPr>
            </w:pPr>
          </w:p>
        </w:tc>
      </w:tr>
      <w:tr>
        <w:trPr>
          <w:trHeight w:val="190"/>
        </w:trPr>
        <w:tc>
          <w:tcPr>
            <w:tcW w:w="1620" w:type="dxa"/>
            <w:vAlign w:val="bottom"/>
            <w:gridSpan w:val="2"/>
          </w:tcPr>
          <w:p>
            <w:pPr>
              <w:ind w:left="20"/>
              <w:spacing w:after="0"/>
              <w:rPr>
                <w:sz w:val="20"/>
                <w:szCs w:val="20"/>
                <w:color w:val="auto"/>
              </w:rPr>
            </w:pPr>
            <w:r>
              <w:rPr>
                <w:rFonts w:ascii="Arial" w:cs="Arial" w:eastAsia="Arial" w:hAnsi="Arial"/>
                <w:sz w:val="14"/>
                <w:szCs w:val="14"/>
                <w:color w:val="auto"/>
              </w:rPr>
              <w:t>Lauren StClair</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1620" w:type="dxa"/>
            <w:vAlign w:val="bottom"/>
            <w:gridSpan w:val="2"/>
          </w:tcPr>
          <w:p>
            <w:pPr>
              <w:ind w:left="20"/>
              <w:spacing w:after="0"/>
              <w:rPr>
                <w:sz w:val="20"/>
                <w:szCs w:val="20"/>
                <w:color w:val="auto"/>
              </w:rPr>
            </w:pPr>
            <w:r>
              <w:rPr>
                <w:rFonts w:ascii="Arial" w:cs="Arial" w:eastAsia="Arial" w:hAnsi="Arial"/>
                <w:sz w:val="14"/>
                <w:szCs w:val="14"/>
                <w:color w:val="auto"/>
              </w:rPr>
              <w:t>Chief Financial Officer</w:t>
            </w:r>
          </w:p>
        </w:tc>
        <w:tc>
          <w:tcPr>
            <w:tcW w:w="1020" w:type="dxa"/>
            <w:vAlign w:val="bottom"/>
          </w:tcPr>
          <w:p>
            <w:pPr>
              <w:ind w:left="380"/>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20,833</w:t>
            </w:r>
            <w:r>
              <w:rPr>
                <w:rFonts w:ascii="Arial" w:cs="Arial" w:eastAsia="Arial" w:hAnsi="Arial"/>
                <w:sz w:val="18"/>
                <w:szCs w:val="18"/>
                <w:color w:val="auto"/>
                <w:vertAlign w:val="superscript"/>
              </w:rPr>
              <w:t>(4)</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2,129,400</w:t>
            </w: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2,146,994</w:t>
            </w: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729</w:t>
            </w:r>
          </w:p>
        </w:tc>
        <w:tc>
          <w:tcPr>
            <w:tcW w:w="100" w:type="dxa"/>
            <w:vAlign w:val="bottom"/>
          </w:tcPr>
          <w:p>
            <w:pPr>
              <w:spacing w:after="0"/>
              <w:rPr>
                <w:sz w:val="24"/>
                <w:szCs w:val="24"/>
                <w:color w:val="auto"/>
              </w:rPr>
            </w:pPr>
          </w:p>
        </w:tc>
        <w:tc>
          <w:tcPr>
            <w:tcW w:w="1200" w:type="dxa"/>
            <w:vAlign w:val="bottom"/>
          </w:tcPr>
          <w:p>
            <w:pPr>
              <w:jc w:val="center"/>
              <w:ind w:left="510"/>
              <w:spacing w:after="0"/>
              <w:rPr>
                <w:sz w:val="20"/>
                <w:szCs w:val="20"/>
                <w:color w:val="auto"/>
              </w:rPr>
            </w:pPr>
            <w:r>
              <w:rPr>
                <w:rFonts w:ascii="Arial" w:cs="Arial" w:eastAsia="Arial" w:hAnsi="Arial"/>
                <w:sz w:val="14"/>
                <w:szCs w:val="14"/>
                <w:color w:val="auto"/>
                <w:w w:val="93"/>
              </w:rPr>
              <w:t>4,297,956</w:t>
            </w:r>
          </w:p>
        </w:tc>
        <w:tc>
          <w:tcPr>
            <w:tcW w:w="0" w:type="dxa"/>
            <w:vAlign w:val="bottom"/>
          </w:tcPr>
          <w:p>
            <w:pPr>
              <w:spacing w:after="0"/>
              <w:rPr>
                <w:sz w:val="1"/>
                <w:szCs w:val="1"/>
                <w:color w:val="auto"/>
              </w:rPr>
            </w:pPr>
          </w:p>
        </w:tc>
      </w:tr>
      <w:tr>
        <w:trPr>
          <w:trHeight w:val="191"/>
        </w:trPr>
        <w:tc>
          <w:tcPr>
            <w:tcW w:w="1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Kevin Yuann</w:t>
            </w: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1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Chief Business Officer</w:t>
            </w:r>
          </w:p>
        </w:tc>
        <w:tc>
          <w:tcPr>
            <w:tcW w:w="1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398,333</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90,000</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82,133</w:t>
            </w: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57,285</w:t>
            </w:r>
          </w:p>
        </w:tc>
        <w:tc>
          <w:tcPr>
            <w:tcW w:w="8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13,939</w:t>
            </w:r>
            <w:r>
              <w:rPr>
                <w:rFonts w:ascii="Arial" w:cs="Arial" w:eastAsia="Arial" w:hAnsi="Arial"/>
                <w:sz w:val="18"/>
                <w:szCs w:val="18"/>
                <w:color w:val="auto"/>
                <w:vertAlign w:val="superscript"/>
              </w:rPr>
              <w:t>(3)</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center"/>
              <w:ind w:left="530"/>
              <w:spacing w:after="0"/>
              <w:rPr>
                <w:sz w:val="20"/>
                <w:szCs w:val="20"/>
                <w:color w:val="auto"/>
              </w:rPr>
            </w:pPr>
            <w:r>
              <w:rPr>
                <w:rFonts w:ascii="Arial" w:cs="Arial" w:eastAsia="Arial" w:hAnsi="Arial"/>
                <w:sz w:val="14"/>
                <w:szCs w:val="14"/>
                <w:color w:val="auto"/>
                <w:w w:val="94"/>
              </w:rPr>
              <w:t>641,691</w:t>
            </w:r>
          </w:p>
        </w:tc>
        <w:tc>
          <w:tcPr>
            <w:tcW w:w="0" w:type="dxa"/>
            <w:vAlign w:val="bottom"/>
          </w:tcPr>
          <w:p>
            <w:pPr>
              <w:spacing w:after="0"/>
              <w:rPr>
                <w:sz w:val="1"/>
                <w:szCs w:val="1"/>
                <w:color w:val="auto"/>
              </w:rPr>
            </w:pPr>
          </w:p>
        </w:tc>
      </w:tr>
      <w:tr>
        <w:trPr>
          <w:trHeight w:val="191"/>
        </w:trPr>
        <w:tc>
          <w:tcPr>
            <w:tcW w:w="1620" w:type="dxa"/>
            <w:vAlign w:val="bottom"/>
            <w:gridSpan w:val="2"/>
          </w:tcPr>
          <w:p>
            <w:pPr>
              <w:ind w:left="20"/>
              <w:spacing w:after="0"/>
              <w:rPr>
                <w:sz w:val="20"/>
                <w:szCs w:val="20"/>
                <w:color w:val="auto"/>
              </w:rPr>
            </w:pPr>
            <w:r>
              <w:rPr>
                <w:rFonts w:ascii="Arial" w:cs="Arial" w:eastAsia="Arial" w:hAnsi="Arial"/>
                <w:sz w:val="14"/>
                <w:szCs w:val="14"/>
                <w:color w:val="auto"/>
              </w:rPr>
              <w:t>Laura Onopchenko</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1620" w:type="dxa"/>
            <w:vAlign w:val="bottom"/>
            <w:gridSpan w:val="2"/>
          </w:tcPr>
          <w:p>
            <w:pPr>
              <w:ind w:left="20"/>
              <w:spacing w:after="0"/>
              <w:rPr>
                <w:sz w:val="20"/>
                <w:szCs w:val="20"/>
                <w:color w:val="auto"/>
              </w:rPr>
            </w:pPr>
            <w:r>
              <w:rPr>
                <w:rFonts w:ascii="Arial" w:cs="Arial" w:eastAsia="Arial" w:hAnsi="Arial"/>
                <w:sz w:val="14"/>
                <w:szCs w:val="14"/>
                <w:color w:val="auto"/>
              </w:rPr>
              <w:t>Former Chief Financial</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126,894</w:t>
            </w:r>
            <w:r>
              <w:rPr>
                <w:rFonts w:ascii="Arial" w:cs="Arial" w:eastAsia="Arial" w:hAnsi="Arial"/>
                <w:sz w:val="18"/>
                <w:szCs w:val="18"/>
                <w:color w:val="auto"/>
                <w:vertAlign w:val="superscript"/>
              </w:rPr>
              <w:t>(5)</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263,215</w:t>
            </w:r>
            <w:r>
              <w:rPr>
                <w:rFonts w:ascii="Arial" w:cs="Arial" w:eastAsia="Arial" w:hAnsi="Arial"/>
                <w:sz w:val="18"/>
                <w:szCs w:val="18"/>
                <w:color w:val="auto"/>
                <w:vertAlign w:val="superscript"/>
              </w:rPr>
              <w:t>(6)</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986,599</w:t>
            </w:r>
            <w:r>
              <w:rPr>
                <w:rFonts w:ascii="Arial" w:cs="Arial" w:eastAsia="Arial" w:hAnsi="Arial"/>
                <w:sz w:val="18"/>
                <w:szCs w:val="18"/>
                <w:color w:val="auto"/>
                <w:vertAlign w:val="superscript"/>
              </w:rPr>
              <w:t>(7)</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620" w:type="dxa"/>
            <w:vAlign w:val="bottom"/>
            <w:gridSpan w:val="2"/>
          </w:tcPr>
          <w:p>
            <w:pPr>
              <w:ind w:left="20"/>
              <w:spacing w:after="0"/>
              <w:rPr>
                <w:sz w:val="20"/>
                <w:szCs w:val="20"/>
                <w:color w:val="auto"/>
              </w:rPr>
            </w:pPr>
            <w:r>
              <w:rPr>
                <w:rFonts w:ascii="Arial" w:cs="Arial" w:eastAsia="Arial" w:hAnsi="Arial"/>
                <w:sz w:val="14"/>
                <w:szCs w:val="14"/>
                <w:color w:val="auto"/>
              </w:rPr>
              <w:t>Officer</w:t>
            </w:r>
          </w:p>
        </w:tc>
        <w:tc>
          <w:tcPr>
            <w:tcW w:w="1020" w:type="dxa"/>
            <w:vAlign w:val="bottom"/>
          </w:tcPr>
          <w:p>
            <w:pPr>
              <w:ind w:left="380"/>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center"/>
              <w:ind w:left="510"/>
              <w:spacing w:after="0"/>
              <w:rPr>
                <w:sz w:val="20"/>
                <w:szCs w:val="20"/>
                <w:color w:val="auto"/>
              </w:rPr>
            </w:pPr>
            <w:r>
              <w:rPr>
                <w:rFonts w:ascii="Arial" w:cs="Arial" w:eastAsia="Arial" w:hAnsi="Arial"/>
                <w:sz w:val="14"/>
                <w:szCs w:val="14"/>
                <w:color w:val="auto"/>
                <w:w w:val="93"/>
              </w:rPr>
              <w:t>1,376,708</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____________</w:t>
      </w:r>
    </w:p>
    <w:p>
      <w:pPr>
        <w:spacing w:after="0" w:line="1" w:lineRule="exact"/>
        <w:rPr>
          <w:sz w:val="20"/>
          <w:szCs w:val="20"/>
          <w:color w:val="auto"/>
        </w:rPr>
      </w:pPr>
    </w:p>
    <w:p>
      <w:pPr>
        <w:jc w:val="both"/>
        <w:ind w:left="340" w:hanging="332"/>
        <w:spacing w:after="0" w:line="260" w:lineRule="auto"/>
        <w:tabs>
          <w:tab w:leader="none" w:pos="332"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 amount disclosed represent the aggregate grant date fair value of stock awards and stock options granted to our named executive officers during 2020 under the 2012 Plan, computed in accordance with ASC Topic 718. The assumptions used in calculating the grant date fair value of the stock awards and stock options are set forth in the notes to our audited consolidated financial statements included elsewhere in this prospectus. This amount does not reflect the actual economic value that may be realized by the named executive officer.</w:t>
      </w:r>
    </w:p>
    <w:p>
      <w:pPr>
        <w:ind w:left="320" w:hanging="312"/>
        <w:spacing w:after="0"/>
        <w:tabs>
          <w:tab w:leader="none" w:pos="3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Amounts reflect payouts under the Company's MTL Incentive Plan.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Includes 401(k) matching contributions of $11,400.</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 December 2020, Ms. StClair began serving as our Chief Financial Officer and was paid prorated salary amounts based on an annual salary of $500,000.</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From January 2020 through March 2020, Ms. Onopchenko served as our Chief Financial Officer and was paid prorated salary amounts based on an annual salary of $500,000.</w:t>
      </w:r>
    </w:p>
    <w:p>
      <w:pPr>
        <w:spacing w:after="0" w:line="1" w:lineRule="exact"/>
        <w:rPr>
          <w:rFonts w:ascii="Arial" w:cs="Arial" w:eastAsia="Arial" w:hAnsi="Arial"/>
          <w:sz w:val="14"/>
          <w:szCs w:val="14"/>
          <w:color w:val="auto"/>
        </w:rPr>
      </w:pPr>
    </w:p>
    <w:p>
      <w:pPr>
        <w:ind w:left="340" w:hanging="332"/>
        <w:spacing w:after="0" w:line="241" w:lineRule="auto"/>
        <w:tabs>
          <w:tab w:leader="none" w:pos="332" w:val="left"/>
        </w:tabs>
        <w:numPr>
          <w:ilvl w:val="0"/>
          <w:numId w:val="75"/>
        </w:numPr>
        <w:rPr>
          <w:rFonts w:ascii="Arial" w:cs="Arial" w:eastAsia="Arial" w:hAnsi="Arial"/>
          <w:sz w:val="14"/>
          <w:szCs w:val="14"/>
          <w:color w:val="auto"/>
        </w:rPr>
      </w:pPr>
      <w:r>
        <w:rPr>
          <w:rFonts w:ascii="Arial" w:cs="Arial" w:eastAsia="Arial" w:hAnsi="Arial"/>
          <w:sz w:val="14"/>
          <w:szCs w:val="14"/>
          <w:color w:val="auto"/>
        </w:rPr>
        <w:t>Reflects incremental fair value recognized as a result of the extension of exercisability of certain of Ms. Onopchenko’s options and the modification of certain other of Ms. Onopchenko’s options, all in connection with her separation.</w:t>
      </w:r>
    </w:p>
    <w:p>
      <w:pPr>
        <w:ind w:left="340" w:hanging="332"/>
        <w:spacing w:after="0" w:line="255" w:lineRule="auto"/>
        <w:tabs>
          <w:tab w:leader="none" w:pos="332"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Includes (i) in connection with her negotiated separation agreement, (w) a $250,000 cash severance payment, (x) COBRA payment of $10,868, (y) an option cancellation payment of $520,259, and (z) payment of a cash bonus of $200,000 related to our MTL Incentive Program and (ii) 401(k) matching contributions of $5,082.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Explanation to the Summary Compensation Table</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addition to their base salaries, for the year ended December 31, 2020, each of our named executive officers other than Ms. StClair was eligible to earn cash and equity awards pursuant to our MTL Incentive Program. The MTL Incentive Program was implemented in 2018 and provided for payouts at the conclusion of the performance period ending in 2020 based on achievement of certain corporate milestones. Our board of directors awarded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111</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payouts to each of Messrs. Chen and Yuann pursuant to the program and, in connection with her separation from service, Ms. Onopchenko, as disclosed in the Summary Compensation Table above.</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December 16, 2020, our board of directors granted Ms. StClair an option to purchase 630,000 shares of our Class A common stock pursuant to her letter agreement with us. Such option vests over four years of continuous service provided by her, with 25% vesting after completion of one year of continuous service and 1/48th vesting after completion of each month of continuous service thereafter. On December 16, 2020, our board of directors granted Ms. StClair 315,000 RSUs, which vest as described below under “Outstanding Equity Awards at December 31, 2020.” Such awards vest on an accelerated basis under certain circumstances as described below under “Potential Payments upon Termination or Change in Control.”</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March 18, 2020, our board of directors granted Mr. Yuann an option to purchase 30,000 shares of our Class A common stock. Such option vests in monthly installments over four years of continuous service provided by him. On March 18, 2020, our board of directors granted Mr. Yuann 15,000 RSUs, which vest as described below under “Outstanding Equity Awards at December 31,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Our Named Executive Officers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Set forth below are descriptions of our employment agreements with our named executive officers. For a discussion of the severance pay and other benefits to be provided in connection with a termination of employment and/or a change in control under the arrangements with our named executive officers, see “—Potential Payments upon Termination or Change in Control.”</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Tim Chen</w:t>
      </w:r>
      <w:r>
        <w:rPr>
          <w:rFonts w:ascii="Arial" w:cs="Arial" w:eastAsia="Arial" w:hAnsi="Arial"/>
          <w:sz w:val="18"/>
          <w:szCs w:val="18"/>
          <w:color w:val="auto"/>
        </w:rPr>
        <w:t>. On June 25, 2021, we entered into a continuing employment letter agreement with Mr. Chen. Under the terms of the letter agreement, Mr.</w:t>
      </w:r>
      <w:r>
        <w:rPr>
          <w:rFonts w:ascii="Arial" w:cs="Arial" w:eastAsia="Arial" w:hAnsi="Arial"/>
          <w:sz w:val="18"/>
          <w:szCs w:val="18"/>
          <w:i w:val="1"/>
          <w:iCs w:val="1"/>
          <w:color w:val="auto"/>
        </w:rPr>
        <w:t xml:space="preserve"> </w:t>
      </w:r>
      <w:r>
        <w:rPr>
          <w:rFonts w:ascii="Arial" w:cs="Arial" w:eastAsia="Arial" w:hAnsi="Arial"/>
          <w:sz w:val="18"/>
          <w:szCs w:val="18"/>
          <w:color w:val="auto"/>
        </w:rPr>
        <w:t>Chen is entitled to an annual base salary of $600,000, effective as of July 1, 2021. Mr. Chen is also eligible to participate in the employee benefit plans generally available to our employees.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Lauren StClair. </w:t>
      </w:r>
      <w:r>
        <w:rPr>
          <w:rFonts w:ascii="Arial" w:cs="Arial" w:eastAsia="Arial" w:hAnsi="Arial"/>
          <w:sz w:val="18"/>
          <w:szCs w:val="18"/>
          <w:color w:val="auto"/>
        </w:rPr>
        <w:t>On November 24, 2020, we entered into an offer letter with Ms. StClair. Under the terms of her offer letter Ms. StClair is entitled to an</w:t>
      </w:r>
      <w:r>
        <w:rPr>
          <w:rFonts w:ascii="Arial" w:cs="Arial" w:eastAsia="Arial" w:hAnsi="Arial"/>
          <w:sz w:val="18"/>
          <w:szCs w:val="18"/>
          <w:i w:val="1"/>
          <w:iCs w:val="1"/>
          <w:color w:val="auto"/>
        </w:rPr>
        <w:t xml:space="preserve"> </w:t>
      </w:r>
      <w:r>
        <w:rPr>
          <w:rFonts w:ascii="Arial" w:cs="Arial" w:eastAsia="Arial" w:hAnsi="Arial"/>
          <w:sz w:val="18"/>
          <w:szCs w:val="18"/>
          <w:color w:val="auto"/>
        </w:rPr>
        <w:t>annual base salary of $500,000, an option to purchase 630,000 shares of the Company's Class A common stock and a grant of 315,000 RSUs. Ms. StClair is also eligible to participate in the employee benefit plans generally available to our employees.</w:t>
      </w:r>
    </w:p>
    <w:p>
      <w:pPr>
        <w:spacing w:after="0" w:line="130"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i w:val="1"/>
          <w:iCs w:val="1"/>
          <w:color w:val="auto"/>
        </w:rPr>
        <w:t xml:space="preserve">Kevin Yuann. </w:t>
      </w:r>
      <w:r>
        <w:rPr>
          <w:rFonts w:ascii="Arial" w:cs="Arial" w:eastAsia="Arial" w:hAnsi="Arial"/>
          <w:sz w:val="16"/>
          <w:szCs w:val="16"/>
          <w:color w:val="auto"/>
        </w:rPr>
        <w:t>In June 2014, we entered into an offer letter with Mr. Yuann. Under its terms, Mr. Yuann is entitled to an annual base salary as</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by the Board from time to time. Mr. Yuann is also eligible to participate in the employee benefit plans generally available to our employees.</w:t>
      </w:r>
    </w:p>
    <w:p>
      <w:pPr>
        <w:spacing w:after="0" w:line="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Laura Onopchenko. </w:t>
      </w:r>
      <w:r>
        <w:rPr>
          <w:rFonts w:ascii="Arial" w:cs="Arial" w:eastAsia="Arial" w:hAnsi="Arial"/>
          <w:sz w:val="18"/>
          <w:szCs w:val="18"/>
          <w:color w:val="auto"/>
        </w:rPr>
        <w:t>On April 3, 2020, we entered into a separation agreement with Ms. Onopchenko. Under the separation agreement, in exchange for</w:t>
      </w:r>
      <w:r>
        <w:rPr>
          <w:rFonts w:ascii="Arial" w:cs="Arial" w:eastAsia="Arial" w:hAnsi="Arial"/>
          <w:sz w:val="18"/>
          <w:szCs w:val="18"/>
          <w:i w:val="1"/>
          <w:iCs w:val="1"/>
          <w:color w:val="auto"/>
        </w:rPr>
        <w:t xml:space="preserve"> </w:t>
      </w:r>
      <w:r>
        <w:rPr>
          <w:rFonts w:ascii="Arial" w:cs="Arial" w:eastAsia="Arial" w:hAnsi="Arial"/>
          <w:sz w:val="18"/>
          <w:szCs w:val="18"/>
          <w:color w:val="auto"/>
        </w:rPr>
        <w:t>a release of claims against the company, Ms. Onopchenko received (i) cash severance of $250,000, payable in installments in accordance with the Company’s payroll (ii) payment of health care premiums under COBRA for a period ending not later than October 31, 2020, (iii) payment of $200,000 under the MTL Cash Incentive Plan, (iii) acceleration and cancellation of an option to purchase 183,190 shares of Class A common stock for aggregate consideration of $520,259 and (iv) an extension of the post-termination exercise period for vested options to purchase 585,713 shares of Class A common stock until April 1, 2022.</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Pursuant to our change of control and severance policy, which became effective as of June 16, 2021, each of Messrs. Chen and Yuann and Ms. StClair are eligible for the benefits described in this paragraph (which such benefits specifically supersede any prior agreements relating to such benefits). The policy has a term of three years, subject to automatic renewal unless terminated by the Company at least three months prior to the date on which the policy would otherwise renew. In the event of a termination without cause or resignation for good reason, each such officer, contingent on execution of a general release of claims against us, will be entitled to (i) a lump sum payment equal to (A) the amount of base salary that would have been earned during the severance period (at the rate in effect immediately prior to such termination prior to any reduction that triggered a resignation for good reason), plus (B) payment of a target bonus, if applicable, assuming the bonus would have been earned at 100% of target, and prorated based on the number of calendar months completed in the performance period in which the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112</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occurs and (ii) to the extent the officer timely elects to receive continued coverage under our group healthcare plans, payment of, or reimbursement for, such coverage under COBRA, for up to the length of the severance period. The severance period will be six months;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if such termination without cause or resignation for good reason occurs during the period beginning 3 months prior to, and ending on the date that is 12 months following, our change in control (a Change in Control Termination), then the severance period will be 12 months. In addition, in the event of a Change in Control Termination, (x) the bonus payment will not be prorated but instead will reflect the full target bonus and (y) each of the officer’s outstanding equity awards (excluding performance-based awards) will vest as if the officer had completed an additional 12 months of continuous service beyond the termination date.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December 31, 2020</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shows for the fiscal year ended December 31, 2020, certain information regarding outstanding equity awards at fiscal year-end for the Named Executive Officers.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85"/>
              </w:rPr>
              <w:t>Option Awards</w:t>
            </w:r>
            <w:r>
              <w:rPr>
                <w:rFonts w:ascii="Arial" w:cs="Arial" w:eastAsia="Arial" w:hAnsi="Arial"/>
                <w:sz w:val="15"/>
                <w:szCs w:val="15"/>
                <w:b w:val="1"/>
                <w:bCs w:val="1"/>
                <w:color w:val="auto"/>
                <w:w w:val="85"/>
                <w:vertAlign w:val="superscript"/>
              </w:rPr>
              <w:t>(1)(2)</w:t>
            </w: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ind w:left="560"/>
              <w:spacing w:after="0"/>
              <w:rPr>
                <w:sz w:val="20"/>
                <w:szCs w:val="20"/>
                <w:color w:val="auto"/>
              </w:rPr>
            </w:pPr>
            <w:r>
              <w:rPr>
                <w:rFonts w:ascii="Arial" w:cs="Arial" w:eastAsia="Arial" w:hAnsi="Arial"/>
                <w:sz w:val="12"/>
                <w:szCs w:val="12"/>
                <w:b w:val="1"/>
                <w:bCs w:val="1"/>
                <w:color w:val="auto"/>
              </w:rPr>
              <w:t>Stock Awards</w:t>
            </w:r>
            <w:r>
              <w:rPr>
                <w:rFonts w:ascii="Arial" w:cs="Arial" w:eastAsia="Arial" w:hAnsi="Arial"/>
                <w:sz w:val="15"/>
                <w:szCs w:val="15"/>
                <w:b w:val="1"/>
                <w:bCs w:val="1"/>
                <w:color w:val="auto"/>
                <w:vertAlign w:val="superscript"/>
              </w:rPr>
              <w:t>(1)</w:t>
            </w:r>
          </w:p>
        </w:tc>
        <w:tc>
          <w:tcPr>
            <w:tcW w:w="900" w:type="dxa"/>
            <w:vAlign w:val="bottom"/>
            <w:tcBorders>
              <w:bottom w:val="single" w:sz="8" w:color="auto"/>
            </w:tcBorders>
          </w:tcPr>
          <w:p>
            <w:pPr>
              <w:spacing w:after="0"/>
              <w:rPr>
                <w:sz w:val="14"/>
                <w:szCs w:val="14"/>
                <w:color w:val="auto"/>
              </w:rPr>
            </w:pPr>
          </w:p>
        </w:tc>
      </w:tr>
      <w:tr>
        <w:trPr>
          <w:trHeight w:val="128"/>
        </w:trPr>
        <w:tc>
          <w:tcPr>
            <w:tcW w:w="1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0"/>
              </w:rPr>
              <w:t>Equity Incentive</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Equity Incentive</w:t>
            </w:r>
          </w:p>
        </w:tc>
        <w:tc>
          <w:tcPr>
            <w:tcW w:w="900" w:type="dxa"/>
            <w:vAlign w:val="bottom"/>
          </w:tcPr>
          <w:p>
            <w:pPr>
              <w:jc w:val="center"/>
              <w:spacing w:after="0"/>
              <w:rPr>
                <w:sz w:val="20"/>
                <w:szCs w:val="20"/>
                <w:color w:val="auto"/>
              </w:rPr>
            </w:pPr>
            <w:r>
              <w:rPr>
                <w:rFonts w:ascii="Arial" w:cs="Arial" w:eastAsia="Arial" w:hAnsi="Arial"/>
                <w:sz w:val="11"/>
                <w:szCs w:val="11"/>
                <w:b w:val="1"/>
                <w:bCs w:val="1"/>
                <w:color w:val="auto"/>
                <w:w w:val="92"/>
              </w:rPr>
              <w:t>Equity Incentive</w:t>
            </w:r>
          </w:p>
        </w:tc>
      </w:tr>
      <w:tr>
        <w:trPr>
          <w:trHeight w:val="122"/>
        </w:trPr>
        <w:tc>
          <w:tcPr>
            <w:tcW w:w="1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Number of</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100" w:type="dxa"/>
            <w:vAlign w:val="bottom"/>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Plan Awards:</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Plan Awards:</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Plan Awards:</w:t>
            </w:r>
          </w:p>
        </w:tc>
      </w:tr>
      <w:tr>
        <w:trPr>
          <w:trHeight w:val="122"/>
        </w:trPr>
        <w:tc>
          <w:tcPr>
            <w:tcW w:w="1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3"/>
              </w:rPr>
              <w:t>Securities</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Securities</w:t>
            </w:r>
          </w:p>
        </w:tc>
        <w:tc>
          <w:tcPr>
            <w:tcW w:w="100" w:type="dxa"/>
            <w:vAlign w:val="bottom"/>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Number of</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Number of</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Market or Payout</w:t>
            </w:r>
          </w:p>
        </w:tc>
      </w:tr>
      <w:tr>
        <w:trPr>
          <w:trHeight w:val="122"/>
        </w:trPr>
        <w:tc>
          <w:tcPr>
            <w:tcW w:w="1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0"/>
              </w:rPr>
              <w:t>Underlying</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Underlying</w:t>
            </w:r>
          </w:p>
        </w:tc>
        <w:tc>
          <w:tcPr>
            <w:tcW w:w="100" w:type="dxa"/>
            <w:vAlign w:val="bottom"/>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Securities</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6"/>
              </w:rPr>
              <w:t>Number of Shares</w:t>
            </w: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Market Value of</w:t>
            </w: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Unearned Shares,</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Value of Unearned</w:t>
            </w:r>
          </w:p>
        </w:tc>
      </w:tr>
      <w:tr>
        <w:trPr>
          <w:trHeight w:val="121"/>
        </w:trPr>
        <w:tc>
          <w:tcPr>
            <w:tcW w:w="1340" w:type="dxa"/>
            <w:vAlign w:val="bottom"/>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5"/>
              </w:rPr>
              <w:t>Vesting</w:t>
            </w:r>
          </w:p>
        </w:tc>
        <w:tc>
          <w:tcPr>
            <w:tcW w:w="100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5"/>
              </w:rPr>
              <w:t>Unexercised</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Unexercised</w:t>
            </w:r>
          </w:p>
        </w:tc>
        <w:tc>
          <w:tcPr>
            <w:tcW w:w="100" w:type="dxa"/>
            <w:vAlign w:val="bottom"/>
          </w:tcPr>
          <w:p>
            <w:pPr>
              <w:spacing w:after="0"/>
              <w:rPr>
                <w:sz w:val="10"/>
                <w:szCs w:val="10"/>
                <w:color w:val="auto"/>
              </w:rPr>
            </w:pPr>
          </w:p>
        </w:tc>
        <w:tc>
          <w:tcPr>
            <w:tcW w:w="100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0"/>
              </w:rPr>
              <w:t>Underlying</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or Units of Stock</w:t>
            </w: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6"/>
              </w:rPr>
              <w:t>Shares or Units of</w:t>
            </w:r>
          </w:p>
        </w:tc>
        <w:tc>
          <w:tcPr>
            <w:tcW w:w="10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Units or Other</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Shares, Units or</w:t>
            </w:r>
          </w:p>
        </w:tc>
      </w:tr>
      <w:tr>
        <w:trPr>
          <w:trHeight w:val="122"/>
        </w:trPr>
        <w:tc>
          <w:tcPr>
            <w:tcW w:w="1340" w:type="dxa"/>
            <w:vAlign w:val="bottom"/>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6"/>
              </w:rPr>
              <w:t>Commencement</w:t>
            </w:r>
          </w:p>
        </w:tc>
        <w:tc>
          <w:tcPr>
            <w:tcW w:w="100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6"/>
              </w:rPr>
              <w:t>Options</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Options</w:t>
            </w:r>
          </w:p>
        </w:tc>
        <w:tc>
          <w:tcPr>
            <w:tcW w:w="100" w:type="dxa"/>
            <w:vAlign w:val="bottom"/>
          </w:tcPr>
          <w:p>
            <w:pPr>
              <w:spacing w:after="0"/>
              <w:rPr>
                <w:sz w:val="10"/>
                <w:szCs w:val="10"/>
                <w:color w:val="auto"/>
              </w:rPr>
            </w:pPr>
          </w:p>
        </w:tc>
        <w:tc>
          <w:tcPr>
            <w:tcW w:w="100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5"/>
              </w:rPr>
              <w:t>Unexercised</w:t>
            </w: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Option Exercise</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4"/>
              </w:rPr>
              <w:t>That Have Not</w:t>
            </w: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Stock That Have</w:t>
            </w: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Rights That Have</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Other Rights That</w:t>
            </w:r>
          </w:p>
        </w:tc>
      </w:tr>
      <w:tr>
        <w:trPr>
          <w:trHeight w:val="122"/>
        </w:trPr>
        <w:tc>
          <w:tcPr>
            <w:tcW w:w="1340" w:type="dxa"/>
            <w:vAlign w:val="bottom"/>
          </w:tcPr>
          <w:p>
            <w:pPr>
              <w:spacing w:after="0"/>
              <w:rPr>
                <w:sz w:val="10"/>
                <w:szCs w:val="10"/>
                <w:color w:val="auto"/>
              </w:rPr>
            </w:pPr>
          </w:p>
        </w:tc>
        <w:tc>
          <w:tcPr>
            <w:tcW w:w="100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2"/>
              </w:rPr>
              <w:t>Date</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w:t>
            </w:r>
          </w:p>
        </w:tc>
        <w:tc>
          <w:tcPr>
            <w:tcW w:w="10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w:t>
            </w:r>
          </w:p>
        </w:tc>
        <w:tc>
          <w:tcPr>
            <w:tcW w:w="100" w:type="dxa"/>
            <w:vAlign w:val="bottom"/>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Unearned Options</w:t>
            </w:r>
          </w:p>
        </w:tc>
        <w:tc>
          <w:tcPr>
            <w:tcW w:w="100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9"/>
              </w:rPr>
              <w:t>Price</w:t>
            </w: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3"/>
              </w:rPr>
              <w:t>Option Expiration</w:t>
            </w: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3"/>
              </w:rPr>
              <w:t>Vested</w:t>
            </w: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6"/>
              </w:rPr>
              <w:t>Not Vested</w:t>
            </w: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6"/>
              </w:rPr>
              <w:t>Not Vested</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Have Not Vested</w:t>
            </w:r>
          </w:p>
        </w:tc>
      </w:tr>
      <w:tr>
        <w:trPr>
          <w:trHeight w:val="122"/>
        </w:trPr>
        <w:tc>
          <w:tcPr>
            <w:tcW w:w="134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3"/>
              </w:rPr>
              <w:t>Vested</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4"/>
              </w:rPr>
              <w:t>Unvested</w:t>
            </w:r>
          </w:p>
        </w:tc>
        <w:tc>
          <w:tcPr>
            <w:tcW w:w="1000" w:type="dxa"/>
            <w:vAlign w:val="bottom"/>
            <w:gridSpan w:val="2"/>
          </w:tcPr>
          <w:p>
            <w:pPr>
              <w:jc w:val="center"/>
              <w:ind w:left="64"/>
              <w:spacing w:after="0" w:line="122" w:lineRule="exact"/>
              <w:rPr>
                <w:sz w:val="20"/>
                <w:szCs w:val="20"/>
                <w:color w:val="auto"/>
              </w:rPr>
            </w:pPr>
            <w:r>
              <w:rPr>
                <w:rFonts w:ascii="Arial" w:cs="Arial" w:eastAsia="Arial" w:hAnsi="Arial"/>
                <w:sz w:val="11"/>
                <w:szCs w:val="11"/>
                <w:b w:val="1"/>
                <w:bCs w:val="1"/>
                <w:color w:val="auto"/>
                <w:w w:val="88"/>
              </w:rPr>
              <w:t>(#)</w:t>
            </w:r>
          </w:p>
        </w:tc>
        <w:tc>
          <w:tcPr>
            <w:tcW w:w="10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2"/>
              </w:rPr>
              <w:t>Date</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0"/>
                <w:szCs w:val="10"/>
                <w:color w:val="auto"/>
              </w:rPr>
            </w:pPr>
          </w:p>
        </w:tc>
        <w:tc>
          <w:tcPr>
            <w:tcW w:w="900" w:type="dxa"/>
            <w:vAlign w:val="bottom"/>
          </w:tcPr>
          <w:p>
            <w:pPr>
              <w:jc w:val="right"/>
              <w:ind w:right="323"/>
              <w:spacing w:after="0" w:line="122"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w:t>
            </w:r>
          </w:p>
        </w:tc>
      </w:tr>
      <w:tr>
        <w:trPr>
          <w:trHeight w:val="140"/>
        </w:trPr>
        <w:tc>
          <w:tcPr>
            <w:tcW w:w="1340" w:type="dxa"/>
            <w:vAlign w:val="bottom"/>
          </w:tcPr>
          <w:p>
            <w:pPr>
              <w:ind w:left="20"/>
              <w:spacing w:after="0"/>
              <w:rPr>
                <w:sz w:val="20"/>
                <w:szCs w:val="20"/>
                <w:color w:val="auto"/>
              </w:rPr>
            </w:pPr>
            <w:r>
              <w:rPr>
                <w:rFonts w:ascii="Arial" w:cs="Arial" w:eastAsia="Arial" w:hAnsi="Arial"/>
                <w:sz w:val="11"/>
                <w:szCs w:val="11"/>
                <w:b w:val="1"/>
                <w:bCs w:val="1"/>
                <w:color w:val="auto"/>
              </w:rPr>
              <w:t>Name (a)</w:t>
            </w: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9"/>
              </w:rPr>
              <w:t>(b)</w:t>
            </w:r>
          </w:p>
        </w:tc>
        <w:tc>
          <w:tcPr>
            <w:tcW w:w="10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(c)</w:t>
            </w:r>
          </w:p>
        </w:tc>
        <w:tc>
          <w:tcPr>
            <w:tcW w:w="900" w:type="dxa"/>
            <w:vAlign w:val="bottom"/>
          </w:tcPr>
          <w:p>
            <w:pPr>
              <w:jc w:val="center"/>
              <w:spacing w:after="0"/>
              <w:rPr>
                <w:sz w:val="20"/>
                <w:szCs w:val="20"/>
                <w:color w:val="auto"/>
              </w:rPr>
            </w:pPr>
            <w:r>
              <w:rPr>
                <w:rFonts w:ascii="Arial" w:cs="Arial" w:eastAsia="Arial" w:hAnsi="Arial"/>
                <w:sz w:val="11"/>
                <w:szCs w:val="11"/>
                <w:b w:val="1"/>
                <w:bCs w:val="1"/>
                <w:color w:val="auto"/>
                <w:w w:val="99"/>
              </w:rPr>
              <w:t>(d)</w:t>
            </w:r>
          </w:p>
        </w:tc>
        <w:tc>
          <w:tcPr>
            <w:tcW w:w="100" w:type="dxa"/>
            <w:vAlign w:val="bottom"/>
          </w:tcPr>
          <w:p>
            <w:pPr>
              <w:spacing w:after="0"/>
              <w:rPr>
                <w:sz w:val="12"/>
                <w:szCs w:val="12"/>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(e)</w:t>
            </w: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(f)</w:t>
            </w: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9"/>
              </w:rPr>
              <w:t>(g)</w:t>
            </w: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9"/>
              </w:rPr>
              <w:t>(h)</w:t>
            </w: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(i)(3)</w:t>
            </w: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(j)</w:t>
            </w:r>
          </w:p>
        </w:tc>
        <w:tc>
          <w:tcPr>
            <w:tcW w:w="900" w:type="dxa"/>
            <w:vAlign w:val="bottom"/>
          </w:tcPr>
          <w:p>
            <w:pPr>
              <w:jc w:val="center"/>
              <w:spacing w:after="0"/>
              <w:rPr>
                <w:sz w:val="20"/>
                <w:szCs w:val="20"/>
                <w:color w:val="auto"/>
              </w:rPr>
            </w:pPr>
            <w:r>
              <w:rPr>
                <w:rFonts w:ascii="Arial" w:cs="Arial" w:eastAsia="Arial" w:hAnsi="Arial"/>
                <w:sz w:val="11"/>
                <w:szCs w:val="11"/>
                <w:b w:val="1"/>
                <w:bCs w:val="1"/>
                <w:color w:val="auto"/>
              </w:rPr>
              <w:t>(k)</w:t>
            </w:r>
          </w:p>
        </w:tc>
      </w:tr>
      <w:tr>
        <w:trPr>
          <w:trHeight w:val="22"/>
        </w:trPr>
        <w:tc>
          <w:tcPr>
            <w:tcW w:w="1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76"/>
        </w:trPr>
        <w:tc>
          <w:tcPr>
            <w:tcW w:w="1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Tim Chen</w:t>
            </w: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3"/>
                <w:szCs w:val="13"/>
                <w:color w:val="auto"/>
              </w:rPr>
              <w:t>—</w:t>
            </w:r>
          </w:p>
        </w:tc>
      </w:tr>
      <w:tr>
        <w:trPr>
          <w:trHeight w:val="203"/>
        </w:trPr>
        <w:tc>
          <w:tcPr>
            <w:tcW w:w="1340" w:type="dxa"/>
            <w:vAlign w:val="bottom"/>
          </w:tcPr>
          <w:p>
            <w:pPr>
              <w:ind w:left="20"/>
              <w:spacing w:after="0"/>
              <w:rPr>
                <w:sz w:val="20"/>
                <w:szCs w:val="20"/>
                <w:color w:val="auto"/>
              </w:rPr>
            </w:pPr>
            <w:r>
              <w:rPr>
                <w:rFonts w:ascii="Arial" w:cs="Arial" w:eastAsia="Arial" w:hAnsi="Arial"/>
                <w:sz w:val="13"/>
                <w:szCs w:val="13"/>
                <w:color w:val="auto"/>
              </w:rPr>
              <w:t>Lauren StClair</w:t>
            </w:r>
          </w:p>
        </w:tc>
        <w:tc>
          <w:tcPr>
            <w:tcW w:w="900" w:type="dxa"/>
            <w:vAlign w:val="bottom"/>
          </w:tcPr>
          <w:p>
            <w:pPr>
              <w:jc w:val="right"/>
              <w:spacing w:after="0"/>
              <w:rPr>
                <w:sz w:val="20"/>
                <w:szCs w:val="20"/>
                <w:color w:val="auto"/>
              </w:rPr>
            </w:pPr>
            <w:r>
              <w:rPr>
                <w:rFonts w:ascii="Arial" w:cs="Arial" w:eastAsia="Arial" w:hAnsi="Arial"/>
                <w:sz w:val="13"/>
                <w:szCs w:val="13"/>
                <w:color w:val="auto"/>
              </w:rPr>
              <w:t>12/16/2020</w:t>
            </w: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630,000</w:t>
            </w:r>
            <w:r>
              <w:rPr>
                <w:rFonts w:ascii="Arial" w:cs="Arial" w:eastAsia="Arial" w:hAnsi="Arial"/>
                <w:sz w:val="16"/>
                <w:szCs w:val="16"/>
                <w:color w:val="auto"/>
                <w:vertAlign w:val="superscript"/>
              </w:rPr>
              <w:t>(4)</w:t>
            </w:r>
          </w:p>
        </w:tc>
        <w:tc>
          <w:tcPr>
            <w:tcW w:w="100" w:type="dxa"/>
            <w:vAlign w:val="bottom"/>
          </w:tcPr>
          <w:p>
            <w:pPr>
              <w:spacing w:after="0"/>
              <w:rPr>
                <w:sz w:val="17"/>
                <w:szCs w:val="17"/>
                <w:color w:val="auto"/>
              </w:rPr>
            </w:pPr>
          </w:p>
        </w:tc>
        <w:tc>
          <w:tcPr>
            <w:tcW w:w="100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6.76</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12/15/2030</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315,000</w:t>
            </w:r>
            <w:r>
              <w:rPr>
                <w:rFonts w:ascii="Arial" w:cs="Arial" w:eastAsia="Arial" w:hAnsi="Arial"/>
                <w:sz w:val="16"/>
                <w:szCs w:val="16"/>
                <w:color w:val="auto"/>
                <w:vertAlign w:val="superscript"/>
              </w:rPr>
              <w:t>(5)</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3"/>
                <w:szCs w:val="13"/>
                <w:color w:val="auto"/>
              </w:rPr>
              <w:t>2,205,000</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ind w:left="720"/>
              <w:spacing w:after="0"/>
              <w:rPr>
                <w:sz w:val="20"/>
                <w:szCs w:val="20"/>
                <w:color w:val="auto"/>
              </w:rPr>
            </w:pPr>
            <w:r>
              <w:rPr>
                <w:rFonts w:ascii="Arial" w:cs="Arial" w:eastAsia="Arial" w:hAnsi="Arial"/>
                <w:sz w:val="13"/>
                <w:szCs w:val="13"/>
                <w:color w:val="auto"/>
              </w:rPr>
              <w:t>—</w:t>
            </w:r>
          </w:p>
        </w:tc>
      </w:tr>
      <w:tr>
        <w:trPr>
          <w:trHeight w:val="203"/>
        </w:trPr>
        <w:tc>
          <w:tcPr>
            <w:tcW w:w="1340" w:type="dxa"/>
            <w:vAlign w:val="bottom"/>
          </w:tcPr>
          <w:p>
            <w:pPr>
              <w:ind w:left="20"/>
              <w:spacing w:after="0"/>
              <w:rPr>
                <w:sz w:val="20"/>
                <w:szCs w:val="20"/>
                <w:color w:val="auto"/>
              </w:rPr>
            </w:pPr>
            <w:r>
              <w:rPr>
                <w:rFonts w:ascii="Arial" w:cs="Arial" w:eastAsia="Arial" w:hAnsi="Arial"/>
                <w:sz w:val="13"/>
                <w:szCs w:val="13"/>
                <w:color w:val="auto"/>
              </w:rPr>
              <w:t>Kevin Yuann</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37,500</w:t>
            </w:r>
            <w:r>
              <w:rPr>
                <w:rFonts w:ascii="Arial" w:cs="Arial" w:eastAsia="Arial" w:hAnsi="Arial"/>
                <w:sz w:val="16"/>
                <w:szCs w:val="16"/>
                <w:color w:val="auto"/>
                <w:vertAlign w:val="superscript"/>
              </w:rPr>
              <w:t>(6)</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1.25</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9/28/2025</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2"/>
        </w:trPr>
        <w:tc>
          <w:tcPr>
            <w:tcW w:w="1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48,750</w:t>
            </w:r>
            <w:r>
              <w:rPr>
                <w:rFonts w:ascii="Arial" w:cs="Arial" w:eastAsia="Arial" w:hAnsi="Arial"/>
                <w:sz w:val="16"/>
                <w:szCs w:val="16"/>
                <w:color w:val="auto"/>
                <w:vertAlign w:val="superscript"/>
              </w:rPr>
              <w:t>(6)</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5/7/2026</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33,792</w:t>
            </w:r>
            <w:r>
              <w:rPr>
                <w:rFonts w:ascii="Arial" w:cs="Arial" w:eastAsia="Arial" w:hAnsi="Arial"/>
                <w:sz w:val="16"/>
                <w:szCs w:val="16"/>
                <w:color w:val="auto"/>
                <w:vertAlign w:val="superscript"/>
              </w:rPr>
              <w:t>(6)</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2.05</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9/13/2026</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5/1/2017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44,791</w:t>
            </w:r>
            <w:r>
              <w:rPr>
                <w:rFonts w:ascii="Arial" w:cs="Arial" w:eastAsia="Arial" w:hAnsi="Arial"/>
                <w:sz w:val="16"/>
                <w:szCs w:val="16"/>
                <w:color w:val="auto"/>
                <w:vertAlign w:val="superscript"/>
              </w:rPr>
              <w:t>(4)</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5,209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5/1/2027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1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9/1/2018</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 xml:space="preserve">35,156 </w:t>
            </w:r>
            <w:r>
              <w:rPr>
                <w:rFonts w:ascii="Arial" w:cs="Arial" w:eastAsia="Arial" w:hAnsi="Arial"/>
                <w:sz w:val="16"/>
                <w:szCs w:val="16"/>
                <w:color w:val="auto"/>
                <w:vertAlign w:val="superscript"/>
              </w:rPr>
              <w:t>(7)</w:t>
            </w:r>
          </w:p>
        </w:tc>
        <w:tc>
          <w:tcPr>
            <w:tcW w:w="100" w:type="dxa"/>
            <w:vAlign w:val="bottom"/>
          </w:tcPr>
          <w:p>
            <w:pPr>
              <w:spacing w:after="0"/>
              <w:rPr>
                <w:sz w:val="17"/>
                <w:szCs w:val="17"/>
                <w:color w:val="auto"/>
              </w:rPr>
            </w:pPr>
          </w:p>
        </w:tc>
        <w:tc>
          <w:tcPr>
            <w:tcW w:w="900" w:type="dxa"/>
            <w:vAlign w:val="bottom"/>
          </w:tcPr>
          <w:p>
            <w:pPr>
              <w:jc w:val="right"/>
              <w:ind w:right="2"/>
              <w:spacing w:after="0"/>
              <w:rPr>
                <w:sz w:val="20"/>
                <w:szCs w:val="20"/>
                <w:color w:val="auto"/>
              </w:rPr>
            </w:pPr>
            <w:r>
              <w:rPr>
                <w:rFonts w:ascii="Arial" w:cs="Arial" w:eastAsia="Arial" w:hAnsi="Arial"/>
                <w:sz w:val="13"/>
                <w:szCs w:val="13"/>
                <w:color w:val="auto"/>
              </w:rPr>
              <w:t>27,344</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3.71</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10/24/2028</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9/1/2019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23,437</w:t>
            </w:r>
            <w:r>
              <w:rPr>
                <w:rFonts w:ascii="Arial" w:cs="Arial" w:eastAsia="Arial" w:hAnsi="Arial"/>
                <w:sz w:val="16"/>
                <w:szCs w:val="16"/>
                <w:color w:val="auto"/>
                <w:vertAlign w:val="superscript"/>
              </w:rPr>
              <w:t>(7)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51,563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9/24/2029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1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3/1/2020</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5,625</w:t>
            </w:r>
            <w:r>
              <w:rPr>
                <w:rFonts w:ascii="Arial" w:cs="Arial" w:eastAsia="Arial" w:hAnsi="Arial"/>
                <w:sz w:val="16"/>
                <w:szCs w:val="16"/>
                <w:color w:val="auto"/>
                <w:vertAlign w:val="superscript"/>
              </w:rPr>
              <w:t>(7)</w:t>
            </w:r>
          </w:p>
        </w:tc>
        <w:tc>
          <w:tcPr>
            <w:tcW w:w="100" w:type="dxa"/>
            <w:vAlign w:val="bottom"/>
          </w:tcPr>
          <w:p>
            <w:pPr>
              <w:spacing w:after="0"/>
              <w:rPr>
                <w:sz w:val="17"/>
                <w:szCs w:val="17"/>
                <w:color w:val="auto"/>
              </w:rPr>
            </w:pPr>
          </w:p>
        </w:tc>
        <w:tc>
          <w:tcPr>
            <w:tcW w:w="900" w:type="dxa"/>
            <w:vAlign w:val="bottom"/>
          </w:tcPr>
          <w:p>
            <w:pPr>
              <w:jc w:val="right"/>
              <w:ind w:right="2"/>
              <w:spacing w:after="0"/>
              <w:rPr>
                <w:sz w:val="20"/>
                <w:szCs w:val="20"/>
                <w:color w:val="auto"/>
              </w:rPr>
            </w:pPr>
            <w:r>
              <w:rPr>
                <w:rFonts w:ascii="Arial" w:cs="Arial" w:eastAsia="Arial" w:hAnsi="Arial"/>
                <w:sz w:val="13"/>
                <w:szCs w:val="13"/>
                <w:color w:val="auto"/>
              </w:rPr>
              <w:t>24,375</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6.00</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3/17/2030</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xml:space="preserve">12,187 </w:t>
            </w:r>
            <w:r>
              <w:rPr>
                <w:rFonts w:ascii="Arial" w:cs="Arial" w:eastAsia="Arial" w:hAnsi="Arial"/>
                <w:sz w:val="16"/>
                <w:szCs w:val="16"/>
                <w:color w:val="auto"/>
                <w:vertAlign w:val="superscript"/>
              </w:rPr>
              <w:t>(8)</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3"/>
                <w:szCs w:val="13"/>
                <w:color w:val="auto"/>
              </w:rPr>
              <w:t>85,309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88"/>
        </w:trPr>
        <w:tc>
          <w:tcPr>
            <w:tcW w:w="1340" w:type="dxa"/>
            <w:vAlign w:val="bottom"/>
          </w:tcPr>
          <w:p>
            <w:pPr>
              <w:ind w:left="20"/>
              <w:spacing w:after="0"/>
              <w:rPr>
                <w:sz w:val="20"/>
                <w:szCs w:val="20"/>
                <w:color w:val="auto"/>
              </w:rPr>
            </w:pPr>
            <w:r>
              <w:rPr>
                <w:rFonts w:ascii="Arial" w:cs="Arial" w:eastAsia="Arial" w:hAnsi="Arial"/>
                <w:sz w:val="13"/>
                <w:szCs w:val="13"/>
                <w:color w:val="auto"/>
              </w:rPr>
              <w:t>Laura Onopchenko</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585,713</w:t>
            </w:r>
            <w:r>
              <w:rPr>
                <w:rFonts w:ascii="Arial" w:cs="Arial" w:eastAsia="Arial" w:hAnsi="Arial"/>
                <w:sz w:val="16"/>
                <w:szCs w:val="16"/>
                <w:color w:val="auto"/>
                <w:vertAlign w:val="superscript"/>
              </w:rPr>
              <w:t>(6)</w:t>
            </w:r>
          </w:p>
        </w:tc>
        <w:tc>
          <w:tcPr>
            <w:tcW w:w="100" w:type="dxa"/>
            <w:vAlign w:val="bottom"/>
          </w:tcPr>
          <w:p>
            <w:pPr>
              <w:spacing w:after="0"/>
              <w:rPr>
                <w:sz w:val="16"/>
                <w:szCs w:val="16"/>
                <w:color w:val="auto"/>
              </w:rPr>
            </w:pPr>
          </w:p>
        </w:tc>
        <w:tc>
          <w:tcPr>
            <w:tcW w:w="900" w:type="dxa"/>
            <w:vAlign w:val="bottom"/>
          </w:tcPr>
          <w:p>
            <w:pPr>
              <w:jc w:val="right"/>
              <w:ind w:right="2"/>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2.67</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4/1/2022</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4"/>
        </w:trPr>
        <w:tc>
          <w:tcPr>
            <w:tcW w:w="1340" w:type="dxa"/>
            <w:vAlign w:val="bottom"/>
          </w:tcPr>
          <w:p>
            <w:pPr>
              <w:spacing w:after="0"/>
              <w:rPr>
                <w:sz w:val="20"/>
                <w:szCs w:val="20"/>
                <w:color w:val="auto"/>
              </w:rPr>
            </w:pPr>
            <w:r>
              <w:rPr>
                <w:rFonts w:ascii="Arial" w:cs="Arial" w:eastAsia="Arial" w:hAnsi="Arial"/>
                <w:sz w:val="18"/>
                <w:szCs w:val="18"/>
                <w:color w:val="auto"/>
              </w:rPr>
              <w:t>____________</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bl>
    <w:p>
      <w:pPr>
        <w:ind w:left="320" w:hanging="312"/>
        <w:spacing w:after="0"/>
        <w:tabs>
          <w:tab w:leader="none" w:pos="3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All of the outstanding stock option and stock awards were granted under the 2012 Plan and are for shares of Class A common stock.</w:t>
      </w:r>
    </w:p>
    <w:p>
      <w:pPr>
        <w:spacing w:after="0" w:line="1" w:lineRule="exact"/>
        <w:rPr>
          <w:rFonts w:ascii="Arial" w:cs="Arial" w:eastAsia="Arial" w:hAnsi="Arial"/>
          <w:sz w:val="14"/>
          <w:szCs w:val="14"/>
          <w:color w:val="auto"/>
        </w:rPr>
      </w:pPr>
    </w:p>
    <w:p>
      <w:pPr>
        <w:ind w:left="340" w:hanging="332"/>
        <w:spacing w:after="0" w:line="241" w:lineRule="auto"/>
        <w:tabs>
          <w:tab w:leader="none" w:pos="332" w:val="left"/>
        </w:tabs>
        <w:numPr>
          <w:ilvl w:val="0"/>
          <w:numId w:val="76"/>
        </w:numPr>
        <w:rPr>
          <w:rFonts w:ascii="Arial" w:cs="Arial" w:eastAsia="Arial" w:hAnsi="Arial"/>
          <w:sz w:val="14"/>
          <w:szCs w:val="14"/>
          <w:color w:val="auto"/>
        </w:rPr>
      </w:pPr>
      <w:r>
        <w:rPr>
          <w:rFonts w:ascii="Arial" w:cs="Arial" w:eastAsia="Arial" w:hAnsi="Arial"/>
          <w:sz w:val="14"/>
          <w:szCs w:val="14"/>
          <w:color w:val="auto"/>
        </w:rPr>
        <w:t>Our stock options are immediately exercisable for all of the option shares, subject to our right to repurchase any then-unvested shares in connection with the termination of service of the holder of such shares.</w:t>
      </w:r>
    </w:p>
    <w:p>
      <w:pPr>
        <w:ind w:left="340" w:hanging="332"/>
        <w:spacing w:after="0" w:line="241" w:lineRule="auto"/>
        <w:tabs>
          <w:tab w:leader="none" w:pos="332" w:val="left"/>
        </w:tabs>
        <w:numPr>
          <w:ilvl w:val="0"/>
          <w:numId w:val="76"/>
        </w:numPr>
        <w:rPr>
          <w:rFonts w:ascii="Arial" w:cs="Arial" w:eastAsia="Arial" w:hAnsi="Arial"/>
          <w:sz w:val="14"/>
          <w:szCs w:val="14"/>
          <w:color w:val="auto"/>
        </w:rPr>
      </w:pPr>
      <w:r>
        <w:rPr>
          <w:rFonts w:ascii="Arial" w:cs="Arial" w:eastAsia="Arial" w:hAnsi="Arial"/>
          <w:sz w:val="14"/>
          <w:szCs w:val="14"/>
          <w:color w:val="auto"/>
        </w:rPr>
        <w:t>Reflects the fair market value of our Class A common stock of $7 as of December 31, 2020 (the determination of the fair market value by our board of directors as of the most proximate date) multiplied by the amount shown in the column for the number of shares or units that have not vested.</w:t>
      </w:r>
    </w:p>
    <w:p>
      <w:pPr>
        <w:ind w:left="340" w:right="20" w:hanging="332"/>
        <w:spacing w:after="0" w:line="241" w:lineRule="auto"/>
        <w:tabs>
          <w:tab w:leader="none" w:pos="332"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option vests as to 25% of the shares subject to the option on the first anniversary of the vesting commencement date, and as to 1/48th of the shares following the completion of each of an additional 36 months thereafter, subject to the executive’s continued service with us on each applicable vesting date.</w:t>
      </w:r>
    </w:p>
    <w:p>
      <w:pPr>
        <w:ind w:left="320" w:hanging="312"/>
        <w:spacing w:after="0"/>
        <w:tabs>
          <w:tab w:leader="none" w:pos="3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RSUs vest, subject to Ms. StClair’s continued service with us, on the following schedule:</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1"/>
          <w:numId w:val="76"/>
        </w:numPr>
        <w:rPr>
          <w:rFonts w:ascii="Arial" w:cs="Arial" w:eastAsia="Arial" w:hAnsi="Arial"/>
          <w:sz w:val="14"/>
          <w:szCs w:val="14"/>
          <w:color w:val="auto"/>
        </w:rPr>
      </w:pPr>
      <w:r>
        <w:rPr>
          <w:rFonts w:ascii="Arial" w:cs="Arial" w:eastAsia="Arial" w:hAnsi="Arial"/>
          <w:sz w:val="14"/>
          <w:szCs w:val="14"/>
          <w:color w:val="auto"/>
        </w:rPr>
        <w:t>1st through 4th Quarterly Installment Date: No Vesting.</w:t>
      </w:r>
    </w:p>
    <w:p>
      <w:pPr>
        <w:spacing w:after="0" w:line="1" w:lineRule="exact"/>
        <w:rPr>
          <w:rFonts w:ascii="Arial" w:cs="Arial" w:eastAsia="Arial" w:hAnsi="Arial"/>
          <w:sz w:val="14"/>
          <w:szCs w:val="14"/>
          <w:color w:val="auto"/>
        </w:rPr>
      </w:pPr>
    </w:p>
    <w:p>
      <w:pPr>
        <w:jc w:val="both"/>
        <w:ind w:left="660" w:hanging="328"/>
        <w:spacing w:after="0" w:line="248" w:lineRule="auto"/>
        <w:tabs>
          <w:tab w:leader="none" w:pos="660" w:val="left"/>
        </w:tabs>
        <w:numPr>
          <w:ilvl w:val="1"/>
          <w:numId w:val="76"/>
        </w:numPr>
        <w:rPr>
          <w:rFonts w:ascii="Arial" w:cs="Arial" w:eastAsia="Arial" w:hAnsi="Arial"/>
          <w:sz w:val="14"/>
          <w:szCs w:val="14"/>
          <w:color w:val="auto"/>
        </w:rPr>
      </w:pPr>
      <w:r>
        <w:rPr>
          <w:rFonts w:ascii="Arial" w:cs="Arial" w:eastAsia="Arial" w:hAnsi="Arial"/>
          <w:sz w:val="14"/>
          <w:szCs w:val="14"/>
          <w:color w:val="auto"/>
        </w:rPr>
        <w:t>5th Quarterly Installment Date: A number of Shares subject to the Award shall vest equal to the product of (i) the number of Restricted Stock Units granted, multiplied by (ii) a fraction, (x) the numerator of which shall be the number of days that have elapsed since, and including, the vesting commencement date and (y) the denominator of which shall be one thousand four hundred sixty (1,460), rounded down to the nearest whole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113</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39" w:lineRule="exact"/>
        <w:rPr>
          <w:sz w:val="20"/>
          <w:szCs w:val="20"/>
          <w:color w:val="auto"/>
        </w:rPr>
      </w:pPr>
    </w:p>
    <w:p>
      <w:pPr>
        <w:ind w:left="640" w:hanging="308"/>
        <w:spacing w:after="0"/>
        <w:tabs>
          <w:tab w:leader="none" w:pos="6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6th through 16th Quarterly Installment Date: 1/16th of the number of Restricted Stock Units granted shall vest, rounded down to the nearest whole Share.</w:t>
      </w:r>
    </w:p>
    <w:p>
      <w:pPr>
        <w:spacing w:after="0" w:line="13" w:lineRule="exact"/>
        <w:rPr>
          <w:rFonts w:ascii="Arial" w:cs="Arial" w:eastAsia="Arial" w:hAnsi="Arial"/>
          <w:sz w:val="14"/>
          <w:szCs w:val="14"/>
          <w:color w:val="auto"/>
        </w:rPr>
      </w:pPr>
    </w:p>
    <w:p>
      <w:pPr>
        <w:ind w:left="660" w:hanging="328"/>
        <w:spacing w:after="0"/>
        <w:tabs>
          <w:tab w:leader="none" w:pos="6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17th Quarterly Installment Date: All then unvested Restricted Stock Units shall vest.</w:t>
      </w:r>
    </w:p>
    <w:p>
      <w:pPr>
        <w:spacing w:after="0" w:line="1" w:lineRule="exact"/>
        <w:rPr>
          <w:sz w:val="20"/>
          <w:szCs w:val="20"/>
          <w:color w:val="auto"/>
        </w:rPr>
      </w:pPr>
    </w:p>
    <w:p>
      <w:pPr>
        <w:ind w:left="340"/>
        <w:spacing w:after="0" w:line="241" w:lineRule="auto"/>
        <w:rPr>
          <w:sz w:val="20"/>
          <w:szCs w:val="20"/>
          <w:color w:val="auto"/>
        </w:rPr>
      </w:pPr>
      <w:r>
        <w:rPr>
          <w:rFonts w:ascii="Arial" w:cs="Arial" w:eastAsia="Arial" w:hAnsi="Arial"/>
          <w:sz w:val="14"/>
          <w:szCs w:val="14"/>
          <w:color w:val="auto"/>
        </w:rPr>
        <w:t>“Quarterly Installment Date” means March 1, June 1, September 1, and December 1 of each year, provided that if such date is not a business day, the Quarterly Installment Date shall be the first business day after such date.</w:t>
      </w:r>
    </w:p>
    <w:p>
      <w:pPr>
        <w:spacing w:after="0" w:line="1" w:lineRule="exact"/>
        <w:rPr>
          <w:sz w:val="20"/>
          <w:szCs w:val="20"/>
          <w:color w:val="auto"/>
        </w:rPr>
      </w:pPr>
    </w:p>
    <w:p>
      <w:pPr>
        <w:ind w:left="320" w:hanging="312"/>
        <w:spacing w:after="0"/>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shares underlying this option vested in connection with the optionee’s continuous service.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option vests over 48 months of continuous service the vesting commencement date.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8"/>
        </w:numPr>
        <w:rPr>
          <w:rFonts w:ascii="Arial" w:cs="Arial" w:eastAsia="Arial" w:hAnsi="Arial"/>
          <w:sz w:val="13"/>
          <w:szCs w:val="13"/>
          <w:color w:val="auto"/>
        </w:rPr>
      </w:pPr>
      <w:r>
        <w:rPr>
          <w:rFonts w:ascii="Arial" w:cs="Arial" w:eastAsia="Arial" w:hAnsi="Arial"/>
          <w:sz w:val="13"/>
          <w:szCs w:val="13"/>
          <w:color w:val="auto"/>
        </w:rPr>
        <w:t>Subject to Mr. Yuann’s continuous service with us, the RSUs vest in 16 substantially equal installments on each Quarterly Installment Date following the vesting commencement date.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 and Benefits</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All of our current named executive officers are eligible to participate in our employee benefit plans, including our medical, dental, vision, life, disability and accidental death and dismemberment insurance plans, in each case on the same basis as all of our other employees. We pay the premiums for medical, dental, vision insurance for all of our employees and their dependents, including our named executive officers. We also pay the premiums for life, disability, accidental death and dismemberment insurance for all of our employees, including our named executive officers. We generally do not provide perquisites or personal benefits to our named executive officers that we do not offer to our other employees. During our year ended December 31, 2020, we paid or reimbursed our named executive officers a stipend for gym and cell phone costs, paid or reimbursed certain home office expenses, and provided certain service-based anniversary gifts to our employees with an accompanying gross-up.</w:t>
      </w:r>
    </w:p>
    <w:p>
      <w:pPr>
        <w:spacing w:after="0" w:line="12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maintain a 401(k) plan that provides eligible U.S. employees with an opportunity to save for retirement on a tax advantaged basis. Eligible employees are able to defer eligible compensation up to certain Code limits, which are updated annually. We have the ability to make matching and discretionary contributions to the 401(k) plan. Currently, we make matching contributions up to 4% of the employee’s annual salary up to a maximum of</w:t>
      </w:r>
    </w:p>
    <w:p>
      <w:pPr>
        <w:spacing w:after="0" w:line="2" w:lineRule="exact"/>
        <w:rPr>
          <w:sz w:val="20"/>
          <w:szCs w:val="20"/>
          <w:color w:val="auto"/>
        </w:rPr>
      </w:pPr>
    </w:p>
    <w:p>
      <w:pPr>
        <w:jc w:val="both"/>
        <w:ind w:firstLine="8"/>
        <w:spacing w:after="0" w:line="255" w:lineRule="auto"/>
        <w:tabs>
          <w:tab w:leader="none" w:pos="5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generally taxable to the employees until withdrawn or distributed from the 401(k) plan.</w:t>
      </w:r>
    </w:p>
    <w:p>
      <w:pPr>
        <w:spacing w:after="0" w:line="13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named executive officers did not participate in, or earn any benefits under, a nonqualified deferred compensation plan sponsored by us during the fiscal year ended December 31, 2020. Our board of directors may elect to provide our officers and other employees with nonqualified defined contribution or other nonqualified deferred compensation benefits in the future if it determines that doing so is in our best interests.</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named executive officers did not participate in, or otherwise receive any benefits under, any pension or retirement plan sponsored by us during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and Stock Plans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principal features of our equity incentive plans are summarized below. Our board of directors adopted, and our stockholders approved, the 2021</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Equity Incentive Plan, or the 2021 Plan, and the 2021 Employee Stock Purchase Plan, or the ESPP, in 2021 and 2021, respectively, and each of the 2021 Plan and the ESPP will become effective upon the effectiveness of the registration statement of which this prospectus forms a part. The 2021 Plan will supersede and replace our 2012 Equity Incentive Plan, or the 2012 Plan. After the 2021 Plan becomes effective, no further awards will be granted under the 2012 Plan. These summaries are qualified in their entirety by reference to the actual text of the plans, which are filed as exhibits to the registration statement of which this prospectus is a part.</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2021 Plan provides for the grant of incentive stock options, or ISOs, nonstatutory stock options, or NSOs, stock appreciation rights, restricted stock awards, restricted stock unit awards, performance-based stock awards, and other stock awards, or collectively, stock awards. ISOs may be granted only to our employees, including our officers, and the employees of our affiliates. All other awards may be granted to our employees, including our officers, our non-employee directors and consultants and the employees and consultants of our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114</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Authorized Shares. </w:t>
      </w:r>
      <w:r>
        <w:rPr>
          <w:rFonts w:ascii="Arial" w:cs="Arial" w:eastAsia="Arial" w:hAnsi="Arial"/>
          <w:sz w:val="16"/>
          <w:szCs w:val="16"/>
          <w:color w:val="auto"/>
        </w:rPr>
        <w:t>Initially, the aggregate number of shares of our Class A common stock that may be issued pursuant to stock awards under the 2021</w:t>
      </w:r>
    </w:p>
    <w:p>
      <w:pPr>
        <w:spacing w:after="0" w:line="4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Plan after it becomes effective will not exceed shares, which is the sum of (i) shares, plus (ii) any shares subject to outstanding stock options or other stock awards that were granted under the 2012 Plan that are forfeited, terminated, expire or are otherwise not issued. Additionally, the number of shares of our Class A common stock reserved for issuance under the 2021 Plan will automatically increase on January 1 of each calendar year for 10 years, starting January 1, 2022 (assuming the 2021 Plan becomes effective in calendar year 2021) and ending on and including January 1, 2031, in an</w:t>
      </w:r>
    </w:p>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amount equal to of the total number of shares of our capital stock outstanding on December 31 of the prior calendar year, unless our board of directors or compensation committee determines prior to the date of increase that there will be a lesser increase, or no increase.</w:t>
      </w:r>
    </w:p>
    <w:p>
      <w:pPr>
        <w:spacing w:after="0" w:line="13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Shares subject to stock awards granted under the 2021 Plan that expire or terminate without being exercised in full, or that are paid out in cash rather than in shares, do not reduce the number of shares available for issuance under the 2021 Plan. Additionally, shares become available for future grant under the 2021 Plan if they were issued under stock awards under the 2021 Plan and we repurchase them or they are forfeited. This includes shares used to pay the exercise price of a stock award or to satisfy the tax withholding obligations related to a stock award.</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Our board of directors, or a duly authorized committee of our board of directors, will administer the 2021 Plan.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may also delegate to one or more of our officers the authority to (i) designate employees (other than officers) to receive specified stock awards, and (ii) determine the number of shares subject to such stock awards. Under the 2021 Plan, our board of directors has the authority to determine and amend the terms of awards, including:</w:t>
      </w:r>
    </w:p>
    <w:p>
      <w:pPr>
        <w:spacing w:after="0" w:line="133" w:lineRule="exact"/>
        <w:rPr>
          <w:sz w:val="20"/>
          <w:szCs w:val="20"/>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recipients;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exercise, purchase or strike price of stock awards, if 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number of shares subject to each stock award;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fair market value of a share of our Class A common stock in the event no public market exists for our Class A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vesting schedule applicable to the awards, together with any vesting acceleration;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form of consideration, if any, payable upon exercise or settlement of the award.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the 2021 Plan, our board of directors also generally has the authority to effect, with the consent of any adversely affected participant:</w:t>
      </w:r>
    </w:p>
    <w:p>
      <w:pPr>
        <w:spacing w:after="0" w:line="183"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reduction of the exercise, purchase or strike price of any outstanding award;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cancellation of any outstanding stock award and the grant in substitution therefor of other awards, cash or other consideration;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other action that is treated as a repricing under generally accepted accounting principles.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Non-Employee Director Limitation. </w:t>
      </w:r>
      <w:r>
        <w:rPr>
          <w:rFonts w:ascii="Arial" w:cs="Arial" w:eastAsia="Arial" w:hAnsi="Arial"/>
          <w:sz w:val="16"/>
          <w:szCs w:val="16"/>
          <w:color w:val="auto"/>
        </w:rPr>
        <w:t>The maximum number of shares of Class A common stock subject to awards granted under the 2021 Plan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during any one calendar year to any non-employee director, taken together with any cash fees paid by us to the non-employee director during that</w:t>
      </w:r>
    </w:p>
    <w:p>
      <w:pPr>
        <w:jc w:val="both"/>
        <w:spacing w:after="0" w:line="290" w:lineRule="auto"/>
        <w:rPr>
          <w:sz w:val="20"/>
          <w:szCs w:val="20"/>
          <w:color w:val="auto"/>
        </w:rPr>
      </w:pPr>
      <w:r>
        <w:rPr>
          <w:rFonts w:ascii="Arial" w:cs="Arial" w:eastAsia="Arial" w:hAnsi="Arial"/>
          <w:sz w:val="17"/>
          <w:szCs w:val="17"/>
          <w:color w:val="auto"/>
        </w:rPr>
        <w:t>year for service on the Board, will not exceed $ in total value (calculating the value of the awards based on the grant date fair value for financial reporting purposes), or, with respect to the calendar year in which a non-employee director is first appointed or elected to the board of directors, $ .</w:t>
      </w:r>
    </w:p>
    <w:p>
      <w:pPr>
        <w:spacing w:after="0" w:line="10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ISOs and NSOs are granted pursuant to stock option agreements adopted by the plan administrator. The plan administrator determines</w:t>
      </w:r>
      <w:r>
        <w:rPr>
          <w:rFonts w:ascii="Arial" w:cs="Arial" w:eastAsia="Arial" w:hAnsi="Arial"/>
          <w:sz w:val="16"/>
          <w:szCs w:val="16"/>
          <w:i w:val="1"/>
          <w:iCs w:val="1"/>
          <w:color w:val="auto"/>
        </w:rPr>
        <w:t xml:space="preserve"> </w:t>
      </w:r>
      <w:r>
        <w:rPr>
          <w:rFonts w:ascii="Arial" w:cs="Arial" w:eastAsia="Arial" w:hAnsi="Arial"/>
          <w:sz w:val="16"/>
          <w:szCs w:val="16"/>
          <w:color w:val="auto"/>
        </w:rPr>
        <w:t>the exercise price for stock options, within the terms and conditions of the 2021 Plan, provided that the exercise price of a stock option generally cannot be less than 100% of the fair market value of our Class A common stock on the date of grant. Options granted under the 2021 Plan vest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115</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rate specified in the stock option agreement as determined by the plan administrator. The maximum number of shares of our Class A common stock that</w:t>
      </w:r>
    </w:p>
    <w:p>
      <w:pPr>
        <w:spacing w:after="0" w:line="46"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may be issued upon the exercise of ISOs under the 2021 Plan is equal to</w:t>
      </w:r>
      <w:r>
        <w:rPr>
          <w:sz w:val="20"/>
          <w:szCs w:val="20"/>
          <w:color w:val="auto"/>
        </w:rPr>
        <w:tab/>
      </w:r>
      <w:r>
        <w:rPr>
          <w:rFonts w:ascii="Arial" w:cs="Arial" w:eastAsia="Arial" w:hAnsi="Arial"/>
          <w:sz w:val="13"/>
          <w:szCs w:val="13"/>
          <w:color w:val="auto"/>
        </w:rPr>
        <w:t>.</w:t>
      </w:r>
    </w:p>
    <w:p>
      <w:pPr>
        <w:spacing w:after="0" w:line="15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i w:val="1"/>
          <w:iCs w:val="1"/>
          <w:color w:val="auto"/>
        </w:rPr>
        <w:t xml:space="preserve">Tax Limitations on ISOs. </w:t>
      </w:r>
      <w:r>
        <w:rPr>
          <w:rFonts w:ascii="Arial" w:cs="Arial" w:eastAsia="Arial" w:hAnsi="Arial"/>
          <w:sz w:val="16"/>
          <w:szCs w:val="16"/>
          <w:color w:val="auto"/>
        </w:rPr>
        <w:t>The aggregate fair market value, determined at the time of grant, of our Class A common stock with respect to ISOs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exercisable for the first time by an optionholder during any calendar year under all of our stock plans may not exceed $100,000. Options or portions thereof that exceed such limit will be treated as NSOs. No ISO may be granted to any person who, at the time of the grant, owns or is deemed to own stock possessing more than 10% of our total combined voting power or that of any of our affiliates unless (i) the option exercise price is at least 110% of the fair market value of the stock subject to the option on the date of grant and (ii) the term of the ISO does not exceed five years from the date of grant.</w:t>
      </w:r>
    </w:p>
    <w:p>
      <w:pPr>
        <w:spacing w:after="0" w:line="10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Restricted Stock Unit Awards. </w:t>
      </w:r>
      <w:r>
        <w:rPr>
          <w:rFonts w:ascii="Arial" w:cs="Arial" w:eastAsia="Arial" w:hAnsi="Arial"/>
          <w:sz w:val="16"/>
          <w:szCs w:val="16"/>
          <w:color w:val="auto"/>
        </w:rPr>
        <w:t>Restricted stock unit awards are granted pursuant to restricted stock unit award agreements adopted by the plan</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administrator. Restricted stock unit awards may be granted in consideration for any form of legal consideration that may be acceptable to our board of directors and permissible under applicable law. A restricted stock unit award may be settled by cash, delivery of stock, a combination of cash and stock as deemed appropriate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units that have not vested will be forfeited once the participant’s continuous service ends for any reason.</w:t>
      </w:r>
    </w:p>
    <w:p>
      <w:pPr>
        <w:spacing w:after="0" w:line="11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Restricted Stock Awards. </w:t>
      </w:r>
      <w:r>
        <w:rPr>
          <w:rFonts w:ascii="Arial" w:cs="Arial" w:eastAsia="Arial" w:hAnsi="Arial"/>
          <w:sz w:val="17"/>
          <w:szCs w:val="17"/>
          <w:color w:val="auto"/>
        </w:rPr>
        <w:t>Restricted stock awards are granted pursuant to restricted stock award agreements adopted by the plan administrator. A</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stock award may be awarded in consideration for cash, check, bank draft or money order, past services to us or any other form of legal consideration (including future services) that may be acceptable to our board of directors and permissible under applicable law. The plan administrator determines the terms and conditions of restricted stock awards, including vesting and forfeiture terms. If a participant’s service relationship with us ceases for any reason, we may receive any or all of the shares of Class A common stock held by the participant that have not vested as of the date the participant terminates service with us through a forfeiture condition or a repurchase right.</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Stock appreciation rights are granted pursuant to stock appreciation grant agreements adopted by the plan administrator.</w:t>
      </w:r>
      <w:r>
        <w:rPr>
          <w:rFonts w:ascii="Arial" w:cs="Arial" w:eastAsia="Arial" w:hAnsi="Arial"/>
          <w:sz w:val="18"/>
          <w:szCs w:val="18"/>
          <w:i w:val="1"/>
          <w:iCs w:val="1"/>
          <w:color w:val="auto"/>
        </w:rPr>
        <w:t xml:space="preserve"> </w:t>
      </w:r>
      <w:r>
        <w:rPr>
          <w:rFonts w:ascii="Arial" w:cs="Arial" w:eastAsia="Arial" w:hAnsi="Arial"/>
          <w:sz w:val="18"/>
          <w:szCs w:val="18"/>
          <w:color w:val="auto"/>
        </w:rPr>
        <w:t>The plan administrator determines the purchase price or strike price for a stock appreciation right, which generally cannot be less than 100% of the fair market value of our Class A common stock on the date of grant. A stock appreciation right granted under the 2021 Plan vests at the rate specified in the stock appreciation right agreement as determined by the plan administrator.</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Performance Awards. </w:t>
      </w:r>
      <w:r>
        <w:rPr>
          <w:rFonts w:ascii="Arial" w:cs="Arial" w:eastAsia="Arial" w:hAnsi="Arial"/>
          <w:sz w:val="18"/>
          <w:szCs w:val="18"/>
          <w:color w:val="auto"/>
        </w:rPr>
        <w:t>The 2021 Plan permits the grant of performance awards that may be settled in stock, cash or other property. Performance awards</w:t>
      </w:r>
      <w:r>
        <w:rPr>
          <w:rFonts w:ascii="Arial" w:cs="Arial" w:eastAsia="Arial" w:hAnsi="Arial"/>
          <w:sz w:val="18"/>
          <w:szCs w:val="18"/>
          <w:i w:val="1"/>
          <w:iCs w:val="1"/>
          <w:color w:val="auto"/>
        </w:rPr>
        <w:t xml:space="preserve"> </w:t>
      </w:r>
      <w:r>
        <w:rPr>
          <w:rFonts w:ascii="Arial" w:cs="Arial" w:eastAsia="Arial" w:hAnsi="Arial"/>
          <w:sz w:val="18"/>
          <w:szCs w:val="18"/>
          <w:color w:val="auto"/>
        </w:rPr>
        <w:t>may be structured so that the stock or cash will be issued or paid only following the achievement of certain pre-established performance goals during a designated performance period. Performance awards that are settled in cash or other property are not required to be valued in whole or in part by reference to, or otherwise based on, our Class A common stock.</w:t>
      </w:r>
    </w:p>
    <w:p>
      <w:pPr>
        <w:spacing w:after="0" w:line="13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performance goals may be based on any measure of performance selected by our board of directors. 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Unless specified otherwise by our board of directors when the performance award is granted, our board of directors will appropriately make adjustments in the method of calculating the attainment of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portion of our business which is divested achieved performance objectives at targeted levels during the balance of a performance period following such divestiture; (8) to exclude the effect of any change in the outstanding shares of our Class A common stock by reason of any stock dividend or split, stock repurchase, reorganization,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116</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recapitalization, merger, consolidation, spin-off, combination or exchange of shares or other similar corporate change, or any distributions to common stockholders other than regular cash dividends; (9) to exclude the effects of stock based compensation and the award of bonuses under our bonus plans;</w:t>
      </w:r>
    </w:p>
    <w:p>
      <w:pPr>
        <w:jc w:val="both"/>
        <w:ind w:firstLine="8"/>
        <w:spacing w:after="0" w:line="255" w:lineRule="auto"/>
        <w:tabs>
          <w:tab w:leader="none" w:pos="347"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w:t>
      </w:r>
    </w:p>
    <w:p>
      <w:pPr>
        <w:spacing w:after="0" w:line="13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Other Stock Awards. </w:t>
      </w:r>
      <w:r>
        <w:rPr>
          <w:rFonts w:ascii="Arial" w:cs="Arial" w:eastAsia="Arial" w:hAnsi="Arial"/>
          <w:sz w:val="18"/>
          <w:szCs w:val="18"/>
          <w:color w:val="auto"/>
        </w:rPr>
        <w:t>The 2021 Plan administrator may grant other awards based in whole or in part by reference to our Class A common stock. The</w:t>
      </w:r>
      <w:r>
        <w:rPr>
          <w:rFonts w:ascii="Arial" w:cs="Arial" w:eastAsia="Arial" w:hAnsi="Arial"/>
          <w:sz w:val="18"/>
          <w:szCs w:val="18"/>
          <w:i w:val="1"/>
          <w:iCs w:val="1"/>
          <w:color w:val="auto"/>
        </w:rPr>
        <w:t xml:space="preserve"> </w:t>
      </w:r>
      <w:r>
        <w:rPr>
          <w:rFonts w:ascii="Arial" w:cs="Arial" w:eastAsia="Arial" w:hAnsi="Arial"/>
          <w:sz w:val="18"/>
          <w:szCs w:val="18"/>
          <w:color w:val="auto"/>
        </w:rPr>
        <w:t>2021 Plan administrator will set the number of shares under the stock award and all other terms and conditions of such awards.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Changes to Capital Structure. </w:t>
      </w:r>
      <w:r>
        <w:rPr>
          <w:rFonts w:ascii="Arial" w:cs="Arial" w:eastAsia="Arial" w:hAnsi="Arial"/>
          <w:sz w:val="18"/>
          <w:szCs w:val="18"/>
          <w:color w:val="auto"/>
        </w:rPr>
        <w:t>In the event there is a specified type of change in our capital structure, such as a stock split, reverse stock split, or</w:t>
      </w:r>
      <w:r>
        <w:rPr>
          <w:rFonts w:ascii="Arial" w:cs="Arial" w:eastAsia="Arial" w:hAnsi="Arial"/>
          <w:sz w:val="18"/>
          <w:szCs w:val="18"/>
          <w:i w:val="1"/>
          <w:iCs w:val="1"/>
          <w:color w:val="auto"/>
        </w:rPr>
        <w:t xml:space="preserve"> </w:t>
      </w:r>
      <w:r>
        <w:rPr>
          <w:rFonts w:ascii="Arial" w:cs="Arial" w:eastAsia="Arial" w:hAnsi="Arial"/>
          <w:sz w:val="18"/>
          <w:szCs w:val="18"/>
          <w:color w:val="auto"/>
        </w:rPr>
        <w:t>recapitalization, appropriate adjustments will be made to (1) the class and maximum number of shares reserved for issuance under the 2021 Plan, (2) the class and maximum number of shares by which the share reserve may increase automatically each year, (3) the class and maximum number of shares that may be issued on the exercise of ISOs, and (4) the class and number of shares and exercise price, strike price, or purchase price, if applicable, of all outstanding stock awards.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Corporate Transactions. </w:t>
      </w:r>
      <w:r>
        <w:rPr>
          <w:rFonts w:ascii="Arial" w:cs="Arial" w:eastAsia="Arial" w:hAnsi="Arial"/>
          <w:sz w:val="18"/>
          <w:szCs w:val="18"/>
          <w:color w:val="auto"/>
        </w:rPr>
        <w:t>The following applies to stock awards under the 2021 Plan in the event of a corporate transaction (as defined in the 2021 Plan</w:t>
      </w:r>
      <w:r>
        <w:rPr>
          <w:rFonts w:ascii="Arial" w:cs="Arial" w:eastAsia="Arial" w:hAnsi="Arial"/>
          <w:sz w:val="18"/>
          <w:szCs w:val="18"/>
          <w:i w:val="1"/>
          <w:iCs w:val="1"/>
          <w:color w:val="auto"/>
        </w:rPr>
        <w:t xml:space="preserve"> </w:t>
      </w:r>
      <w:r>
        <w:rPr>
          <w:rFonts w:ascii="Arial" w:cs="Arial" w:eastAsia="Arial" w:hAnsi="Arial"/>
          <w:sz w:val="18"/>
          <w:szCs w:val="18"/>
          <w:color w:val="auto"/>
        </w:rPr>
        <w:t>and as summarized below), unless otherwise provided in a participant’s stock award agreement or other written agreement with us or one of our affiliates or unless otherwise expressly provided by the plan administrator at the time of grant.</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the event of a corporate transaction, any stock awards outstanding under the 2021 Plan may be assumed, continued or substituted for by any surviving or acquiring corporation (or its parent company), and any reacquisition or repurchase rights held by us with respect to the stock award may be assigned to our successor (or its parent company). If the surviving or acquiring corporation (or its parent company) does not assume, continue 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 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 Notwithstanding the foregoing, performance awards shall terminate without vesting or becoming exercisable unless (1) provided otherwise in the agreement evidencing such corporate transaction, (2) the 2021 Plan administrator affirmatively provides otherwise prior to the closing of such corporate transaction or (3) as otherwise provided in the agreement evidencing such performance award.</w:t>
      </w:r>
    </w:p>
    <w:p>
      <w:pPr>
        <w:spacing w:after="0" w:line="12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the event a stock award will terminate if not exercised prior to the effective time of a corporate transaction, the plan administrator may provide, in its sole discretion, that the holder of such stock award may not exercise such stock award but instead will receive a payment equal in value to the excess (if any) of (i) the per share amount payable to holders of Class A common stock in connection with the corporate transaction, over (ii) any per share exercise price payable by such holder, if applicable. In addition, any escrow, holdback, earn out or similar provisions in the definitive agreement for the corporate transaction may apply to such payment to the same extent and in the same manner as such provisions apply to the holders of our Class A common stock.</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the 2021 Plan, a corporate transaction is generally defined as the consummation of: (1) a sale of all or substantially all of our assets, (2) the sale or disposition of at least 50% of our outstanding securities, (3) a merger or consolidation where we do not survive the transaction, or (4) a merger or consolidation where we do survive the transaction but the shares of our Class A common stock outstanding immediately before such transaction are converted or exchanged into other property by virtue of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117</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Awards granted under the 2021 Plan may be subject to acceleration of vesting and exercisability upon or after a change in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as may be provided in the applicable stock award agreement or in any other written agreement between us or any affiliate and the participant, but in the absence of such provision, no such acceleration will automatically occur.</w:t>
      </w:r>
    </w:p>
    <w:p>
      <w:pPr>
        <w:spacing w:after="0" w:line="13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Under the 2021 Plan, a change in control is generally defined as: (1) the acquisition by any person or company of more than 50% of the combined voting power of our then outstanding stock; (2) a consummated merger, consolidation or similar transaction in which our stockholders immediately before the transaction do not own, directly or indirectly, more than 50% of the combined voting power of the surviving entity (or the parent of the surviving entity) in substantially the same proportions as their ownership immediately prior to such transaction; (3) a consummated sale, lease, exclusive license or other disposition of all or substantially all of our assets other than to an entity more than 50% of the combined voting power of which is owned by our stockholders in substantially the same proportions as their ownership of our outstanding voting securities immediately prior to such transaction; or (4) when a majority of our board of directors becomes comprised of individuals who were not serving on our board of directors on the date the 2021 Plan was adopted by the board of directors, or the incumbent board, or whose nomination, appointment, or election was not approved by a majority of the incumbent board still in office.</w:t>
      </w:r>
    </w:p>
    <w:p>
      <w:pPr>
        <w:spacing w:after="0" w:line="1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A participant generally may not transfer stock awards under the 2021 Plan other than by will, the laws of descent and distribution, or as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provided under the 2021 Plan.</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Amendment or Termination</w:t>
      </w:r>
      <w:r>
        <w:rPr>
          <w:rFonts w:ascii="Arial" w:cs="Arial" w:eastAsia="Arial" w:hAnsi="Arial"/>
          <w:sz w:val="18"/>
          <w:szCs w:val="18"/>
          <w:color w:val="auto"/>
        </w:rPr>
        <w:t>. Our board of directors has the authority to amend, suspend, or terminate the 2021 Plan, provided that such action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materially impair the existing rights of any participant without such participant’s written consent. Certain material amendments also require the approval of our stockholders. No ISOs may be granted after the tenth anniversary of the date our board of directors adopted the 2021 Plan. No stock awards may be granted under the 2021 Plan while it is suspended or after it is terminated.</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2012 Equity Incentive Plan</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As of June 30, 2021 there were 2,239,628 shares of Class A common stock remaining available for the future grant of stock awards under the 2012 Plan. As of June 30, 2021, stock options covering 14,907,678 shares of our Class A common stock were outstanding and RSUs covering 5,542,675 shares of Class A common stock were outstanding and subject to vesting, and we had a repurchase right with respect to 21,163 shares of Class A common stock issued upon early exercise of unvested options under the 2012 Plan. We expect that any shares remaining available for issuance under the 2012 Plan at the time of this offering will become available for issuance under the 2021 Plan in accordance with its terms.</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Stock Awards. </w:t>
      </w:r>
      <w:r>
        <w:rPr>
          <w:rFonts w:ascii="Arial" w:cs="Arial" w:eastAsia="Arial" w:hAnsi="Arial"/>
          <w:sz w:val="18"/>
          <w:szCs w:val="18"/>
          <w:color w:val="auto"/>
        </w:rPr>
        <w:t>The 2012 Plan provides for the grant of ISOs, NSOs, stock appreciation rights, restricted stock awards, and restricted stock units. Such</w:t>
      </w:r>
      <w:r>
        <w:rPr>
          <w:rFonts w:ascii="Arial" w:cs="Arial" w:eastAsia="Arial" w:hAnsi="Arial"/>
          <w:sz w:val="18"/>
          <w:szCs w:val="18"/>
          <w:i w:val="1"/>
          <w:iCs w:val="1"/>
          <w:color w:val="auto"/>
        </w:rPr>
        <w:t xml:space="preserve"> </w:t>
      </w:r>
      <w:r>
        <w:rPr>
          <w:rFonts w:ascii="Arial" w:cs="Arial" w:eastAsia="Arial" w:hAnsi="Arial"/>
          <w:sz w:val="18"/>
          <w:szCs w:val="18"/>
          <w:color w:val="auto"/>
        </w:rPr>
        <w:t>awards may be granted to our, employees, directors and consultants engaged by us or any of our subsidiary companies, except that ISOs may only be granted to our employees.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Authorized Shares. </w:t>
      </w:r>
      <w:r>
        <w:rPr>
          <w:rFonts w:ascii="Arial" w:cs="Arial" w:eastAsia="Arial" w:hAnsi="Arial"/>
          <w:sz w:val="18"/>
          <w:szCs w:val="18"/>
          <w:color w:val="auto"/>
        </w:rPr>
        <w:t>Subject to certain capitalization adjustments, the aggregate number of shares of Class A common stock authorized for issuance</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stock awards under the 2012 Plan will not exceed 47,062,674 shares. However, no new awards will be granted under the 2012 Plan following the completion of this offering.</w:t>
      </w:r>
    </w:p>
    <w:p>
      <w:pPr>
        <w:spacing w:after="0" w:line="13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Shares subject to stock awards granted under the 2012 Plan that expire, become unexercisable or are cancelled, forfeited to or repurchased by us due to the failure to vest, or otherwise terminated without having been exercised or settled in full, or are surrendered pursuant to an exchange program (as described below) in accordance with the 2012 Plan, shall revert to and again become available for issuance under the 2012 Plan. This includes shares that are reacquired pursuant to any forfeiture provision, right of repurchase or redemption or shares that are used to satisfy the exercise or purchase price for the award or any tax withholding obligations related to an award.</w:t>
      </w:r>
    </w:p>
    <w:p>
      <w:pPr>
        <w:spacing w:after="0" w:line="12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Plan Administration</w:t>
      </w:r>
      <w:r>
        <w:rPr>
          <w:rFonts w:ascii="Arial" w:cs="Arial" w:eastAsia="Arial" w:hAnsi="Arial"/>
          <w:sz w:val="17"/>
          <w:szCs w:val="17"/>
          <w:color w:val="auto"/>
        </w:rPr>
        <w:t>. Our board of directors administers and interprets the provisions of the 2012 Plan. The board of directors may delegate its</w:t>
      </w:r>
      <w:r>
        <w:rPr>
          <w:rFonts w:ascii="Arial" w:cs="Arial" w:eastAsia="Arial" w:hAnsi="Arial"/>
          <w:sz w:val="17"/>
          <w:szCs w:val="17"/>
          <w:i w:val="1"/>
          <w:iCs w:val="1"/>
          <w:color w:val="auto"/>
        </w:rPr>
        <w:t xml:space="preserve"> </w:t>
      </w:r>
      <w:r>
        <w:rPr>
          <w:rFonts w:ascii="Arial" w:cs="Arial" w:eastAsia="Arial" w:hAnsi="Arial"/>
          <w:sz w:val="17"/>
          <w:szCs w:val="17"/>
          <w:color w:val="auto"/>
        </w:rPr>
        <w:t>authority to a committee of the board and has delegated authority to the compensation committee of the board, referred to as the “plan administrator” herein. The plan administrator may additionally delegate limited authority to specified officers to execute any instrument required to effect an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118</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previously granted by the plan administrator. Under the 2012 Plan, the plan administrator has the authority to, among other things, determine award recipients, the numbers and types of stock awards to be granted, the applicable fair market value and the provisions of each stock award, including the period of their exercisability and the vesting schedule applicable to a stock award; construe and interpret the 2012 Plan and awards granted thereunder; prescribe, amend and rescind rules and regulations for the administration of the 2012 Plan; and accelerate the vesting of awards.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Under the 2012 Plan, the plan administrator also has the authority, without stockholder consent, to institute and determine the terms of an exchange program under which (i) outstanding awards are surrendered or cancelled in exchange for awards of the same type (which may have higher or lower exercise or purchase prices and different terms), awards of a different type, and/or cash, (ii) participants would have the opportunity to transfer any outstanding awards to a financial institution or other person or entity selected by the plan administrator and/or (iii) the exercise or purchase price of an outstanding award is reduced or increased.</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ISOs and NSOs are granted under share option agreements and option rules adopted by the plan administrator. The plan administrator</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determines the exercise price for stock options, within the terms and conditions of the 2012 Plan, provided that the exercise price of a stock option generally will not be less than 100% of the fair market value of our Class A common stock on the date of grant (or 110% of the fair market value for 10% stockholders as required by the Code). Options granted under the 2012 Plan vest at the rate specified in the share option agreements and option rules as determined by the plan administrator.</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Restricted Stock Unit Awards. </w:t>
      </w:r>
      <w:r>
        <w:rPr>
          <w:rFonts w:ascii="Arial" w:cs="Arial" w:eastAsia="Arial" w:hAnsi="Arial"/>
          <w:sz w:val="18"/>
          <w:szCs w:val="18"/>
          <w:color w:val="auto"/>
        </w:rPr>
        <w:t>RSUs are granted under restricted stock unit award agreements adopted by the plan administrator. RSUs may be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in consideration for any form of legal consideration that may be acceptable to our board of directors and permissible under applicable law. An RSU may be settled by cash, delivery of stock, a combination of cash and stock as deemed appropriate by the plan administrator, or in any other form of consideration set forth in the RSU agreement. Except as otherwise provided in the applicable award agreement, RSUs that have not vested will be forfeited once the participant’s continuous service ends for any reason.</w:t>
      </w:r>
    </w:p>
    <w:p>
      <w:pPr>
        <w:spacing w:after="0" w:line="13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Restricted Shares</w:t>
      </w:r>
      <w:r>
        <w:rPr>
          <w:rFonts w:ascii="Arial" w:cs="Arial" w:eastAsia="Arial" w:hAnsi="Arial"/>
          <w:sz w:val="17"/>
          <w:szCs w:val="17"/>
          <w:color w:val="auto"/>
        </w:rPr>
        <w:t>. Restricted shares may be awarded in consideration for cash or cash equivalents or another form of consideration, including past</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as determined by our plan administrator. Restricted shares may also be issued upon an optionholders’ exercise of an unvested option, or an “early exercise”. The plan administrator determines the terms and conditions of restricted shares, including vesting and forfeiture terms. If a participant’s service relationship with us ends for any reason, we may receive any or all of the shares of Class A common stock held by the participant that have not vested as of the date the participant terminates service with us through a forfeiture condition or a repurchase right. Restricted shares acquired upon early exercise of a stock option are generally subject to our right to repurchase such shares upon the holder’s termination of service with us for any reason, at the lesser of the price paid for such shares or the then-current fair market value.</w:t>
      </w:r>
    </w:p>
    <w:p>
      <w:pPr>
        <w:spacing w:after="0" w:line="12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of any dividend or other distribution, recapitalization, share split, reverse share split, reorganization, merger,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consolidation, split-up, spin-off, combination, repurchase or exchange of shares or other change in the Company’s corporate structure affecting the Company’s shares, the plan administrator will adjust the number and class of shares that may be delivered under the 2012 Plan and/or the number, class and price of shares covered by each outstanding award.</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In the event of a merger or a change in control, each outstanding award will be treated as the plan administrator determines,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may include, without limitation, that:</w:t>
      </w:r>
    </w:p>
    <w:p>
      <w:pPr>
        <w:spacing w:after="0" w:line="116"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awards will be assumed or substituted by the acquiring or succeeding corporation with appropriate adjustments;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upon written notice to the participant, the participant’s awards will terminate upon or immediately prior to the consummation of such merger or change in control;</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outstanding awards will vest and become exercisable, realizable or payable, or restrictions applicable to an award will lapse, in whole or in part prior to or upon consummation of such merger or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119</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and, to the extent the plan administrator determines, terminate upon or immediately prior to the effectiveness of such merger or change in control;</w:t>
      </w:r>
    </w:p>
    <w:p>
      <w:pPr>
        <w:spacing w:after="0" w:line="194" w:lineRule="exact"/>
        <w:rPr>
          <w:sz w:val="20"/>
          <w:szCs w:val="20"/>
          <w:color w:val="auto"/>
        </w:rPr>
      </w:pPr>
    </w:p>
    <w:p>
      <w:pPr>
        <w:jc w:val="both"/>
        <w:ind w:left="660" w:hanging="328"/>
        <w:spacing w:after="0" w:line="263"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award will terminate in exchange for an amount of cash and/or property, if any, equal to the amount that would have been attained upon the exercise of such award or realization of the participant’s rights as of the date of the occurrence of the transaction or an award will be replaced with other rights or property selected by the plan administrator in its sole discretion; or</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plan administrator is not obligated to treat all awards similarly.</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Notwithstanding the foregoing, however, in the event that the successor corporation in a merger or change in control does not assume or substitute for an award, the award will fully vest and become exercisable. If the award is an option, it will be exercisable for a period of time determined by the plan administrator and will terminate upon the expiration of such period.</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the above, the plan administrator may provide, in an award agreement or in any other written agreement between the participant and the Company, for accelerated vesting and exercisability in the event of a change in control or similar transaction.</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Under the 2012 Plan, a change in control is generally defined as the occurrence of any of the following events: (a) a change in the ownership of the Company which occurs on the date that any one person, or more than one person acting as a group, acquires ownership of the share capital of the Company that, together with the share capital held by such person, constitutes more than 50% of the total voting power of the Company, except as a result of a private financing approved by the board of directors; (b) if the Company has a class of securities registered pursuant to Section 12 of the Exchange Act, a change in the effective control of the Company which occurs on the date that a majority of members of the board of directors are replaced during any 12 month period by directors whose appointment or election is not endorsed by a majority of the members of the board of directors prior to the date of the appointment or election or (c) a change in the ownership of a substantial portion of the Company’s assets which occurs on the date that any person acquires assets from the Company that have a total gross fair market value equal to or more than 50% of the total gross fair market value of all of the assets of the Company immediately prior to such acquisition.</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Plan Amendment or Termination. </w:t>
      </w:r>
      <w:r>
        <w:rPr>
          <w:rFonts w:ascii="Arial" w:cs="Arial" w:eastAsia="Arial" w:hAnsi="Arial"/>
          <w:sz w:val="18"/>
          <w:szCs w:val="18"/>
          <w:color w:val="auto"/>
        </w:rPr>
        <w:t>The plan administrator may at any time amend, alter, suspend or terminate the 2012 Plan. Certain amendments,</w:t>
      </w:r>
      <w:r>
        <w:rPr>
          <w:rFonts w:ascii="Arial" w:cs="Arial" w:eastAsia="Arial" w:hAnsi="Arial"/>
          <w:sz w:val="18"/>
          <w:szCs w:val="18"/>
          <w:i w:val="1"/>
          <w:iCs w:val="1"/>
          <w:color w:val="auto"/>
        </w:rPr>
        <w:t xml:space="preserve"> </w:t>
      </w:r>
      <w:r>
        <w:rPr>
          <w:rFonts w:ascii="Arial" w:cs="Arial" w:eastAsia="Arial" w:hAnsi="Arial"/>
          <w:sz w:val="18"/>
          <w:szCs w:val="18"/>
          <w:color w:val="auto"/>
        </w:rPr>
        <w:t>alterations, or the suspension or discontinuance of the 2012 Plan may require the written consent of holders of outstanding awards. Certain material amendments also require the approval of our stockholders.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ESPP will become effective in connection with this offering. The purpose of the ESPP is to secure the services of new employees, retain the services of existing employees, and provide incentives for such individuals to exert maximum efforts toward our success and that of our affiliates. The ESPP is intended to qualify as an “employee stock purchase plan” within the meaning of Section 423 of the Code for U.S. employees. In addition, our board of directors may adopt rules that are beyond the scope of Section 423 of the Code to provide for the grant of purchase rights to employees who are employed or located outside of the United States.</w:t>
      </w:r>
    </w:p>
    <w:p>
      <w:pPr>
        <w:spacing w:after="0" w:line="13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 xml:space="preserve">Share Reserve. </w:t>
      </w:r>
      <w:r>
        <w:rPr>
          <w:rFonts w:ascii="Arial" w:cs="Arial" w:eastAsia="Arial" w:hAnsi="Arial"/>
          <w:sz w:val="16"/>
          <w:szCs w:val="16"/>
          <w:color w:val="auto"/>
        </w:rPr>
        <w:t>Following this offering, the ESPP authorizes the issuance of shares of our Class A common stock under purchase rights granted</w:t>
      </w:r>
      <w:r>
        <w:rPr>
          <w:rFonts w:ascii="Arial" w:cs="Arial" w:eastAsia="Arial" w:hAnsi="Arial"/>
          <w:sz w:val="16"/>
          <w:szCs w:val="16"/>
          <w:i w:val="1"/>
          <w:iCs w:val="1"/>
          <w:color w:val="auto"/>
        </w:rPr>
        <w:t xml:space="preserve"> </w:t>
      </w:r>
      <w:r>
        <w:rPr>
          <w:rFonts w:ascii="Arial" w:cs="Arial" w:eastAsia="Arial" w:hAnsi="Arial"/>
          <w:sz w:val="16"/>
          <w:szCs w:val="16"/>
          <w:color w:val="auto"/>
        </w:rPr>
        <w:t>to our employees or to employees of any of our designated affiliates. The number of shares of our Class A common stock reserved for issuance will automatically increase on January 1st of each calendar year, beginning on January 1, 2022 and ending on and including January 1, 2031, by the lesser of</w:t>
      </w:r>
    </w:p>
    <w:p>
      <w:pPr>
        <w:spacing w:after="0" w:line="2" w:lineRule="exact"/>
        <w:rPr>
          <w:sz w:val="20"/>
          <w:szCs w:val="20"/>
          <w:color w:val="auto"/>
        </w:rPr>
      </w:pPr>
    </w:p>
    <w:p>
      <w:pPr>
        <w:ind w:left="520" w:hanging="512"/>
        <w:spacing w:after="0"/>
        <w:tabs>
          <w:tab w:leader="none" w:pos="5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 of the total number of shares of our capital stock outstanding on the last day of the calendar month before the date of the automatic increase, and</w:t>
      </w:r>
    </w:p>
    <w:p>
      <w:pPr>
        <w:spacing w:after="0" w:line="32" w:lineRule="exact"/>
        <w:rPr>
          <w:rFonts w:ascii="Arial" w:cs="Arial" w:eastAsia="Arial" w:hAnsi="Arial"/>
          <w:sz w:val="16"/>
          <w:szCs w:val="16"/>
          <w:color w:val="auto"/>
        </w:rPr>
      </w:pPr>
    </w:p>
    <w:p>
      <w:pPr>
        <w:ind w:right="20" w:firstLine="8"/>
        <w:spacing w:after="0" w:line="260" w:lineRule="auto"/>
        <w:tabs>
          <w:tab w:leader="none" w:pos="885" w:val="left"/>
        </w:tabs>
        <w:numPr>
          <w:ilvl w:val="0"/>
          <w:numId w:val="85"/>
        </w:numPr>
        <w:rPr>
          <w:rFonts w:ascii="Arial" w:cs="Arial" w:eastAsia="Arial" w:hAnsi="Arial"/>
          <w:sz w:val="18"/>
          <w:szCs w:val="18"/>
          <w:color w:val="auto"/>
        </w:rPr>
      </w:pPr>
      <w:r>
        <w:rPr>
          <w:rFonts w:ascii="Arial" w:cs="Arial" w:eastAsia="Arial" w:hAnsi="Arial"/>
          <w:sz w:val="18"/>
          <w:szCs w:val="18"/>
          <w:color w:val="auto"/>
        </w:rPr>
        <w:t>shares, unless our board of directors or compensation committee determines prior to the date of the increase that there will be a lesser increase, or no increase. As of the date hereof, no shares of our Class A common stock have been purchased under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120</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4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Our board of directors has delegated its authority to administer the ESPP to our compensation committee. The ESPP is implemented</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a series of offerings under which eligible employees are granted purchase rights to purchase shares of our Class A common stock on specified dates during such offerings. Under the ESPP, we may specify offerings with durations of not more than 27 months and may specify shorter purchase periods within each offering. Each offering will have one or more purchase dates on which shares of our Class A common stock will be purchased for</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employees participating in the offering. We currently intend to have month offerings with multiple purchase periods (of approximately months in duration) per offering, except that the first purchase period under our first offering may be shorter or longer than months, depending on the date on which the underwriting agreement relating to this offering becomes effective. An offering under the ESPP may be terminated under certain circumstances.</w:t>
      </w:r>
    </w:p>
    <w:p>
      <w:pPr>
        <w:spacing w:after="0" w:line="13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Payroll Deductions. </w:t>
      </w:r>
      <w:r>
        <w:rPr>
          <w:rFonts w:ascii="Arial" w:cs="Arial" w:eastAsia="Arial" w:hAnsi="Arial"/>
          <w:sz w:val="16"/>
          <w:szCs w:val="16"/>
          <w:color w:val="auto"/>
        </w:rPr>
        <w:t>Generally, all regular employees, including executive officers, employed by us or by any of our designated affiliates, may</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participate in the ESPP and may contribute, normally through payroll deductions, up to either a maximum dollar amount or a maximum specified percentage of their earnings (as defined in each offering) for the purchase of our Class A common stock under the ESPP as is designated by the board of directors for each particular offering. Unless otherwise determined by our board of directors, Class A common stock will be purchased for the accounts of employees participating in the ESPP at a price per share that is at least the lesser of (i) 85% of the fair market value of a share of our Class A common stock on the first date of an offering, or (ii) 85% of the fair market value of a share of our Class A common stock on the date of purchase.</w:t>
      </w:r>
    </w:p>
    <w:p>
      <w:pPr>
        <w:spacing w:after="0" w:line="11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Limitations. </w:t>
      </w:r>
      <w:r>
        <w:rPr>
          <w:rFonts w:ascii="Arial" w:cs="Arial" w:eastAsia="Arial" w:hAnsi="Arial"/>
          <w:sz w:val="17"/>
          <w:szCs w:val="17"/>
          <w:color w:val="auto"/>
        </w:rPr>
        <w:t>Employees may have to satisfy one or more of the following service requirements before participating in the ESPP, as determined by our</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including: (i) being customarily employed for more than 20 hours per week, (ii) being customarily employed for more than five months per calendar year, or (iii) continuous employment with us or one of our affiliates for a period of time (not to exceed two years). No employee may purchase shares under the ESPP at a rate in excess of $25,000 worth of our Class A common stock in any calendar year based on the fair market value per share of our Class A common stock at the beginning of an offering for each year such a purchase right is outstanding and the maximum number of shares an employee may purchase during a single purchase period will be specified by the board of directors for each particular offering. Finally, no employee will be eligible for the grant of any purchase rights under the ESPP if immediately after such rights are granted, such employee has voting power over 5% or more of our outstanding capital stock measured by vote or value under Section 424(d) of the Code.</w:t>
      </w:r>
    </w:p>
    <w:p>
      <w:pPr>
        <w:spacing w:after="0" w:line="12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Changes to Capital Structure. </w:t>
      </w:r>
      <w:r>
        <w:rPr>
          <w:rFonts w:ascii="Arial" w:cs="Arial" w:eastAsia="Arial" w:hAnsi="Arial"/>
          <w:sz w:val="17"/>
          <w:szCs w:val="17"/>
          <w:color w:val="auto"/>
        </w:rPr>
        <w:t>In the event that there occurs a change in our capital structure through such actions as a stock split, merger,</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consolidation, 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(i) the class and maximum number of securities subject to the ESPP, (ii) the class and maximum number of securities by which the share reserve is to increase automatically each year, (iii) the class and number of securities subject to, and the purchase price applicable to, outstanding offerings, and (iv) the class and number of securities that are the subject of the purchase limits under each ongoing offering.</w:t>
      </w:r>
    </w:p>
    <w:p>
      <w:pPr>
        <w:spacing w:after="0" w:line="12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i w:val="1"/>
          <w:iCs w:val="1"/>
          <w:color w:val="auto"/>
        </w:rPr>
        <w:t>Corporate Transactions.</w:t>
      </w:r>
      <w:r>
        <w:rPr>
          <w:rFonts w:ascii="Arial" w:cs="Arial" w:eastAsia="Arial" w:hAnsi="Arial"/>
          <w:sz w:val="16"/>
          <w:szCs w:val="16"/>
          <w:color w:val="auto"/>
        </w:rPr>
        <w:t>. In the event of certain significant corporate transactions, such as a merger or change in control, a successor corporation may</w:t>
      </w:r>
      <w:r>
        <w:rPr>
          <w:rFonts w:ascii="Arial" w:cs="Arial" w:eastAsia="Arial" w:hAnsi="Arial"/>
          <w:sz w:val="16"/>
          <w:szCs w:val="16"/>
          <w:i w:val="1"/>
          <w:iCs w:val="1"/>
          <w:color w:val="auto"/>
        </w:rPr>
        <w:t xml:space="preserve"> </w:t>
      </w:r>
      <w:r>
        <w:rPr>
          <w:rFonts w:ascii="Arial" w:cs="Arial" w:eastAsia="Arial" w:hAnsi="Arial"/>
          <w:sz w:val="16"/>
          <w:szCs w:val="16"/>
          <w:color w:val="auto"/>
        </w:rPr>
        <w:t>assume, continue or substitute each outstanding purchase right. If the successor corporation does not assume, continue or substitute for the outstanding purchase rights, then the participants’ accumulated contributions will be used to purchase shares of our Class A common stock within ten business days prior to the corporate transaction under the outstanding purchase rights, and the purchase rights will terminate immediately thereafter.</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Amendment or Termination. </w:t>
      </w:r>
      <w:r>
        <w:rPr>
          <w:rFonts w:ascii="Arial" w:cs="Arial" w:eastAsia="Arial" w:hAnsi="Arial"/>
          <w:sz w:val="18"/>
          <w:szCs w:val="18"/>
          <w:color w:val="auto"/>
        </w:rPr>
        <w:t>Our board of directors has the authority to amend or terminate our ESPP, provided that except in certain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such amendment or termination may not materially impair any outstanding purchase rights without the holder’s consent. Our ESPP will remain in effect until terminated by our board of directors in accordance with the terms of our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121</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Sales Plans</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Prior to 180 days after the date of this offering, subject to early termination, the sale of any shares under such plan would be subject to the lock-up agreement that the director or executive officer has entered into with us.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the completion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130"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1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Our amended and restated bylaws that will be in effect on the completion of this offering will provide that we are required to indemnify our directors and officers to the fullest extent permitted by Delaware law and may indemnify our other employees and agents. Our amended and restated bylaws that will be in effect on the completion of this offering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and executive officers. With certain exceptions, these agreements provide for indemnification for related expenses including attorneys’ fees, judgments, fines and settlement amounts incurred by any of these individuals in connection with any action, proceeding or investigation. 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w:t>
      </w:r>
    </w:p>
    <w:p>
      <w:pPr>
        <w:spacing w:after="0" w:line="1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122</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7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Other than compensation arrangements for our directors and executive officers, which are described elsewhere in this prospectus, below we describe transactions since January 1, 2018 and each currently proposed transaction in which:</w:t>
      </w:r>
    </w:p>
    <w:p>
      <w:pPr>
        <w:spacing w:after="0" w:line="116" w:lineRule="exact"/>
        <w:rPr>
          <w:sz w:val="20"/>
          <w:szCs w:val="20"/>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Financing</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November 2020, we sold an aggregate of 7,757,141 shares of our Class A common stock at a purchase price of $7.00 per share to a total of seven accredited investors for an aggregate purchase price of approximately $54.3 million. The following table summarizes purchases of our Class A common stock by related persons:</w:t>
      </w:r>
    </w:p>
    <w:p>
      <w:pPr>
        <w:sectPr>
          <w:pgSz w:w="11900" w:h="16838" w:orient="portrait"/>
          <w:cols w:equalWidth="0" w:num="1">
            <w:col w:w="11240"/>
          </w:cols>
          <w:pgMar w:left="320" w:top="1440" w:right="339" w:bottom="1440" w:gutter="0" w:footer="0" w:header="0"/>
        </w:sectPr>
      </w:pPr>
    </w:p>
    <w:p>
      <w:pPr>
        <w:spacing w:after="0" w:line="33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Stockholder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540"/>
        <w:spacing w:after="0"/>
        <w:rPr>
          <w:sz w:val="20"/>
          <w:szCs w:val="20"/>
          <w:color w:val="auto"/>
        </w:rPr>
      </w:pPr>
      <w:r>
        <w:rPr>
          <w:rFonts w:ascii="Arial" w:cs="Arial" w:eastAsia="Arial" w:hAnsi="Arial"/>
          <w:sz w:val="12"/>
          <w:szCs w:val="12"/>
          <w:b w:val="1"/>
          <w:bCs w:val="1"/>
          <w:color w:val="auto"/>
        </w:rPr>
        <w:t>Shares of Class A</w:t>
      </w:r>
    </w:p>
    <w:p>
      <w:pPr>
        <w:spacing w:after="0" w:line="40" w:lineRule="exact"/>
        <w:rPr>
          <w:sz w:val="20"/>
          <w:szCs w:val="20"/>
          <w:color w:val="auto"/>
        </w:rPr>
      </w:pPr>
    </w:p>
    <w:p>
      <w:pPr>
        <w:jc w:val="center"/>
        <w:ind w:right="540"/>
        <w:spacing w:after="0"/>
        <w:rPr>
          <w:sz w:val="20"/>
          <w:szCs w:val="20"/>
          <w:color w:val="auto"/>
        </w:rPr>
      </w:pPr>
      <w:r>
        <w:rPr>
          <w:rFonts w:ascii="Arial" w:cs="Arial" w:eastAsia="Arial" w:hAnsi="Arial"/>
          <w:sz w:val="14"/>
          <w:szCs w:val="14"/>
          <w:b w:val="1"/>
          <w:bCs w:val="1"/>
          <w:color w:val="auto"/>
        </w:rPr>
        <w:t>Common Stock</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620"/>
        <w:spacing w:after="0"/>
        <w:rPr>
          <w:sz w:val="20"/>
          <w:szCs w:val="20"/>
          <w:color w:val="auto"/>
        </w:rPr>
      </w:pPr>
      <w:r>
        <w:rPr>
          <w:rFonts w:ascii="Arial" w:cs="Arial" w:eastAsia="Arial" w:hAnsi="Arial"/>
          <w:sz w:val="14"/>
          <w:szCs w:val="14"/>
          <w:b w:val="1"/>
          <w:bCs w:val="1"/>
          <w:color w:val="auto"/>
        </w:rPr>
        <w:t>Total</w:t>
      </w:r>
    </w:p>
    <w:p>
      <w:pPr>
        <w:spacing w:after="0" w:line="17" w:lineRule="exact"/>
        <w:rPr>
          <w:sz w:val="20"/>
          <w:szCs w:val="20"/>
          <w:color w:val="auto"/>
        </w:rPr>
      </w:pPr>
    </w:p>
    <w:p>
      <w:pPr>
        <w:jc w:val="center"/>
        <w:ind w:right="620"/>
        <w:spacing w:after="0"/>
        <w:rPr>
          <w:sz w:val="20"/>
          <w:szCs w:val="20"/>
          <w:color w:val="auto"/>
        </w:rPr>
      </w:pPr>
      <w:r>
        <w:rPr>
          <w:rFonts w:ascii="Arial" w:cs="Arial" w:eastAsia="Arial" w:hAnsi="Arial"/>
          <w:sz w:val="12"/>
          <w:szCs w:val="12"/>
          <w:b w:val="1"/>
          <w:bCs w:val="1"/>
          <w:color w:val="auto"/>
        </w:rPr>
        <w:t>Purchase Price</w:t>
      </w:r>
    </w:p>
    <w:p>
      <w:pPr>
        <w:spacing w:after="0" w:line="38" w:lineRule="exact"/>
        <w:rPr>
          <w:sz w:val="20"/>
          <w:szCs w:val="20"/>
          <w:color w:val="auto"/>
        </w:rPr>
      </w:pPr>
    </w:p>
    <w:p>
      <w:pPr>
        <w:sectPr>
          <w:pgSz w:w="11900" w:h="16838" w:orient="portrait"/>
          <w:cols w:equalWidth="0" w:num="3">
            <w:col w:w="6640" w:space="720"/>
            <w:col w:w="1620" w:space="720"/>
            <w:col w:w="154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67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Innovius Capital Sirius I L.P.</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5,285,714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700" w:type="dxa"/>
            <w:vAlign w:val="bottom"/>
            <w:tcBorders>
              <w:top w:val="single" w:sz="8" w:color="auto"/>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36,999,998</w:t>
            </w:r>
          </w:p>
        </w:tc>
      </w:tr>
      <w:tr>
        <w:trPr>
          <w:trHeight w:val="251"/>
        </w:trPr>
        <w:tc>
          <w:tcPr>
            <w:tcW w:w="6820" w:type="dxa"/>
            <w:vAlign w:val="bottom"/>
            <w:gridSpan w:val="2"/>
          </w:tcPr>
          <w:p>
            <w:pPr>
              <w:ind w:left="20"/>
              <w:spacing w:after="0" w:line="252" w:lineRule="exact"/>
              <w:rPr>
                <w:sz w:val="20"/>
                <w:szCs w:val="20"/>
                <w:color w:val="auto"/>
              </w:rPr>
            </w:pPr>
            <w:r>
              <w:rPr>
                <w:rFonts w:ascii="Arial" w:cs="Arial" w:eastAsia="Arial" w:hAnsi="Arial"/>
                <w:sz w:val="18"/>
                <w:szCs w:val="18"/>
                <w:color w:val="auto"/>
              </w:rPr>
              <w:t xml:space="preserve">Entities affiliated with iGlobe Partners </w:t>
            </w:r>
            <w:r>
              <w:rPr>
                <w:rFonts w:ascii="Arial" w:cs="Arial" w:eastAsia="Arial" w:hAnsi="Arial"/>
                <w:sz w:val="23"/>
                <w:szCs w:val="23"/>
                <w:color w:val="auto"/>
                <w:vertAlign w:val="superscript"/>
              </w:rPr>
              <w:t>(1)</w:t>
            </w:r>
          </w:p>
        </w:tc>
        <w:tc>
          <w:tcPr>
            <w:tcW w:w="2160" w:type="dxa"/>
            <w:vAlign w:val="bottom"/>
          </w:tcPr>
          <w:p>
            <w:pPr>
              <w:jc w:val="right"/>
              <w:spacing w:after="0"/>
              <w:rPr>
                <w:sz w:val="20"/>
                <w:szCs w:val="20"/>
                <w:color w:val="auto"/>
              </w:rPr>
            </w:pPr>
            <w:r>
              <w:rPr>
                <w:rFonts w:ascii="Arial" w:cs="Arial" w:eastAsia="Arial" w:hAnsi="Arial"/>
                <w:sz w:val="18"/>
                <w:szCs w:val="18"/>
                <w:color w:val="auto"/>
              </w:rPr>
              <w:t>1,471,428</w:t>
            </w:r>
          </w:p>
        </w:tc>
        <w:tc>
          <w:tcPr>
            <w:tcW w:w="100" w:type="dxa"/>
            <w:vAlign w:val="bottom"/>
          </w:tcPr>
          <w:p>
            <w:pPr>
              <w:spacing w:after="0"/>
              <w:rPr>
                <w:sz w:val="21"/>
                <w:szCs w:val="21"/>
                <w:color w:val="auto"/>
              </w:rPr>
            </w:pP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10,299,996</w:t>
            </w:r>
          </w:p>
        </w:tc>
      </w:tr>
      <w:tr>
        <w:trPr>
          <w:trHeight w:val="174"/>
        </w:trPr>
        <w:tc>
          <w:tcPr>
            <w:tcW w:w="6740" w:type="dxa"/>
            <w:vAlign w:val="bottom"/>
          </w:tcPr>
          <w:p>
            <w:pPr>
              <w:spacing w:after="0"/>
              <w:rPr>
                <w:sz w:val="20"/>
                <w:szCs w:val="20"/>
                <w:color w:val="auto"/>
              </w:rPr>
            </w:pPr>
            <w:r>
              <w:rPr>
                <w:rFonts w:ascii="Arial" w:cs="Arial" w:eastAsia="Arial" w:hAnsi="Arial"/>
                <w:sz w:val="14"/>
                <w:szCs w:val="14"/>
                <w:color w:val="auto"/>
              </w:rPr>
              <w:t>____________</w:t>
            </w: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60" w:type="dxa"/>
            <w:vAlign w:val="bottom"/>
          </w:tcPr>
          <w:p>
            <w:pPr>
              <w:spacing w:after="0"/>
              <w:rPr>
                <w:sz w:val="15"/>
                <w:szCs w:val="15"/>
                <w:color w:val="auto"/>
              </w:rPr>
            </w:pPr>
          </w:p>
        </w:tc>
      </w:tr>
    </w:tbl>
    <w:p>
      <w:pPr>
        <w:ind w:left="320" w:hanging="312"/>
        <w:spacing w:after="0"/>
        <w:tabs>
          <w:tab w:leader="none" w:pos="3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Includes shares issued to iGlobe Platinum Fund II Pte Ltd, iGlobe Platinum Fund III Limited and iGlobe Treasury Management Pte Ltd.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 Tender Offers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February 2020, we entered into an agreement with, various investors pursuant to which we agreed to waive certain transfer restrictions in connection with, and assist in the administration of, a tender offer that the investors proposed to commence. In addition, we granted registration rights and certain information rights to the investors in connection with the consummation of the tender offer. In February 2020, the investors commenced a tender offer to purchase shares of our capital stock from certain of our stockholders at a price of $7.00 per share, less the option exercise price, if applicable, pursuant to an offer to purchase to which we were not a party. An aggregate of 3,389,285 shares of our Class A common stock were tendered pursuant to the tender offer for an aggregate purchase price of approximately $23.8 million.</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Kevin Yuann, our Chief Business Officer, Laura Onopchenko, our former Chief Financial Officer, and Simon Williams, a former member of our board of directors, and certain other of our employees sold shares of our capital stock in the tender offer.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and Option Cancellation Transactions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Simon Williams</w:t>
      </w:r>
      <w:r>
        <w:rPr>
          <w:rFonts w:ascii="Arial" w:cs="Arial" w:eastAsia="Arial" w:hAnsi="Arial"/>
          <w:sz w:val="18"/>
          <w:szCs w:val="18"/>
          <w:color w:val="auto"/>
        </w:rPr>
        <w:t>. In August 2019, we entered into an Option Cancellation Agreement with Camelot Financial Capital Management LLC and Simon</w:t>
      </w:r>
      <w:r>
        <w:rPr>
          <w:rFonts w:ascii="Arial" w:cs="Arial" w:eastAsia="Arial" w:hAnsi="Arial"/>
          <w:sz w:val="18"/>
          <w:szCs w:val="18"/>
          <w:i w:val="1"/>
          <w:iCs w:val="1"/>
          <w:color w:val="auto"/>
        </w:rPr>
        <w:t xml:space="preserve"> </w:t>
      </w:r>
      <w:r>
        <w:rPr>
          <w:rFonts w:ascii="Arial" w:cs="Arial" w:eastAsia="Arial" w:hAnsi="Arial"/>
          <w:sz w:val="18"/>
          <w:szCs w:val="18"/>
          <w:color w:val="auto"/>
        </w:rPr>
        <w:t>Williams, a former member of our board of directors, pursuant to which we cancelled an option to purchase 200,000 shares of Class A common stock held by Camelot Financial Capital Management LLC for consideration equal to $5.10 per share, minus the exercise price for the shares underlying such option. The total consideration paid to Camelot Financial Capital Management LLC was $770,000.</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March 2021, we entered into an Option Cancellation Agreement with Camelot Financial Capital Management LLC and Simon Williams, a former member of our board of directors, pursuant to which we cancelled options to purchase an aggregate of 345,000 shares of Class A common stock held by Camelot Financial Capital Management LLC for consideration equal to $10 per share, minus the exercise price for the shares underlying such options. The total consideration paid to Camelot Financial Capital Management LLC for the option cancellation was $2,432,979. In addition, in March 2021, we repurchased 205,000 shares of Series A Preferred Stock from Camelot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123</w:t>
      </w:r>
    </w:p>
    <w:p>
      <w:pPr>
        <w:sectPr>
          <w:pgSz w:w="11900" w:h="16838" w:orient="portrait"/>
          <w:cols w:equalWidth="0" w:num="1">
            <w:col w:w="11240"/>
          </w:cols>
          <w:pgMar w:left="320" w:top="1440" w:right="339" w:bottom="1440" w:gutter="0" w:footer="0" w:header="0"/>
          <w:type w:val="continuous"/>
        </w:sectPr>
      </w:pPr>
    </w:p>
    <w:bookmarkStart w:id="131" w:name="page132"/>
    <w:bookmarkEnd w:id="131"/>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Capital Management LLC at a purchase price of $10 per share. The total consideration paid to Camelot Financial Capital Management LLC for the share repurchase was $2,050,000.</w:t>
      </w:r>
    </w:p>
    <w:p>
      <w:pPr>
        <w:spacing w:after="0" w:line="1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Tim Chen</w:t>
      </w:r>
      <w:r>
        <w:rPr>
          <w:rFonts w:ascii="Arial" w:cs="Arial" w:eastAsia="Arial" w:hAnsi="Arial"/>
          <w:sz w:val="17"/>
          <w:szCs w:val="17"/>
          <w:color w:val="auto"/>
        </w:rPr>
        <w:t>. In January 2021, we repurchased 1,765,634 shares of Class F common stock from Tim Chen, our Co-founder, Chief Executive Officer and</w:t>
      </w:r>
      <w:r>
        <w:rPr>
          <w:rFonts w:ascii="Arial" w:cs="Arial" w:eastAsia="Arial" w:hAnsi="Arial"/>
          <w:sz w:val="17"/>
          <w:szCs w:val="17"/>
          <w:i w:val="1"/>
          <w:iCs w:val="1"/>
          <w:color w:val="auto"/>
        </w:rPr>
        <w:t xml:space="preserve"> </w:t>
      </w:r>
      <w:r>
        <w:rPr>
          <w:rFonts w:ascii="Arial" w:cs="Arial" w:eastAsia="Arial" w:hAnsi="Arial"/>
          <w:sz w:val="17"/>
          <w:szCs w:val="17"/>
          <w:color w:val="auto"/>
        </w:rPr>
        <w:t>member of our board of directors, at a purchase price of $7.00 per share. The total consideration paid to Mr. Chen was $12,359,438.</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party to an investors’ rights agreement, or IRA, with certain holders of our capital stock, including Institutional Venture Partners XIV, L.P., as well as other holders of our redeemable convertible preferred stock. The IRA provides the holders of our redeemable convertible preferred stock with certain registration rights, including the right to demand that we file a registration statement or request that their shares be covered by a registration statement that we are otherwise filing. The IRA also provides these stockholders with information rights, which will terminate on the completion of this offering, and a right of first refusal with regard to certain issuances of our capital stock, which will not apply to, and will terminate on, the completion of, this offering. In connection with this offering, the holders of up to 31,344,009 shares of our Class A common stock issuable on conversion of outstanding redeemable convertible preferred stock are entitled to, and the necessary percentage of holders waived, their rights with respect to the registration of their shares under the Securities Act under this agreement. For a description of these registration rights, see the section titled “Description of Capital Stock— Registration Rights.”</w:t>
      </w:r>
    </w:p>
    <w:p>
      <w:pPr>
        <w:spacing w:after="0" w:line="142"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In addition, we have entered into letter agreements with each of Innovius Capital Sirius I L.P. and entities affiliated with iGlobe Partners, holders of more than 5% of our Class A common stock pursuant to which we have agreed that their shares be covered by a registration statement that we are otherwise filing in certain circumstances. These rights are not applicable to this offering.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party to a voting agreement under which certain holders of our capital stock, our founders, and certain early service providers, including Tim Chen, our Co-founder, Chief Executive Officer and member of our board of directors, and Institutional Venture Partners XIV L.P. and entities affiliated with RRE Ventures, each of which are beneficial holders of more than 5% of our Class A common stock and entities with which certain of our directors are affiliated, have agreed to vote in a certain way on certain matters, including with respect to the election of directors. Upon the closing of this offering, the voting agreement will terminate and none of our stockholders will have any special rights regarding the election or designation of members of our board of directors.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First Refusal</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Pursuant to our equity compensation plans and certain agreements with our stockholders, including a right of first refusal and co-sale agreement with certain holders of our capital stock, including Tim Chen, we or our assignees have a right to purchase shares of our capital stock which stockholders propose to sell to other parties. This right will terminate upon the completion of this offering. Since January 2015, we have waived our right of first refusal in connection with the sale of certain shares of our capital stock, including sales by certain of our executive officers, resulting in the purchase of such shares by certain of our stockholders, including related persons.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amended and restated certificate of incorporation that will be in effect on the completion of this offering will contain provisions limiting the liability of directors, and our amended and restated bylaws that will be in effect on the completion of this offering will provide that we will indemnify each of our directors and officers to the fullest extent permitted under Delaware law. Our amended and restated certificate of incorporation and amended and restated bylaws that will be in effect on the completion of this offering will also provide our board of directors with discretion to indemnify our employees and other agents when determined appropriate by the board. In addition, we have entered into an indemnification agreement with each of our directors and executive officers, which requires us to indemnify them. For more information regarding these agreements, see the section titled “Executive Compensation —Limitations of Liability and Indemnification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124</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entered into employment agreements with our executive officers. For more information regarding employment agreements with our named executive officers, see the section titled “Executive Compensation—Agreements with Our Named Executive Officers.”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Prior to the completion of this offering, our board of directors will adopt a related person transaction policy setting forth the policies and procedures for the identification,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and a related person were or will be participants and the amount involved exceeds $120,000, including purchases of goods or services by or from the related person or entities in which the related person has a material interest, indebtedness and guarantees of indebtedness. In reviewing and approving any such transactions, our audit committee will consider all relevant facts and circumstances as appropriate, such as the purpose of the transaction, the availability of other sources of comparable products or services, whether the transaction is on terms comparable to those that could be obtained in an arm’s length transaction, management’s recommendation with respect to the proposed related person transaction, and the extent of the related person’s interest in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125</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7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The following table sets forth information with respect to the beneficial ownership of our capital stock as of June 30, 2021, and as adjusted to reflect the sale of our Class A common stock offered by us in this offering assuming no exercise of the underwriters’ option to purchase additional shares, for:</w:t>
      </w:r>
    </w:p>
    <w:p>
      <w:pPr>
        <w:spacing w:after="0" w:line="70" w:lineRule="exact"/>
        <w:rPr>
          <w:sz w:val="20"/>
          <w:szCs w:val="20"/>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Class A common stock or our Class B common stock.</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3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Applicable percentage ownership before the offering is based on 51,007,876 shares of Class A common stock and 63,371,308 shares of Class B common stock outstanding as of June 30, 2021, assuming the reclassification of all outstanding shares of our Class F common stock to Class B common stock and automatic conversion of all outstanding shares of redeemable convertible preferred stock into shares of Class A common stock upon the closing</w:t>
      </w:r>
    </w:p>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of this offering, assuming a 1:1 conversion. Applicable percentage ownership after the offering is based on shares of Class A common stock and 63,371,308 shares of Class B common stock outstanding immediately after the completion of this offering, assuming no exercise by the underwriters of their option to purchase additional shares of Class A common stock and excluding any potential purchases in this offering by the persons and entities named in the table below. In computing the number of shares beneficially owned by a person and the percentage ownership of such person, we deemed to be outstanding all shares subject to options held by the person that are currently exercisable, or exercisable within 60 days of June 30, 2021, and all RSUs that will vest within 60 days of June 30, 2021. However, except as described above, we did not deem such shares outstanding for the purpose of computing the percentage ownership of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126</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4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Unless otherwise indicated, the address of each beneficial owner listed below is c/o NerdWallet, Inc., 875 Stevenson St., 5th Floor, San Francisco, CA 94103.</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20" w:type="dxa"/>
            <w:vAlign w:val="bottom"/>
            <w:gridSpan w:val="5"/>
          </w:tcPr>
          <w:p>
            <w:pPr>
              <w:ind w:left="420"/>
              <w:spacing w:after="0"/>
              <w:rPr>
                <w:sz w:val="20"/>
                <w:szCs w:val="20"/>
                <w:color w:val="auto"/>
              </w:rPr>
            </w:pPr>
            <w:r>
              <w:rPr>
                <w:rFonts w:ascii="Arial" w:cs="Arial" w:eastAsia="Arial" w:hAnsi="Arial"/>
                <w:sz w:val="13"/>
                <w:szCs w:val="13"/>
                <w:b w:val="1"/>
                <w:bCs w:val="1"/>
                <w:color w:val="auto"/>
              </w:rPr>
              <w:t>Shares Beneficially</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gridSpan w:val="5"/>
          </w:tcPr>
          <w:p>
            <w:pPr>
              <w:jc w:val="center"/>
              <w:ind w:left="457"/>
              <w:spacing w:after="0"/>
              <w:rPr>
                <w:sz w:val="20"/>
                <w:szCs w:val="20"/>
                <w:color w:val="auto"/>
              </w:rPr>
            </w:pPr>
            <w:r>
              <w:rPr>
                <w:rFonts w:ascii="Arial" w:cs="Arial" w:eastAsia="Arial" w:hAnsi="Arial"/>
                <w:sz w:val="13"/>
                <w:szCs w:val="13"/>
                <w:b w:val="1"/>
                <w:bCs w:val="1"/>
                <w:color w:val="auto"/>
                <w:w w:val="86"/>
              </w:rPr>
              <w:t>Shares Beneficially Owned</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20" w:type="dxa"/>
            <w:vAlign w:val="bottom"/>
            <w:gridSpan w:val="5"/>
          </w:tcPr>
          <w:p>
            <w:pPr>
              <w:jc w:val="right"/>
              <w:ind w:right="400"/>
              <w:spacing w:after="0"/>
              <w:rPr>
                <w:sz w:val="20"/>
                <w:szCs w:val="20"/>
                <w:color w:val="auto"/>
              </w:rPr>
            </w:pPr>
            <w:r>
              <w:rPr>
                <w:rFonts w:ascii="Arial" w:cs="Arial" w:eastAsia="Arial" w:hAnsi="Arial"/>
                <w:sz w:val="13"/>
                <w:szCs w:val="13"/>
                <w:b w:val="1"/>
                <w:bCs w:val="1"/>
                <w:color w:val="auto"/>
              </w:rPr>
              <w:t>Owned Prior to Offering</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92"/>
              </w:rPr>
              <w:t>After Offering</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040" w:type="dxa"/>
            <w:vAlign w:val="bottom"/>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40" w:type="dxa"/>
            <w:vAlign w:val="bottom"/>
          </w:tcPr>
          <w:p>
            <w:pPr>
              <w:spacing w:after="0"/>
              <w:rPr>
                <w:sz w:val="18"/>
                <w:szCs w:val="18"/>
                <w:color w:val="auto"/>
              </w:rPr>
            </w:pPr>
          </w:p>
        </w:tc>
        <w:tc>
          <w:tcPr>
            <w:tcW w:w="1460" w:type="dxa"/>
            <w:vAlign w:val="bottom"/>
            <w:gridSpan w:val="3"/>
          </w:tcPr>
          <w:p>
            <w:pPr>
              <w:jc w:val="center"/>
              <w:ind w:left="370"/>
              <w:spacing w:after="0"/>
              <w:rPr>
                <w:sz w:val="20"/>
                <w:szCs w:val="20"/>
                <w:color w:val="auto"/>
              </w:rPr>
            </w:pPr>
            <w:r>
              <w:rPr>
                <w:rFonts w:ascii="Arial" w:cs="Arial" w:eastAsia="Arial" w:hAnsi="Arial"/>
                <w:sz w:val="13"/>
                <w:szCs w:val="13"/>
                <w:b w:val="1"/>
                <w:bCs w:val="1"/>
                <w:color w:val="auto"/>
                <w:w w:val="87"/>
              </w:rPr>
              <w:t>Class A Common</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center"/>
              <w:ind w:left="353"/>
              <w:spacing w:after="0"/>
              <w:rPr>
                <w:sz w:val="20"/>
                <w:szCs w:val="20"/>
                <w:color w:val="auto"/>
              </w:rPr>
            </w:pPr>
            <w:r>
              <w:rPr>
                <w:rFonts w:ascii="Arial" w:cs="Arial" w:eastAsia="Arial" w:hAnsi="Arial"/>
                <w:sz w:val="13"/>
                <w:szCs w:val="13"/>
                <w:b w:val="1"/>
                <w:bCs w:val="1"/>
                <w:color w:val="auto"/>
                <w:w w:val="87"/>
              </w:rPr>
              <w:t>Class B Common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40" w:type="dxa"/>
            <w:vAlign w:val="bottom"/>
          </w:tcPr>
          <w:p>
            <w:pPr>
              <w:spacing w:after="0"/>
              <w:rPr>
                <w:sz w:val="14"/>
                <w:szCs w:val="14"/>
                <w:color w:val="auto"/>
              </w:rPr>
            </w:pPr>
          </w:p>
        </w:tc>
        <w:tc>
          <w:tcPr>
            <w:tcW w:w="1460" w:type="dxa"/>
            <w:vAlign w:val="bottom"/>
            <w:gridSpan w:val="3"/>
          </w:tcPr>
          <w:p>
            <w:pPr>
              <w:jc w:val="center"/>
              <w:ind w:left="410"/>
              <w:spacing w:after="0"/>
              <w:rPr>
                <w:sz w:val="20"/>
                <w:szCs w:val="20"/>
                <w:color w:val="auto"/>
              </w:rPr>
            </w:pPr>
            <w:r>
              <w:rPr>
                <w:rFonts w:ascii="Arial" w:cs="Arial" w:eastAsia="Arial" w:hAnsi="Arial"/>
                <w:sz w:val="13"/>
                <w:szCs w:val="13"/>
                <w:b w:val="1"/>
                <w:bCs w:val="1"/>
                <w:color w:val="auto"/>
                <w:w w:val="84"/>
              </w:rPr>
              <w:t>Stock</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center"/>
              <w:ind w:left="393"/>
              <w:spacing w:after="0"/>
              <w:rPr>
                <w:sz w:val="20"/>
                <w:szCs w:val="20"/>
                <w:color w:val="auto"/>
              </w:rPr>
            </w:pPr>
            <w:r>
              <w:rPr>
                <w:rFonts w:ascii="Arial" w:cs="Arial" w:eastAsia="Arial" w:hAnsi="Arial"/>
                <w:sz w:val="13"/>
                <w:szCs w:val="13"/>
                <w:b w:val="1"/>
                <w:bCs w:val="1"/>
                <w:color w:val="auto"/>
                <w:w w:val="84"/>
              </w:rPr>
              <w:t>Stock</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3"/>
              </w:rPr>
              <w:t>% of Total</w:t>
            </w:r>
          </w:p>
        </w:tc>
        <w:tc>
          <w:tcPr>
            <w:tcW w:w="1740" w:type="dxa"/>
            <w:vAlign w:val="bottom"/>
            <w:gridSpan w:val="4"/>
          </w:tcPr>
          <w:p>
            <w:pPr>
              <w:ind w:left="180"/>
              <w:spacing w:after="0"/>
              <w:rPr>
                <w:sz w:val="20"/>
                <w:szCs w:val="20"/>
                <w:color w:val="auto"/>
              </w:rPr>
            </w:pPr>
            <w:r>
              <w:rPr>
                <w:rFonts w:ascii="Arial" w:cs="Arial" w:eastAsia="Arial" w:hAnsi="Arial"/>
                <w:sz w:val="13"/>
                <w:szCs w:val="13"/>
                <w:b w:val="1"/>
                <w:bCs w:val="1"/>
                <w:color w:val="auto"/>
              </w:rPr>
              <w:t>Class A Common Stock</w:t>
            </w:r>
          </w:p>
        </w:tc>
        <w:tc>
          <w:tcPr>
            <w:tcW w:w="1620" w:type="dxa"/>
            <w:vAlign w:val="bottom"/>
            <w:gridSpan w:val="4"/>
          </w:tcPr>
          <w:p>
            <w:pPr>
              <w:jc w:val="right"/>
              <w:ind w:right="117"/>
              <w:spacing w:after="0"/>
              <w:rPr>
                <w:sz w:val="20"/>
                <w:szCs w:val="20"/>
                <w:color w:val="auto"/>
              </w:rPr>
            </w:pPr>
            <w:r>
              <w:rPr>
                <w:rFonts w:ascii="Arial" w:cs="Arial" w:eastAsia="Arial" w:hAnsi="Arial"/>
                <w:sz w:val="13"/>
                <w:szCs w:val="13"/>
                <w:b w:val="1"/>
                <w:bCs w:val="1"/>
                <w:color w:val="auto"/>
                <w:w w:val="96"/>
              </w:rPr>
              <w:t>Class B Common Stock</w:t>
            </w:r>
          </w:p>
        </w:tc>
        <w:tc>
          <w:tcPr>
            <w:tcW w:w="10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 of Total</w:t>
            </w:r>
          </w:p>
        </w:tc>
        <w:tc>
          <w:tcPr>
            <w:tcW w:w="0" w:type="dxa"/>
            <w:vAlign w:val="bottom"/>
          </w:tcPr>
          <w:p>
            <w:pPr>
              <w:spacing w:after="0"/>
              <w:rPr>
                <w:sz w:val="1"/>
                <w:szCs w:val="1"/>
                <w:color w:val="auto"/>
              </w:rPr>
            </w:pPr>
          </w:p>
        </w:tc>
      </w:tr>
      <w:tr>
        <w:trPr>
          <w:trHeight w:val="29"/>
        </w:trPr>
        <w:tc>
          <w:tcPr>
            <w:tcW w:w="20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rPr>
                <w:sz w:val="20"/>
                <w:szCs w:val="20"/>
                <w:color w:val="auto"/>
              </w:rPr>
            </w:pPr>
            <w:r>
              <w:rPr>
                <w:rFonts w:ascii="Arial" w:cs="Arial" w:eastAsia="Arial" w:hAnsi="Arial"/>
                <w:sz w:val="13"/>
                <w:szCs w:val="13"/>
                <w:b w:val="1"/>
                <w:bCs w:val="1"/>
                <w:color w:val="auto"/>
              </w:rPr>
              <w:t>Name of Beneficial Owner</w:t>
            </w:r>
          </w:p>
        </w:tc>
        <w:tc>
          <w:tcPr>
            <w:tcW w:w="1460" w:type="dxa"/>
            <w:vAlign w:val="bottom"/>
            <w:gridSpan w:val="3"/>
          </w:tcPr>
          <w:p>
            <w:pPr>
              <w:ind w:left="360"/>
              <w:spacing w:after="0"/>
              <w:rPr>
                <w:sz w:val="20"/>
                <w:szCs w:val="20"/>
                <w:color w:val="auto"/>
              </w:rPr>
            </w:pPr>
            <w:r>
              <w:rPr>
                <w:rFonts w:ascii="Arial" w:cs="Arial" w:eastAsia="Arial" w:hAnsi="Arial"/>
                <w:sz w:val="13"/>
                <w:szCs w:val="13"/>
                <w:b w:val="1"/>
                <w:bCs w:val="1"/>
                <w:color w:val="auto"/>
              </w:rPr>
              <w:t>Shares</w:t>
            </w:r>
          </w:p>
        </w:tc>
        <w:tc>
          <w:tcPr>
            <w:tcW w:w="480" w:type="dxa"/>
            <w:vAlign w:val="bottom"/>
          </w:tcPr>
          <w:p>
            <w:pPr>
              <w:jc w:val="right"/>
              <w:ind w:right="25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1440" w:type="dxa"/>
            <w:vAlign w:val="bottom"/>
            <w:gridSpan w:val="3"/>
          </w:tcPr>
          <w:p>
            <w:pPr>
              <w:ind w:left="340"/>
              <w:spacing w:after="0"/>
              <w:rPr>
                <w:sz w:val="20"/>
                <w:szCs w:val="20"/>
                <w:color w:val="auto"/>
              </w:rPr>
            </w:pPr>
            <w:r>
              <w:rPr>
                <w:rFonts w:ascii="Arial" w:cs="Arial" w:eastAsia="Arial" w:hAnsi="Arial"/>
                <w:sz w:val="13"/>
                <w:szCs w:val="13"/>
                <w:b w:val="1"/>
                <w:bCs w:val="1"/>
                <w:color w:val="auto"/>
              </w:rPr>
              <w:t>Shares</w:t>
            </w:r>
          </w:p>
        </w:tc>
        <w:tc>
          <w:tcPr>
            <w:tcW w:w="460" w:type="dxa"/>
            <w:vAlign w:val="bottom"/>
          </w:tcPr>
          <w:p>
            <w:pPr>
              <w:jc w:val="right"/>
              <w:ind w:right="229"/>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Voting Power</w:t>
            </w:r>
          </w:p>
        </w:tc>
        <w:tc>
          <w:tcPr>
            <w:tcW w:w="880" w:type="dxa"/>
            <w:vAlign w:val="bottom"/>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760" w:type="dxa"/>
            <w:vAlign w:val="bottom"/>
          </w:tcPr>
          <w:p>
            <w:pPr>
              <w:jc w:val="right"/>
              <w:ind w:right="257"/>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114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2"/>
              </w:rPr>
              <w:t>Shares</w:t>
            </w:r>
          </w:p>
        </w:tc>
        <w:tc>
          <w:tcPr>
            <w:tcW w:w="480" w:type="dxa"/>
            <w:vAlign w:val="bottom"/>
          </w:tcPr>
          <w:p>
            <w:pPr>
              <w:jc w:val="right"/>
              <w:ind w:right="257"/>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6"/>
              </w:rPr>
              <w:t>Voting Power</w:t>
            </w:r>
          </w:p>
        </w:tc>
        <w:tc>
          <w:tcPr>
            <w:tcW w:w="0" w:type="dxa"/>
            <w:vAlign w:val="bottom"/>
          </w:tcPr>
          <w:p>
            <w:pPr>
              <w:spacing w:after="0"/>
              <w:rPr>
                <w:sz w:val="1"/>
                <w:szCs w:val="1"/>
                <w:color w:val="auto"/>
              </w:rPr>
            </w:pPr>
          </w:p>
        </w:tc>
      </w:tr>
      <w:tr>
        <w:trPr>
          <w:trHeight w:val="29"/>
        </w:trPr>
        <w:tc>
          <w:tcPr>
            <w:tcW w:w="20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5% Stockholders</w:t>
            </w:r>
          </w:p>
        </w:tc>
        <w:tc>
          <w:tcPr>
            <w:tcW w:w="10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20"/>
              <w:spacing w:after="0"/>
              <w:rPr>
                <w:sz w:val="20"/>
                <w:szCs w:val="20"/>
                <w:color w:val="auto"/>
              </w:rPr>
            </w:pPr>
            <w:r>
              <w:rPr>
                <w:rFonts w:ascii="Arial" w:cs="Arial" w:eastAsia="Arial" w:hAnsi="Arial"/>
                <w:sz w:val="14"/>
                <w:szCs w:val="14"/>
                <w:color w:val="auto"/>
              </w:rPr>
              <w:t>Innovius Capital Sirius I L.P.</w:t>
            </w:r>
            <w:r>
              <w:rPr>
                <w:rFonts w:ascii="Arial" w:cs="Arial" w:eastAsia="Arial" w:hAnsi="Arial"/>
                <w:sz w:val="18"/>
                <w:szCs w:val="18"/>
                <w:color w:val="auto"/>
                <w:vertAlign w:val="superscript"/>
              </w:rPr>
              <w:t>(1)</w:t>
            </w:r>
          </w:p>
        </w:tc>
        <w:tc>
          <w:tcPr>
            <w:tcW w:w="1080" w:type="dxa"/>
            <w:vAlign w:val="bottom"/>
          </w:tcPr>
          <w:p>
            <w:pPr>
              <w:jc w:val="right"/>
              <w:spacing w:after="0"/>
              <w:rPr>
                <w:sz w:val="20"/>
                <w:szCs w:val="20"/>
                <w:color w:val="auto"/>
              </w:rPr>
            </w:pPr>
            <w:r>
              <w:rPr>
                <w:rFonts w:ascii="Arial" w:cs="Arial" w:eastAsia="Arial" w:hAnsi="Arial"/>
                <w:sz w:val="14"/>
                <w:szCs w:val="14"/>
                <w:color w:val="auto"/>
              </w:rPr>
              <w:t>10,418,748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jc w:val="center"/>
              <w:ind w:left="129"/>
              <w:spacing w:after="0"/>
              <w:rPr>
                <w:sz w:val="20"/>
                <w:szCs w:val="20"/>
                <w:color w:val="auto"/>
              </w:rPr>
            </w:pPr>
            <w:r>
              <w:rPr>
                <w:rFonts w:ascii="Arial" w:cs="Arial" w:eastAsia="Arial" w:hAnsi="Arial"/>
                <w:sz w:val="14"/>
                <w:szCs w:val="14"/>
                <w:color w:val="auto"/>
                <w:w w:val="99"/>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Institutional Venture Partners XIV</w:t>
            </w: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L.P.</w:t>
            </w:r>
            <w:r>
              <w:rPr>
                <w:rFonts w:ascii="Arial" w:cs="Arial" w:eastAsia="Arial" w:hAnsi="Arial"/>
                <w:sz w:val="18"/>
                <w:szCs w:val="18"/>
                <w:color w:val="auto"/>
                <w:vertAlign w:val="superscript"/>
              </w:rPr>
              <w:t>(2)</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8,909,082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center"/>
              <w:ind w:left="129"/>
              <w:spacing w:after="0"/>
              <w:rPr>
                <w:sz w:val="20"/>
                <w:szCs w:val="20"/>
                <w:color w:val="auto"/>
              </w:rPr>
            </w:pPr>
            <w:r>
              <w:rPr>
                <w:rFonts w:ascii="Arial" w:cs="Arial" w:eastAsia="Arial" w:hAnsi="Arial"/>
                <w:sz w:val="14"/>
                <w:szCs w:val="14"/>
                <w:color w:val="auto"/>
                <w:w w:val="9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20"/>
              <w:spacing w:after="0"/>
              <w:rPr>
                <w:sz w:val="20"/>
                <w:szCs w:val="20"/>
                <w:color w:val="auto"/>
              </w:rPr>
            </w:pPr>
            <w:r>
              <w:rPr>
                <w:rFonts w:ascii="Arial" w:cs="Arial" w:eastAsia="Arial" w:hAnsi="Arial"/>
                <w:sz w:val="14"/>
                <w:szCs w:val="14"/>
                <w:color w:val="auto"/>
              </w:rPr>
              <w:t xml:space="preserve">RRE Ventures </w:t>
            </w:r>
            <w:r>
              <w:rPr>
                <w:rFonts w:ascii="Arial" w:cs="Arial" w:eastAsia="Arial" w:hAnsi="Arial"/>
                <w:sz w:val="18"/>
                <w:szCs w:val="18"/>
                <w:color w:val="auto"/>
                <w:vertAlign w:val="superscript"/>
              </w:rPr>
              <w:t>(3)</w:t>
            </w:r>
          </w:p>
        </w:tc>
        <w:tc>
          <w:tcPr>
            <w:tcW w:w="1080" w:type="dxa"/>
            <w:vAlign w:val="bottom"/>
          </w:tcPr>
          <w:p>
            <w:pPr>
              <w:jc w:val="right"/>
              <w:spacing w:after="0"/>
              <w:rPr>
                <w:sz w:val="20"/>
                <w:szCs w:val="20"/>
                <w:color w:val="auto"/>
              </w:rPr>
            </w:pPr>
            <w:r>
              <w:rPr>
                <w:rFonts w:ascii="Arial" w:cs="Arial" w:eastAsia="Arial" w:hAnsi="Arial"/>
                <w:sz w:val="14"/>
                <w:szCs w:val="14"/>
                <w:color w:val="auto"/>
              </w:rPr>
              <w:t>3,340,905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jc w:val="center"/>
              <w:ind w:left="129"/>
              <w:spacing w:after="0"/>
              <w:rPr>
                <w:sz w:val="20"/>
                <w:szCs w:val="20"/>
                <w:color w:val="auto"/>
              </w:rPr>
            </w:pPr>
            <w:r>
              <w:rPr>
                <w:rFonts w:ascii="Arial" w:cs="Arial" w:eastAsia="Arial" w:hAnsi="Arial"/>
                <w:sz w:val="14"/>
                <w:szCs w:val="14"/>
                <w:color w:val="auto"/>
                <w:w w:val="99"/>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iGlobe Partners </w:t>
            </w:r>
            <w:r>
              <w:rPr>
                <w:rFonts w:ascii="Arial" w:cs="Arial" w:eastAsia="Arial" w:hAnsi="Arial"/>
                <w:sz w:val="18"/>
                <w:szCs w:val="18"/>
                <w:color w:val="auto"/>
                <w:vertAlign w:val="superscript"/>
              </w:rPr>
              <w:t>(4)</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3,085,063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center"/>
              <w:ind w:left="129"/>
              <w:spacing w:after="0"/>
              <w:rPr>
                <w:sz w:val="20"/>
                <w:szCs w:val="20"/>
                <w:color w:val="auto"/>
              </w:rPr>
            </w:pPr>
            <w:r>
              <w:rPr>
                <w:rFonts w:ascii="Arial" w:cs="Arial" w:eastAsia="Arial" w:hAnsi="Arial"/>
                <w:sz w:val="14"/>
                <w:szCs w:val="14"/>
                <w:color w:val="auto"/>
                <w:w w:val="9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20"/>
              <w:spacing w:after="0"/>
              <w:rPr>
                <w:sz w:val="20"/>
                <w:szCs w:val="20"/>
                <w:color w:val="auto"/>
              </w:rPr>
            </w:pPr>
            <w:r>
              <w:rPr>
                <w:rFonts w:ascii="Arial" w:cs="Arial" w:eastAsia="Arial" w:hAnsi="Arial"/>
                <w:sz w:val="14"/>
                <w:szCs w:val="14"/>
                <w:color w:val="auto"/>
              </w:rPr>
              <w:t xml:space="preserve">Dan Yoo </w:t>
            </w:r>
            <w:r>
              <w:rPr>
                <w:rFonts w:ascii="Arial" w:cs="Arial" w:eastAsia="Arial" w:hAnsi="Arial"/>
                <w:sz w:val="18"/>
                <w:szCs w:val="18"/>
                <w:color w:val="auto"/>
                <w:vertAlign w:val="superscript"/>
              </w:rPr>
              <w:t>(5)</w:t>
            </w:r>
          </w:p>
        </w:tc>
        <w:tc>
          <w:tcPr>
            <w:tcW w:w="1080" w:type="dxa"/>
            <w:vAlign w:val="bottom"/>
          </w:tcPr>
          <w:p>
            <w:pPr>
              <w:jc w:val="right"/>
              <w:spacing w:after="0"/>
              <w:rPr>
                <w:sz w:val="20"/>
                <w:szCs w:val="20"/>
                <w:color w:val="auto"/>
              </w:rPr>
            </w:pPr>
            <w:r>
              <w:rPr>
                <w:rFonts w:ascii="Arial" w:cs="Arial" w:eastAsia="Arial" w:hAnsi="Arial"/>
                <w:sz w:val="14"/>
                <w:szCs w:val="14"/>
                <w:color w:val="auto"/>
              </w:rPr>
              <w:t>2,650,000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jc w:val="center"/>
              <w:ind w:left="129"/>
              <w:spacing w:after="0"/>
              <w:rPr>
                <w:sz w:val="20"/>
                <w:szCs w:val="20"/>
                <w:color w:val="auto"/>
              </w:rPr>
            </w:pPr>
            <w:r>
              <w:rPr>
                <w:rFonts w:ascii="Arial" w:cs="Arial" w:eastAsia="Arial" w:hAnsi="Arial"/>
                <w:sz w:val="14"/>
                <w:szCs w:val="14"/>
                <w:color w:val="auto"/>
                <w:w w:val="99"/>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Directors and Named Executive</w:t>
            </w: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Officers</w:t>
            </w:r>
          </w:p>
        </w:tc>
        <w:tc>
          <w:tcPr>
            <w:tcW w:w="10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20"/>
              <w:spacing w:after="0"/>
              <w:rPr>
                <w:sz w:val="20"/>
                <w:szCs w:val="20"/>
                <w:color w:val="auto"/>
              </w:rPr>
            </w:pPr>
            <w:r>
              <w:rPr>
                <w:rFonts w:ascii="Arial" w:cs="Arial" w:eastAsia="Arial" w:hAnsi="Arial"/>
                <w:sz w:val="14"/>
                <w:szCs w:val="14"/>
                <w:color w:val="auto"/>
              </w:rPr>
              <w:t xml:space="preserve">Tim Chen </w:t>
            </w:r>
            <w:r>
              <w:rPr>
                <w:rFonts w:ascii="Arial" w:cs="Arial" w:eastAsia="Arial" w:hAnsi="Arial"/>
                <w:sz w:val="18"/>
                <w:szCs w:val="18"/>
                <w:color w:val="auto"/>
                <w:vertAlign w:val="superscript"/>
              </w:rPr>
              <w:t>(6)</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63,371,308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jc w:val="center"/>
              <w:ind w:left="169"/>
              <w:spacing w:after="0"/>
              <w:rPr>
                <w:sz w:val="20"/>
                <w:szCs w:val="20"/>
                <w:color w:val="auto"/>
              </w:rPr>
            </w:pPr>
            <w:r>
              <w:rPr>
                <w:rFonts w:ascii="Arial" w:cs="Arial" w:eastAsia="Arial" w:hAnsi="Arial"/>
                <w:sz w:val="14"/>
                <w:szCs w:val="14"/>
                <w:color w:val="auto"/>
                <w:w w:val="94"/>
              </w:rPr>
              <w:t>100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92.6</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Lauren StClair </w:t>
            </w:r>
            <w:r>
              <w:rPr>
                <w:rFonts w:ascii="Arial" w:cs="Arial" w:eastAsia="Arial" w:hAnsi="Arial"/>
                <w:sz w:val="18"/>
                <w:szCs w:val="18"/>
                <w:color w:val="auto"/>
                <w:vertAlign w:val="superscript"/>
              </w:rPr>
              <w:t>(7)</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630,000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center"/>
              <w:ind w:left="129"/>
              <w:spacing w:after="0"/>
              <w:rPr>
                <w:sz w:val="20"/>
                <w:szCs w:val="20"/>
                <w:color w:val="auto"/>
              </w:rPr>
            </w:pPr>
            <w:r>
              <w:rPr>
                <w:rFonts w:ascii="Arial" w:cs="Arial" w:eastAsia="Arial" w:hAnsi="Arial"/>
                <w:sz w:val="14"/>
                <w:szCs w:val="14"/>
                <w:color w:val="auto"/>
                <w:w w:val="9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20"/>
              <w:spacing w:after="0"/>
              <w:rPr>
                <w:sz w:val="20"/>
                <w:szCs w:val="20"/>
                <w:color w:val="auto"/>
              </w:rPr>
            </w:pPr>
            <w:r>
              <w:rPr>
                <w:rFonts w:ascii="Arial" w:cs="Arial" w:eastAsia="Arial" w:hAnsi="Arial"/>
                <w:sz w:val="14"/>
                <w:szCs w:val="14"/>
                <w:color w:val="auto"/>
              </w:rPr>
              <w:t xml:space="preserve">Kevin Yuann </w:t>
            </w:r>
            <w:r>
              <w:rPr>
                <w:rFonts w:ascii="Arial" w:cs="Arial" w:eastAsia="Arial" w:hAnsi="Arial"/>
                <w:sz w:val="18"/>
                <w:szCs w:val="18"/>
                <w:color w:val="auto"/>
                <w:vertAlign w:val="superscript"/>
              </w:rPr>
              <w:t>(8)</w:t>
            </w:r>
          </w:p>
        </w:tc>
        <w:tc>
          <w:tcPr>
            <w:tcW w:w="1080" w:type="dxa"/>
            <w:vAlign w:val="bottom"/>
          </w:tcPr>
          <w:p>
            <w:pPr>
              <w:jc w:val="right"/>
              <w:spacing w:after="0"/>
              <w:rPr>
                <w:sz w:val="20"/>
                <w:szCs w:val="20"/>
                <w:color w:val="auto"/>
              </w:rPr>
            </w:pPr>
            <w:r>
              <w:rPr>
                <w:rFonts w:ascii="Arial" w:cs="Arial" w:eastAsia="Arial" w:hAnsi="Arial"/>
                <w:sz w:val="14"/>
                <w:szCs w:val="14"/>
                <w:color w:val="auto"/>
              </w:rPr>
              <w:t>673,871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jc w:val="center"/>
              <w:ind w:left="129"/>
              <w:spacing w:after="0"/>
              <w:rPr>
                <w:sz w:val="20"/>
                <w:szCs w:val="20"/>
                <w:color w:val="auto"/>
              </w:rPr>
            </w:pPr>
            <w:r>
              <w:rPr>
                <w:rFonts w:ascii="Arial" w:cs="Arial" w:eastAsia="Arial" w:hAnsi="Arial"/>
                <w:sz w:val="14"/>
                <w:szCs w:val="14"/>
                <w:color w:val="auto"/>
                <w:w w:val="99"/>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Laura Onopchenko </w:t>
            </w:r>
            <w:r>
              <w:rPr>
                <w:rFonts w:ascii="Arial" w:cs="Arial" w:eastAsia="Arial" w:hAnsi="Arial"/>
                <w:sz w:val="18"/>
                <w:szCs w:val="18"/>
                <w:color w:val="auto"/>
                <w:vertAlign w:val="superscript"/>
              </w:rPr>
              <w:t>(9)</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585,713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center"/>
              <w:ind w:left="129"/>
              <w:spacing w:after="0"/>
              <w:rPr>
                <w:sz w:val="20"/>
                <w:szCs w:val="20"/>
                <w:color w:val="auto"/>
              </w:rPr>
            </w:pPr>
            <w:r>
              <w:rPr>
                <w:rFonts w:ascii="Arial" w:cs="Arial" w:eastAsia="Arial" w:hAnsi="Arial"/>
                <w:sz w:val="14"/>
                <w:szCs w:val="14"/>
                <w:color w:val="auto"/>
                <w:w w:val="9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40" w:type="dxa"/>
            <w:vAlign w:val="bottom"/>
          </w:tcPr>
          <w:p>
            <w:pPr>
              <w:ind w:left="20"/>
              <w:spacing w:after="0"/>
              <w:rPr>
                <w:sz w:val="20"/>
                <w:szCs w:val="20"/>
                <w:color w:val="auto"/>
              </w:rPr>
            </w:pPr>
            <w:r>
              <w:rPr>
                <w:rFonts w:ascii="Arial" w:cs="Arial" w:eastAsia="Arial" w:hAnsi="Arial"/>
                <w:sz w:val="14"/>
                <w:szCs w:val="14"/>
                <w:color w:val="auto"/>
              </w:rPr>
              <w:t>Thomas Loverro</w:t>
            </w:r>
          </w:p>
        </w:tc>
        <w:tc>
          <w:tcPr>
            <w:tcW w:w="146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jc w:val="center"/>
              <w:ind w:left="129"/>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James D. Robinson III </w:t>
            </w:r>
            <w:r>
              <w:rPr>
                <w:rFonts w:ascii="Arial" w:cs="Arial" w:eastAsia="Arial" w:hAnsi="Arial"/>
                <w:sz w:val="18"/>
                <w:szCs w:val="18"/>
                <w:color w:val="auto"/>
                <w:vertAlign w:val="superscript"/>
              </w:rPr>
              <w:t>(3)</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3,340,905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center"/>
              <w:ind w:left="129"/>
              <w:spacing w:after="0"/>
              <w:rPr>
                <w:sz w:val="20"/>
                <w:szCs w:val="20"/>
                <w:color w:val="auto"/>
              </w:rPr>
            </w:pPr>
            <w:r>
              <w:rPr>
                <w:rFonts w:ascii="Arial" w:cs="Arial" w:eastAsia="Arial" w:hAnsi="Arial"/>
                <w:sz w:val="14"/>
                <w:szCs w:val="14"/>
                <w:color w:val="auto"/>
                <w:w w:val="9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20"/>
              <w:spacing w:after="0"/>
              <w:rPr>
                <w:sz w:val="20"/>
                <w:szCs w:val="20"/>
                <w:color w:val="auto"/>
              </w:rPr>
            </w:pPr>
            <w:r>
              <w:rPr>
                <w:rFonts w:ascii="Arial" w:cs="Arial" w:eastAsia="Arial" w:hAnsi="Arial"/>
                <w:sz w:val="14"/>
                <w:szCs w:val="14"/>
                <w:color w:val="auto"/>
              </w:rPr>
              <w:t xml:space="preserve">Jennifer Ceran </w:t>
            </w:r>
            <w:r>
              <w:rPr>
                <w:rFonts w:ascii="Arial" w:cs="Arial" w:eastAsia="Arial" w:hAnsi="Arial"/>
                <w:sz w:val="18"/>
                <w:szCs w:val="18"/>
                <w:color w:val="auto"/>
                <w:vertAlign w:val="superscript"/>
              </w:rPr>
              <w:t>(10)</w:t>
            </w:r>
          </w:p>
        </w:tc>
        <w:tc>
          <w:tcPr>
            <w:tcW w:w="1080" w:type="dxa"/>
            <w:vAlign w:val="bottom"/>
          </w:tcPr>
          <w:p>
            <w:pPr>
              <w:jc w:val="right"/>
              <w:spacing w:after="0"/>
              <w:rPr>
                <w:sz w:val="20"/>
                <w:szCs w:val="20"/>
                <w:color w:val="auto"/>
              </w:rPr>
            </w:pPr>
            <w:r>
              <w:rPr>
                <w:rFonts w:ascii="Arial" w:cs="Arial" w:eastAsia="Arial" w:hAnsi="Arial"/>
                <w:sz w:val="14"/>
                <w:szCs w:val="14"/>
                <w:color w:val="auto"/>
              </w:rPr>
              <w:t>240,000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jc w:val="center"/>
              <w:ind w:left="129"/>
              <w:spacing w:after="0"/>
              <w:rPr>
                <w:sz w:val="20"/>
                <w:szCs w:val="20"/>
                <w:color w:val="auto"/>
              </w:rPr>
            </w:pPr>
            <w:r>
              <w:rPr>
                <w:rFonts w:ascii="Arial" w:cs="Arial" w:eastAsia="Arial" w:hAnsi="Arial"/>
                <w:sz w:val="14"/>
                <w:szCs w:val="14"/>
                <w:color w:val="auto"/>
                <w:w w:val="99"/>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Lynne Laube </w:t>
            </w:r>
            <w:r>
              <w:rPr>
                <w:rFonts w:ascii="Arial" w:cs="Arial" w:eastAsia="Arial" w:hAnsi="Arial"/>
                <w:sz w:val="18"/>
                <w:szCs w:val="18"/>
                <w:color w:val="auto"/>
                <w:vertAlign w:val="superscript"/>
              </w:rPr>
              <w:t>(10)</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240,000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center"/>
              <w:ind w:left="129"/>
              <w:spacing w:after="0"/>
              <w:rPr>
                <w:sz w:val="20"/>
                <w:szCs w:val="20"/>
                <w:color w:val="auto"/>
              </w:rPr>
            </w:pPr>
            <w:r>
              <w:rPr>
                <w:rFonts w:ascii="Arial" w:cs="Arial" w:eastAsia="Arial" w:hAnsi="Arial"/>
                <w:sz w:val="14"/>
                <w:szCs w:val="14"/>
                <w:color w:val="auto"/>
                <w:w w:val="9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40" w:type="dxa"/>
            <w:vAlign w:val="bottom"/>
          </w:tcPr>
          <w:p>
            <w:pPr>
              <w:ind w:left="20"/>
              <w:spacing w:after="0"/>
              <w:rPr>
                <w:sz w:val="20"/>
                <w:szCs w:val="20"/>
                <w:color w:val="auto"/>
              </w:rPr>
            </w:pPr>
            <w:r>
              <w:rPr>
                <w:rFonts w:ascii="Arial" w:cs="Arial" w:eastAsia="Arial" w:hAnsi="Arial"/>
                <w:sz w:val="14"/>
                <w:szCs w:val="14"/>
                <w:color w:val="auto"/>
              </w:rPr>
              <w:t>All directors and executive</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40" w:type="dxa"/>
            <w:vAlign w:val="bottom"/>
          </w:tcPr>
          <w:p>
            <w:pPr>
              <w:ind w:left="180"/>
              <w:spacing w:after="0" w:line="167" w:lineRule="exact"/>
              <w:rPr>
                <w:sz w:val="20"/>
                <w:szCs w:val="20"/>
                <w:color w:val="auto"/>
              </w:rPr>
            </w:pPr>
            <w:r>
              <w:rPr>
                <w:rFonts w:ascii="Arial" w:cs="Arial" w:eastAsia="Arial" w:hAnsi="Arial"/>
                <w:sz w:val="14"/>
                <w:szCs w:val="14"/>
                <w:color w:val="auto"/>
              </w:rPr>
              <w:t xml:space="preserve">officers as a group </w:t>
            </w:r>
            <w:r>
              <w:rPr>
                <w:rFonts w:ascii="Arial" w:cs="Arial" w:eastAsia="Arial" w:hAnsi="Arial"/>
                <w:sz w:val="18"/>
                <w:szCs w:val="18"/>
                <w:color w:val="auto"/>
                <w:vertAlign w:val="superscript"/>
              </w:rPr>
              <w:t>(11)</w:t>
            </w:r>
            <w:r>
              <w:rPr>
                <w:rFonts w:ascii="Arial" w:cs="Arial" w:eastAsia="Arial" w:hAnsi="Arial"/>
                <w:sz w:val="14"/>
                <w:szCs w:val="14"/>
                <w:color w:val="auto"/>
              </w:rPr>
              <w:t xml:space="preserve"> (9</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40" w:type="dxa"/>
            <w:vAlign w:val="bottom"/>
          </w:tcPr>
          <w:p>
            <w:pPr>
              <w:ind w:left="180"/>
              <w:spacing w:after="0"/>
              <w:rPr>
                <w:sz w:val="20"/>
                <w:szCs w:val="20"/>
                <w:color w:val="auto"/>
              </w:rPr>
            </w:pPr>
            <w:r>
              <w:rPr>
                <w:rFonts w:ascii="Arial" w:cs="Arial" w:eastAsia="Arial" w:hAnsi="Arial"/>
                <w:sz w:val="14"/>
                <w:szCs w:val="14"/>
                <w:color w:val="auto"/>
              </w:rPr>
              <w:t>persons)</w:t>
            </w:r>
          </w:p>
        </w:tc>
        <w:tc>
          <w:tcPr>
            <w:tcW w:w="1080" w:type="dxa"/>
            <w:vAlign w:val="bottom"/>
          </w:tcPr>
          <w:p>
            <w:pPr>
              <w:jc w:val="right"/>
              <w:spacing w:after="0"/>
              <w:rPr>
                <w:sz w:val="20"/>
                <w:szCs w:val="20"/>
                <w:color w:val="auto"/>
              </w:rPr>
            </w:pPr>
            <w:r>
              <w:rPr>
                <w:rFonts w:ascii="Arial" w:cs="Arial" w:eastAsia="Arial" w:hAnsi="Arial"/>
                <w:sz w:val="14"/>
                <w:szCs w:val="14"/>
                <w:color w:val="auto"/>
              </w:rPr>
              <w:t>6,464,372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63,371,308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jc w:val="center"/>
              <w:ind w:left="169"/>
              <w:spacing w:after="0"/>
              <w:rPr>
                <w:sz w:val="20"/>
                <w:szCs w:val="20"/>
                <w:color w:val="auto"/>
              </w:rPr>
            </w:pPr>
            <w:r>
              <w:rPr>
                <w:rFonts w:ascii="Arial" w:cs="Arial" w:eastAsia="Arial" w:hAnsi="Arial"/>
                <w:sz w:val="14"/>
                <w:szCs w:val="14"/>
                <w:color w:val="auto"/>
                <w:w w:val="94"/>
              </w:rPr>
              <w:t>100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93.5</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17" w:lineRule="exact"/>
        <w:rPr>
          <w:sz w:val="20"/>
          <w:szCs w:val="20"/>
          <w:color w:val="auto"/>
        </w:rPr>
      </w:pPr>
    </w:p>
    <w:p>
      <w:pPr>
        <w:ind w:left="340" w:hanging="332"/>
        <w:spacing w:after="0"/>
        <w:tabs>
          <w:tab w:leader="none" w:pos="3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Represents beneficial ownership or voting power of less than 1%.</w:t>
      </w:r>
    </w:p>
    <w:p>
      <w:pPr>
        <w:spacing w:after="0" w:line="1" w:lineRule="exact"/>
        <w:rPr>
          <w:sz w:val="20"/>
          <w:szCs w:val="20"/>
          <w:color w:val="auto"/>
        </w:rPr>
      </w:pPr>
    </w:p>
    <w:p>
      <w:pPr>
        <w:jc w:val="both"/>
        <w:ind w:left="340" w:hanging="332"/>
        <w:spacing w:after="0" w:line="241" w:lineRule="auto"/>
        <w:tabs>
          <w:tab w:leader="none" w:pos="332"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sole general partner of Innovius Capital Sirius I L.P. is Innovius Capital GP I, LLC. The sole managing director of Innovius Capital GP I, LLC is Justin Moore. Mr. Moore disclaims beneficial ownership of these securities except to the extent of his respective pecuniary interest therein. The address for this entity is: 2443 Fillmore Street, #380-14279, San Francisco, CA 94115.</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32" w:val="left"/>
        </w:tabs>
        <w:numPr>
          <w:ilvl w:val="0"/>
          <w:numId w:val="91"/>
        </w:numPr>
        <w:rPr>
          <w:rFonts w:ascii="Arial" w:cs="Arial" w:eastAsia="Arial" w:hAnsi="Arial"/>
          <w:sz w:val="14"/>
          <w:szCs w:val="14"/>
          <w:color w:val="auto"/>
        </w:rPr>
      </w:pPr>
      <w:r>
        <w:rPr>
          <w:rFonts w:ascii="Arial" w:cs="Arial" w:eastAsia="Arial" w:hAnsi="Arial"/>
          <w:sz w:val="14"/>
          <w:szCs w:val="14"/>
          <w:color w:val="auto"/>
        </w:rPr>
        <w:t>Institutional Venture Management XIV, LLC (”VM XIV” is the General Partner of IVP XIV). IVM XIV may be deemed to indirectly beneficially own the securities owned by IVP XIV. Norman A. Fogelsong, Stephen J. Harrick, Dennis B. Phelps, Jr., Todd C. Chaffee and J. Sanford Miller are Managing Directors of IVM XIV and each share voting and dispositive power over the securities held by IVP XIV. Each disclaims beneficial ownership of these securities except to the extent of his or its respective pecuniary interest therein. The address for this entity is: 3000 Sand Hill Road, Building 2, Suite 250, Menlo Park, CA 94025.</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32" w:val="left"/>
        </w:tabs>
        <w:numPr>
          <w:ilvl w:val="0"/>
          <w:numId w:val="91"/>
        </w:numPr>
        <w:rPr>
          <w:rFonts w:ascii="Arial" w:cs="Arial" w:eastAsia="Arial" w:hAnsi="Arial"/>
          <w:sz w:val="14"/>
          <w:szCs w:val="14"/>
          <w:color w:val="auto"/>
        </w:rPr>
      </w:pPr>
      <w:r>
        <w:rPr>
          <w:rFonts w:ascii="Arial" w:cs="Arial" w:eastAsia="Arial" w:hAnsi="Arial"/>
          <w:sz w:val="14"/>
          <w:szCs w:val="14"/>
          <w:color w:val="auto"/>
        </w:rPr>
        <w:t>Consists of (i) 2,227,270 shares of Class A common stock held by RRE Leaders Fund LP and (ii) 1,113,635 shares of Class A common stock held by RRE Ventures VI, LP. The sole general partner of RRE Leaders Fund LP is RRE Leaders GP, L.P. The sole general partner of RRE Ventures VI, LP is RRE Ventures GP 6, LP. The managing members and officers of these entities are James D. Robinson IV, Stuart J. Ellman, and William D. Porteous. Each of the foregoing persons disclaims beneficial ownership of these shares except to the extent of his pecuniary interest therein. The address of each of these entities is 150 East 59th Street, 17th Floor, New York, NY 10022.</w:t>
      </w:r>
    </w:p>
    <w:p>
      <w:pPr>
        <w:spacing w:after="0" w:line="1" w:lineRule="exact"/>
        <w:rPr>
          <w:rFonts w:ascii="Arial" w:cs="Arial" w:eastAsia="Arial" w:hAnsi="Arial"/>
          <w:sz w:val="14"/>
          <w:szCs w:val="14"/>
          <w:color w:val="auto"/>
        </w:rPr>
      </w:pPr>
    </w:p>
    <w:p>
      <w:pPr>
        <w:jc w:val="both"/>
        <w:ind w:left="340" w:hanging="332"/>
        <w:spacing w:after="0" w:line="260" w:lineRule="auto"/>
        <w:tabs>
          <w:tab w:leader="none" w:pos="332" w:val="left"/>
        </w:tabs>
        <w:numPr>
          <w:ilvl w:val="0"/>
          <w:numId w:val="91"/>
        </w:numPr>
        <w:rPr>
          <w:rFonts w:ascii="Arial" w:cs="Arial" w:eastAsia="Arial" w:hAnsi="Arial"/>
          <w:sz w:val="13"/>
          <w:szCs w:val="13"/>
          <w:color w:val="auto"/>
        </w:rPr>
      </w:pPr>
      <w:r>
        <w:rPr>
          <w:rFonts w:ascii="Arial" w:cs="Arial" w:eastAsia="Arial" w:hAnsi="Arial"/>
          <w:sz w:val="13"/>
          <w:szCs w:val="13"/>
          <w:color w:val="auto"/>
        </w:rPr>
        <w:t>Consists of (i) 1,288,657 shares of Class A common stock held by iGlobe Treasury Management Pte. Ltd., (ii) 1,082,120 shares of Class A common stock held by iGlobe Platinum Fund II Pte. Ltd., and (iii) 714,286 shares of Class A common stock held by iGlobe Platinum Fund III Limited. iGlobe Partners (II) Pte Ltd is the fund manager for each of iGlobe Platinum Fund II Pte. Ltd. and iGlobe Platinum Fund III Limited. The partners of iGlobe Partners (II) Pte Ltd are Yoke Sin Chong, Soo Boon Koh and Kah Joo Ng and each may be deemed to have voting and/or dispositive power over the shares held by iGlobe Platinum Fund II Pte. Ltd. and iGlobe Platinum Fund III Limited. Each of Yoke Sin Chong, Soo Boon Koh and Kah Joo Ng disclaims beneficial ownership of these securities except to the extent of her or his respective pecuniary interest therein. The shares held by iGlobe Treasury Management Pte. Ltd. are managed by a three-member board of directors comprised of Jer Luang Chan, Shihao Koh and Soo Boon Koh and each may be deemed to have voting and/or dispositive power over the shares held by iGlobe Treasury Management Pte. Ltd. Each of Jer Luang Chan, Shihao Koh and Soo Boon Koh disclaims beneficial ownership of these securities except to the extent of her or his respective pecuniary interest therein. The address for each of these entities is 11 Biopolis Way, #09-03 Helios, Singapore 138667.</w:t>
      </w:r>
    </w:p>
    <w:p>
      <w:pPr>
        <w:ind w:left="340" w:hanging="332"/>
        <w:spacing w:after="0" w:line="241" w:lineRule="auto"/>
        <w:tabs>
          <w:tab w:leader="none" w:pos="332" w:val="left"/>
        </w:tabs>
        <w:numPr>
          <w:ilvl w:val="0"/>
          <w:numId w:val="91"/>
        </w:numPr>
        <w:rPr>
          <w:rFonts w:ascii="Arial" w:cs="Arial" w:eastAsia="Arial" w:hAnsi="Arial"/>
          <w:sz w:val="14"/>
          <w:szCs w:val="14"/>
          <w:color w:val="auto"/>
        </w:rPr>
      </w:pPr>
      <w:r>
        <w:rPr>
          <w:rFonts w:ascii="Arial" w:cs="Arial" w:eastAsia="Arial" w:hAnsi="Arial"/>
          <w:sz w:val="14"/>
          <w:szCs w:val="14"/>
          <w:color w:val="auto"/>
        </w:rPr>
        <w:t>Consists of (i) 2,050,000 shares of Class A common stock held by Daniel Yoo, (ii) 300,000 shares of Class A common stock held by BSY Salt Castle Trust and (iii) 300,000 shares of Class A common stock held by PDY Salt Tower Trust.</w:t>
      </w:r>
    </w:p>
    <w:p>
      <w:pPr>
        <w:jc w:val="both"/>
        <w:ind w:left="340" w:hanging="332"/>
        <w:spacing w:after="0" w:line="246" w:lineRule="auto"/>
        <w:tabs>
          <w:tab w:leader="none" w:pos="332" w:val="left"/>
        </w:tabs>
        <w:numPr>
          <w:ilvl w:val="0"/>
          <w:numId w:val="91"/>
        </w:numPr>
        <w:rPr>
          <w:rFonts w:ascii="Arial" w:cs="Arial" w:eastAsia="Arial" w:hAnsi="Arial"/>
          <w:sz w:val="14"/>
          <w:szCs w:val="14"/>
          <w:color w:val="auto"/>
        </w:rPr>
      </w:pPr>
      <w:r>
        <w:rPr>
          <w:rFonts w:ascii="Arial" w:cs="Arial" w:eastAsia="Arial" w:hAnsi="Arial"/>
          <w:sz w:val="14"/>
          <w:szCs w:val="14"/>
          <w:color w:val="auto"/>
        </w:rPr>
        <w:t>Consists of (i) 28,624,874 shares of Class B common stock held by Tim Chen as Trustee of The Tim Chen Revocable Trust u/a/d 3/11/2016, (ii) 9,035,193 shares of Class B common stock held by Tim Chen, Trustee of The Seed Investor 2019 Annuity Trust u/a/d 8/19/2019, (iii) 8,811,441 shares of Class B common stock held by Tim Chen as Trustee of The Seed Investor Irrevocable Remainder Trust u/a/d 3/11/2016 and (iv) 16,900,000 shares of Class B common stock held by Tim Chen as Trustee of the Seed Investor 2021 Annuity Trust u/a/d 2/25/2021. The Special Trustee of the Seed Investor 2021 Annuity Trust u/a/d 2/25/2021, The Seed Investor 2019 Annuity Trust u/a/d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127</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39" w:lineRule="exact"/>
        <w:rPr>
          <w:sz w:val="20"/>
          <w:szCs w:val="20"/>
          <w:color w:val="auto"/>
        </w:rPr>
      </w:pPr>
    </w:p>
    <w:p>
      <w:pPr>
        <w:jc w:val="both"/>
        <w:ind w:left="332" w:right="20"/>
        <w:spacing w:after="0" w:line="247" w:lineRule="auto"/>
        <w:rPr>
          <w:sz w:val="20"/>
          <w:szCs w:val="20"/>
          <w:color w:val="auto"/>
        </w:rPr>
      </w:pPr>
      <w:r>
        <w:rPr>
          <w:rFonts w:ascii="Arial" w:cs="Arial" w:eastAsia="Arial" w:hAnsi="Arial"/>
          <w:sz w:val="14"/>
          <w:szCs w:val="14"/>
          <w:color w:val="auto"/>
        </w:rPr>
        <w:t>8/19/2019 and The Seed Investor Irrevocable Remainder Trust u/a/d 3/11/2016, Jessica Davis Mills, has sole voting power over the shares held in such trusts; provided that Mr. Chen, as grantor, may remove and replace the special trustee at any time. In addition, on May 25, 2021, Mr. Chen was granted an option to purchase 950,000 shares of Class A Common Stock, none of which were vested as of June 30, 2021.</w:t>
      </w:r>
    </w:p>
    <w:p>
      <w:pPr>
        <w:spacing w:after="0" w:line="1" w:lineRule="exact"/>
        <w:rPr>
          <w:sz w:val="20"/>
          <w:szCs w:val="20"/>
          <w:color w:val="auto"/>
        </w:rPr>
      </w:pPr>
    </w:p>
    <w:p>
      <w:pPr>
        <w:ind w:left="332" w:right="20" w:hanging="332"/>
        <w:spacing w:after="0" w:line="241" w:lineRule="auto"/>
        <w:tabs>
          <w:tab w:leader="none" w:pos="324" w:val="left"/>
        </w:tabs>
        <w:numPr>
          <w:ilvl w:val="0"/>
          <w:numId w:val="92"/>
        </w:numPr>
        <w:rPr>
          <w:rFonts w:ascii="Arial" w:cs="Arial" w:eastAsia="Arial" w:hAnsi="Arial"/>
          <w:sz w:val="14"/>
          <w:szCs w:val="14"/>
          <w:color w:val="auto"/>
        </w:rPr>
      </w:pPr>
      <w:r>
        <w:rPr>
          <w:rFonts w:ascii="Arial" w:cs="Arial" w:eastAsia="Arial" w:hAnsi="Arial"/>
          <w:sz w:val="14"/>
          <w:szCs w:val="14"/>
          <w:color w:val="auto"/>
        </w:rPr>
        <w:t>Consists of an option to purchase 630,000 shares of the Company’s Class A common stock granted subject to an early exercise provision and which shares are immediately exercisable, but none of which would be vested within 60 days of June 30, 2021.</w:t>
      </w:r>
    </w:p>
    <w:p>
      <w:pPr>
        <w:ind w:left="332" w:right="20" w:hanging="332"/>
        <w:spacing w:after="0" w:line="241" w:lineRule="auto"/>
        <w:tabs>
          <w:tab w:leader="none" w:pos="324" w:val="left"/>
        </w:tabs>
        <w:numPr>
          <w:ilvl w:val="0"/>
          <w:numId w:val="92"/>
        </w:numPr>
        <w:rPr>
          <w:rFonts w:ascii="Arial" w:cs="Arial" w:eastAsia="Arial" w:hAnsi="Arial"/>
          <w:sz w:val="14"/>
          <w:szCs w:val="14"/>
          <w:color w:val="auto"/>
        </w:rPr>
      </w:pPr>
      <w:r>
        <w:rPr>
          <w:rFonts w:ascii="Arial" w:cs="Arial" w:eastAsia="Arial" w:hAnsi="Arial"/>
          <w:sz w:val="14"/>
          <w:szCs w:val="14"/>
          <w:color w:val="auto"/>
        </w:rPr>
        <w:t>Consists of (i) various options to purchase an aggregate of 335,950 shares of the Company’s Class A common stock, all of which were granted subject to an early exercise provision and which shares are immediately exercisable, of which 172,474 would be vested within 60 days of June 30, 2021 and (ii) 337,921 shares of Class A common stock.</w:t>
      </w:r>
    </w:p>
    <w:p>
      <w:pPr>
        <w:ind w:left="312" w:hanging="312"/>
        <w:spacing w:after="0"/>
        <w:tabs>
          <w:tab w:leader="none" w:pos="312" w:val="left"/>
        </w:tabs>
        <w:numPr>
          <w:ilvl w:val="0"/>
          <w:numId w:val="92"/>
        </w:numPr>
        <w:rPr>
          <w:rFonts w:ascii="Arial" w:cs="Arial" w:eastAsia="Arial" w:hAnsi="Arial"/>
          <w:sz w:val="14"/>
          <w:szCs w:val="14"/>
          <w:color w:val="auto"/>
        </w:rPr>
      </w:pPr>
      <w:r>
        <w:rPr>
          <w:rFonts w:ascii="Arial" w:cs="Arial" w:eastAsia="Arial" w:hAnsi="Arial"/>
          <w:sz w:val="14"/>
          <w:szCs w:val="14"/>
          <w:color w:val="auto"/>
        </w:rPr>
        <w:t>Consists of an option to purchase 585,713 shares of Class A common stock.</w:t>
      </w:r>
    </w:p>
    <w:p>
      <w:pPr>
        <w:spacing w:after="0" w:line="1" w:lineRule="exact"/>
        <w:rPr>
          <w:rFonts w:ascii="Arial" w:cs="Arial" w:eastAsia="Arial" w:hAnsi="Arial"/>
          <w:sz w:val="14"/>
          <w:szCs w:val="14"/>
          <w:color w:val="auto"/>
        </w:rPr>
      </w:pPr>
    </w:p>
    <w:p>
      <w:pPr>
        <w:ind w:left="332" w:hanging="332"/>
        <w:spacing w:after="0" w:line="241" w:lineRule="auto"/>
        <w:tabs>
          <w:tab w:leader="none" w:pos="329" w:val="left"/>
        </w:tabs>
        <w:numPr>
          <w:ilvl w:val="0"/>
          <w:numId w:val="92"/>
        </w:numPr>
        <w:rPr>
          <w:rFonts w:ascii="Arial" w:cs="Arial" w:eastAsia="Arial" w:hAnsi="Arial"/>
          <w:sz w:val="14"/>
          <w:szCs w:val="14"/>
          <w:color w:val="auto"/>
        </w:rPr>
      </w:pPr>
      <w:r>
        <w:rPr>
          <w:rFonts w:ascii="Arial" w:cs="Arial" w:eastAsia="Arial" w:hAnsi="Arial"/>
          <w:sz w:val="14"/>
          <w:szCs w:val="14"/>
          <w:color w:val="auto"/>
        </w:rPr>
        <w:t>Consists of an option to purchase 240,000 shares of Class A common stock granted subject to an early exercise provision and which shares are immediately exercisable, but none of which would be vested within 60 days of June 30, 2021.</w:t>
      </w:r>
    </w:p>
    <w:p>
      <w:pPr>
        <w:ind w:left="332" w:hanging="332"/>
        <w:spacing w:after="0" w:line="255" w:lineRule="auto"/>
        <w:tabs>
          <w:tab w:leader="none" w:pos="323" w:val="left"/>
        </w:tabs>
        <w:numPr>
          <w:ilvl w:val="0"/>
          <w:numId w:val="92"/>
        </w:numPr>
        <w:rPr>
          <w:rFonts w:ascii="Arial" w:cs="Arial" w:eastAsia="Arial" w:hAnsi="Arial"/>
          <w:sz w:val="14"/>
          <w:szCs w:val="14"/>
          <w:color w:val="auto"/>
        </w:rPr>
      </w:pPr>
      <w:r>
        <w:rPr>
          <w:rFonts w:ascii="Arial" w:cs="Arial" w:eastAsia="Arial" w:hAnsi="Arial"/>
          <w:sz w:val="14"/>
          <w:szCs w:val="14"/>
          <w:color w:val="auto"/>
        </w:rPr>
        <w:t>Consists of (i) 2,829,712 shares of common stock issuable upon exercise of early exercisable stock options, subject to a repurchase right until vested, 1,235,521 of which would be vested within 60 days of June 30, 2021, and (ii) 4,596,686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128</w:t>
      </w:r>
    </w:p>
    <w:p>
      <w:pPr>
        <w:sectPr>
          <w:pgSz w:w="11900" w:h="16838" w:orient="portrait"/>
          <w:cols w:equalWidth="0" w:num="1">
            <w:col w:w="11232"/>
          </w:cols>
          <w:pgMar w:left="328" w:top="1440" w:right="339" w:bottom="1440" w:gutter="0" w:footer="0" w:header="0"/>
        </w:sectPr>
      </w:pPr>
    </w:p>
    <w:bookmarkStart w:id="136" w:name="page137"/>
    <w:bookmarkEnd w:id="13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UNITED STATES FEDERAL INCOME TAX CONSEQUENCES TO NON-U.S. HOLDERS</w:t>
      </w:r>
    </w:p>
    <w:p>
      <w:pPr>
        <w:spacing w:after="0" w:line="17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following is a summary of the material U.S. federal income tax consequences to non-U.S. holders (as defined below) of the acquisition, ownership and disposition of our Class A common stock issued pursuant to this offering. This discussion is not a complete analysis of all potential U.S. federal income tax consequences relating thereto, does not address the potential application of the Medicare contribution tax on net investment income, the alternative minimum tax, or the special tax accounting rules under Section 451(b) of the Code, and also does not address any U.S. federal non-income tax consequences, such as estate or gift tax consequences or any tax consequences arising under any state, local or foreign tax laws. This discussion is based on the Internal Revenue Code of 1986, as amended, or the Code, and applicable Treasury Regulations promulgated thereunder, judicial decisions and published rulings and administrative pronouncements of the Internal Revenue Service, or IRS, all as in effect as of the date hereof. These authorities are subject to differing interpretations and may change, possibly retroactively, resulting in U.S. federal income tax consequences different from those discussed below. We have not requested and will not request a ruling from the IRS with respect to the statements made and the conclusions reached in the following summary, and there can be no assurance that the IRS or a court will agree with such statements and conclusions.</w:t>
      </w:r>
    </w:p>
    <w:p>
      <w:pPr>
        <w:spacing w:after="0" w:line="1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discussion is limited to non-U.S. holders who purchase our Class A common stock pursuant to this offering and who hold our Class A common stock as a “capital asset” within the meaning of Section 1221 of the Code (generally, property held for investment). This discussion does not address all of the U.S. federal income tax consequences that may be relevant to a non-U.S. holder in light of such holder’s particular circumstances. This discussion also does not consider any specific facts or circumstances that may be relevant to non-U.S. holders subject to special rules under the U.S. federal income tax laws, including:</w:t>
      </w:r>
    </w:p>
    <w:p>
      <w:pPr>
        <w:spacing w:after="0" w:line="134" w:lineRule="exact"/>
        <w:rPr>
          <w:sz w:val="20"/>
          <w:szCs w:val="20"/>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pass-through or disregarded entities for U.S. federal income tax purposes (and investors therein);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banks, financial institutions, investment funds, insurance companies, brokers, dealers or traders in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tax-exempt organizations and governmental organizations;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more than 5%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persons who have elected to mark securities to market;</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persons holding our Class A common stock as part of a hedging or conversion transaction or straddle, or synthetic security, or a constructive sale, or other risk reduction strategy or integrated investment;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persons deemed to sell our Class A common stock under the constructive sale provisions of the Code;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persons who hold or receive our Class A common stock pursuant to the exercise of any employee stock option or otherwise as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129</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4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If an entity or arrangement that is classified as a partnership for U.S. federal income tax purposes holds our Class A common stock, the U.S. federal income tax treatment of a partner in the partnership will generally depend on the status of the partner, the activities of the partnership and certain determinations made at the partner level. Partnerships holding our Class A common stock and the partners in such partnerships are urged to consult their tax advisors about the particular U.S. federal income tax consequences to them of holding and disposing of our Class A common stock.</w:t>
      </w:r>
    </w:p>
    <w:p>
      <w:pPr>
        <w:spacing w:after="0" w:line="11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THIS DISCUSSION IS FOR INFORMATIONAL PURPOSES ONLY AND IS NOT TAX ADVICE. PROSPECTIVE INVESTORS SHOULD CONSULT THEIR TAX ADVISORS REGARDING THE PARTICULAR U.S. FEDERAL INCOME TAX CONSEQUENCES TO THEM OF ACQUIRING, OWNING AND DISPOSING OF OUR CLASS A COMMON STOCK, AS WELL AS ANY TAX CONSEQUENCES ARISING UNDER ANY STATE, LOCAL OR FOREIGN TAX LAWS AND ANY OTHER U.S. FEDERAL TAX LAWS.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Non-U.S. Holder</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purposes of this discussion, a non-U.S. holder is any beneficial owner of our Class A common stock that is not a “U.S. person” or a partnership (including any entity or arrangement treated as a partnership) for U.S. federal income tax purposes. A U.S. person is any person that, for U.S. federal income tax purposes, is or is treated as any of the following:</w:t>
      </w:r>
    </w:p>
    <w:p>
      <w:pPr>
        <w:spacing w:after="0" w:line="130" w:lineRule="exact"/>
        <w:rPr>
          <w:sz w:val="20"/>
          <w:szCs w:val="20"/>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corporation created or organized in or under the laws of the United States, any state thereof or the District of Columbia;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trust (1) whose administration is subject to the primary supervision of a U.S. court and which has one or more U.S. persons who have the authority to control all substantial decisions of the trust or (2) that has a valid election in effect under applicable Treasury Regulations to be treated as a U.S. person.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Our Class A Common Stock</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described in the section entitled “Dividend Policy” we have never declared or paid cash dividends on our capital stock and we do not anticipate paying any cash dividends in the foreseeable future. However, if we make cash or other property distributions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will first be applied against and reduce a holder’s tax basis in our Class A common stock, but not below zero. Any excess will be treated as gain realized on the sale or other disposition of our Class A common stock and will be treated as described under the section titled “—Gain on Disposition of Our Class A Common Stock” below.</w:t>
      </w:r>
    </w:p>
    <w:p>
      <w:pPr>
        <w:spacing w:after="0" w:line="14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Subject to the discussions below regarding effectively connected income, backup withholding and Sections 1471 through 1474 of the Code (commonly referred to as FATCA), dividends paid to a non-U.S. holder of our Class A common stock generally will be subject to U.S. federal withholding tax at a rate of 30% of the gross amount of the dividends or such lower rate specified by an applicable income tax treaty. To receive the benefit of a reduced treaty rate, a non-U.S. holder must furnish us or our paying agent with a valid IRS Form W-8BEN or IRS Form W-8BEN-E (or other applicable documentation) and satisfy applicable certification and other requirements. This certification must be provided to us or our paying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130</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If a non-U.S. holder holds our Class A common stock in connection with the conduct of a trade or business in the United States, and dividends paid on our Class A common stock are effectively connected with such holder’s U.S. trade or business (and, if required by an applicable tax treaty, are attributable to such holder’s permanent establishment in the United States), the non-U.S. holder will be exempt from U.S. federal withholding tax. To claim the exemption, the non-U.S. holder must generally furnish a valid IRS Form W-8ECI (or applicable successor form) to the applicable withholding agent, certifying that the dividends are effectively connected with the non-U.S. Holder’s conduct of a trade or business within the United States.</w:t>
      </w:r>
    </w:p>
    <w:p>
      <w:pPr>
        <w:spacing w:after="0" w:line="10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However, any such effectively connected dividends paid on our Class A common stock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dividends, as adjusted for certain items. Non-U.S. holders should consult their tax advisors regarding any applicable income tax treaties that may provide for different rules.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Our Class A Common Stock</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Subject to the discussions below regarding backup withholding and FATCA, a non-U.S. holder generally will not be subject to U.S. federal income tax on any gain realized on the sale or other disposition of our Class A common stock, unless:</w:t>
      </w:r>
    </w:p>
    <w:p>
      <w:pPr>
        <w:spacing w:after="0" w:line="116" w:lineRule="exact"/>
        <w:rPr>
          <w:sz w:val="20"/>
          <w:szCs w:val="20"/>
          <w:color w:val="auto"/>
        </w:rPr>
      </w:pPr>
    </w:p>
    <w:p>
      <w:pPr>
        <w:ind w:left="660" w:hanging="328"/>
        <w:spacing w:after="0" w:line="277"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United States and, if required by an applicable income tax treaty, is attributable to a permanent establishment maintained by the non-U.S. holder in the United States;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116"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95"/>
        </w:numPr>
        <w:rPr>
          <w:rFonts w:ascii="Arial" w:cs="Arial" w:eastAsia="Arial" w:hAnsi="Arial"/>
          <w:sz w:val="16"/>
          <w:szCs w:val="16"/>
          <w:color w:val="auto"/>
        </w:rPr>
      </w:pPr>
      <w:r>
        <w:rPr>
          <w:rFonts w:ascii="Arial" w:cs="Arial" w:eastAsia="Arial" w:hAnsi="Arial"/>
          <w:sz w:val="16"/>
          <w:szCs w:val="16"/>
          <w:color w:val="auto"/>
        </w:rPr>
        <w:t>we are or become a United States real property holding corporation, or USRPHC, for U.S. federal income tax purposes at any time within the shorter of the five-year period preceding the disposition or the non-U.S. holder’s holding period for our Class A common stock, and our Class A common stock is not regularly traded on an established securities market during the calendar year in which the sale or other disposition occurs.</w:t>
      </w:r>
    </w:p>
    <w:p>
      <w:pPr>
        <w:spacing w:after="0" w:line="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Gain described in the second bullet point above will be subject to U.S. 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Determining whether we are a USRPHC depends on the fair market value of our U.S. real property interests relative to the fair market value of our other trade or business assets and our foreign real property interests. We believe that we are not currently and do not anticipate becoming a USRPHC for U.S. federal income tax purposes, although there can be no assurance we will not in the future become a USRPHC. If we are a or become a USRPHC at any time within the shorter of the five-year period preceding the disposition or the non-U.S. holder’s holding period for our Class A common stock and our Class A common stock is not regularly traded on an established securities market, such non-U.S. holder will generally be taxed on any gain in the same manner as gain that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131</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4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effectively connected with the conduct of a U.S. trade or business, except that the branch profits tax generally will not apply. Prospective investors are encouraged to consult their own tax advisors regarding the possible consequences to them if we are, or were to become, a USRPHC.</w:t>
      </w:r>
    </w:p>
    <w:p>
      <w:pPr>
        <w:spacing w:after="0" w:line="9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and Backup Withholding</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Annual reports are required to be filed with the IRS and provided to each non-U.S. holder indicating the amount of distributions on our Class A common stock paid to such holder and the amount of any tax withheld with respect to those distributions. These information reporting requirements apply even if no withholding was required because the distributions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Class A common stock provided the non-U.S. holder furnishes the required certification for its non-U.S. status, such as by providing a valid IRS Form W-8BEN, IRS Form W-8BEN-E or IRS Form W-8ECI, or certain other requirements are met. Backup withholding may apply if the payor has actual knowledge, or reason to know, that the holder is a U.S. person who is not an exempt recipient.</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on Foreign Entities</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FATCA imposes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imposes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currently applies to dividends paid on our Class A common stock. Under applicable Treasury Regulations and administrative guidance, withholding under FATCA would have applied to payments of gross proceeds from the sale or other disposition of stock on or after January 1, 2019, but under proposed regulations (the preamble to which specifies that taxpayers are permitted to rely on such proposed regulations pending finalization), no withholding would apply with respect to payments of gross proceeds.</w:t>
      </w:r>
    </w:p>
    <w:p>
      <w:pPr>
        <w:spacing w:after="0" w:line="12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Prospective investors are encouraged to consult with their own tax advisors regarding the possible implications of this legislation on their investment in our Class A common stock.</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EACH PROSPECTIVE INVESTOR SHOULD CONSULT ITS OWN TAX ADVISOR REGARDING THE TAX CONSEQUENCES OF ACQUIRING, OWNING AND DISPOSING OF OUR CLASS A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132</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STOCK, INCLUDING THE CONSEQUENCES OF ANY RECENT AND PROPOSED CHANGES IN APPLICABLE LAW, AS WELL AS TAX CONSEQUENCES ARISING UNDER ANY STATE, LOCAL, FOREIGN OR U.S. FEDERAL NON-INCOME TAX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133</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UNDERWRITERS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Morgan Stanley &amp; Co. LLC, KeyBanc Capital Markets Inc. and BofA Securities, Inc. are acting as representatives, will severally agree to purchase, and we will agree to sell to them, severally, the number of shares indicated below:</w:t>
      </w:r>
    </w:p>
    <w:p>
      <w:pPr>
        <w:spacing w:after="0" w:line="175" w:lineRule="exact"/>
        <w:rPr>
          <w:sz w:val="20"/>
          <w:szCs w:val="20"/>
          <w:color w:val="auto"/>
        </w:rPr>
      </w:pPr>
    </w:p>
    <w:p>
      <w:pPr>
        <w:ind w:left="4620"/>
        <w:spacing w:after="0"/>
        <w:tabs>
          <w:tab w:leader="none" w:pos="988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9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Morgan Stanley &amp; Co.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KeyBanc Capital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BofA Securities, Inc.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Barclays Capital Inc.</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1F497D"/>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Truist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William Blair &amp; Company,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Oppenheimer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40640</wp:posOffset>
            </wp:positionV>
            <wp:extent cx="9944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Class A common stock subject to their acceptance of the shares from us and subject to prior sale. The underwriting agreement will provide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over-allotment option described below.</w:t>
      </w:r>
    </w:p>
    <w:p>
      <w:pPr>
        <w:spacing w:after="0" w:line="12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underwriters initially propose to offer part of the shares of Class A common stock directly to the public at the offering price listed on the cover page of this prospectus and part to certain dealers. After the initial offering of the shares of Class A common stock, the offering price and other selling terms may from time to time be varied by the representatives.</w:t>
      </w:r>
    </w:p>
    <w:p>
      <w:pPr>
        <w:spacing w:after="0" w:line="13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have granted to the underwriters an option, exercisable for 30 days from the date of this prospectus, to purchase up to additional shares of Class A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Class A common stock offered by this prospectus.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shows the per share and total public offering price, underwriting discounts and commissions, and proceeds before expenses to us.</w:t>
      </w:r>
    </w:p>
    <w:p>
      <w:pPr>
        <w:spacing w:after="0" w:line="46"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These amounts are shown assuming both no exercise and full exercise of the underwriters’ option to purchase up to an additional shares of Class A common stock.</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60" w:type="dxa"/>
            <w:vAlign w:val="bottom"/>
            <w:gridSpan w:val="3"/>
          </w:tcPr>
          <w:p>
            <w:pPr>
              <w:jc w:val="right"/>
              <w:ind w:right="14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
        </w:trPr>
        <w:tc>
          <w:tcPr>
            <w:tcW w:w="6020" w:type="dxa"/>
            <w:vAlign w:val="bottom"/>
          </w:tcPr>
          <w:p>
            <w:pPr>
              <w:spacing w:after="0"/>
              <w:rPr>
                <w:sz w:val="2"/>
                <w:szCs w:val="2"/>
                <w:color w:val="auto"/>
              </w:rPr>
            </w:pPr>
          </w:p>
        </w:tc>
        <w:tc>
          <w:tcPr>
            <w:tcW w:w="178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Per Share</w:t>
            </w: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02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1380" w:type="dxa"/>
            <w:vAlign w:val="bottom"/>
          </w:tcPr>
          <w:p>
            <w:pPr>
              <w:jc w:val="right"/>
              <w:ind w:right="96"/>
              <w:spacing w:after="0"/>
              <w:rPr>
                <w:sz w:val="20"/>
                <w:szCs w:val="20"/>
                <w:color w:val="auto"/>
              </w:rPr>
            </w:pPr>
            <w:r>
              <w:rPr>
                <w:rFonts w:ascii="Arial" w:cs="Arial" w:eastAsia="Arial" w:hAnsi="Arial"/>
                <w:sz w:val="14"/>
                <w:szCs w:val="14"/>
                <w:b w:val="1"/>
                <w:bCs w:val="1"/>
                <w:color w:val="auto"/>
              </w:rPr>
              <w:t>No Exercise</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jc w:val="right"/>
              <w:ind w:right="368"/>
              <w:spacing w:after="0"/>
              <w:rPr>
                <w:sz w:val="20"/>
                <w:szCs w:val="20"/>
                <w:color w:val="auto"/>
              </w:rPr>
            </w:pPr>
            <w:r>
              <w:rPr>
                <w:rFonts w:ascii="Arial" w:cs="Arial" w:eastAsia="Arial" w:hAnsi="Arial"/>
                <w:sz w:val="14"/>
                <w:szCs w:val="14"/>
                <w:b w:val="1"/>
                <w:bCs w:val="1"/>
                <w:color w:val="auto"/>
              </w:rPr>
              <w:t>Full Exercise</w:t>
            </w:r>
          </w:p>
        </w:tc>
        <w:tc>
          <w:tcPr>
            <w:tcW w:w="0" w:type="dxa"/>
            <w:vAlign w:val="bottom"/>
          </w:tcPr>
          <w:p>
            <w:pPr>
              <w:spacing w:after="0"/>
              <w:rPr>
                <w:sz w:val="1"/>
                <w:szCs w:val="1"/>
                <w:color w:val="auto"/>
              </w:rPr>
            </w:pPr>
          </w:p>
        </w:tc>
      </w:tr>
      <w:tr>
        <w:trPr>
          <w:trHeight w:val="25"/>
        </w:trPr>
        <w:tc>
          <w:tcPr>
            <w:tcW w:w="60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Public offering price</w:t>
            </w:r>
          </w:p>
        </w:tc>
        <w:tc>
          <w:tcPr>
            <w:tcW w:w="1680" w:type="dxa"/>
            <w:vAlign w:val="bottom"/>
            <w:tcBorders>
              <w:bottom w:val="single" w:sz="8" w:color="CCEEFF"/>
            </w:tcBorders>
            <w:shd w:val="clear" w:color="auto" w:fill="CCEEFF"/>
          </w:tcPr>
          <w:p>
            <w:pPr>
              <w:jc w:val="right"/>
              <w:ind w:right="1476"/>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96"/>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CCEEFF"/>
            </w:tcBorders>
            <w:gridSpan w:val="3"/>
            <w:shd w:val="clear" w:color="auto" w:fill="CCEEFF"/>
          </w:tcPr>
          <w:p>
            <w:pPr>
              <w:jc w:val="right"/>
              <w:ind w:right="148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Underwriting discounts and commissions to be paid by us</w:t>
            </w: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before expenses, to us</w:t>
            </w:r>
          </w:p>
        </w:tc>
        <w:tc>
          <w:tcPr>
            <w:tcW w:w="1680" w:type="dxa"/>
            <w:vAlign w:val="bottom"/>
            <w:shd w:val="clear" w:color="auto" w:fill="CCEEFF"/>
          </w:tcPr>
          <w:p>
            <w:pPr>
              <w:jc w:val="right"/>
              <w:ind w:right="1476"/>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196"/>
              <w:spacing w:after="0"/>
              <w:rPr>
                <w:sz w:val="20"/>
                <w:szCs w:val="20"/>
                <w:color w:val="auto"/>
              </w:rPr>
            </w:pPr>
            <w:r>
              <w:rPr>
                <w:rFonts w:ascii="Arial" w:cs="Arial" w:eastAsia="Arial" w:hAnsi="Arial"/>
                <w:sz w:val="18"/>
                <w:szCs w:val="18"/>
                <w:color w:val="auto"/>
                <w:w w:val="79"/>
              </w:rPr>
              <w:t>$</w:t>
            </w:r>
          </w:p>
        </w:tc>
        <w:tc>
          <w:tcPr>
            <w:tcW w:w="2060" w:type="dxa"/>
            <w:vAlign w:val="bottom"/>
            <w:gridSpan w:val="3"/>
            <w:shd w:val="clear" w:color="auto" w:fill="CCEEFF"/>
          </w:tcPr>
          <w:p>
            <w:pPr>
              <w:jc w:val="right"/>
              <w:ind w:right="148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134</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4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estimated offering expenses payable by us, exclusive of the underwriting discounts and commissions, are approximately $</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agreed to reimburse the underwriters for expenses relating to clearance of this offering with the Financial Industry Regulatory Authority up to $</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color w:val="auto"/>
        </w:rPr>
        <w:t>. We have</w:t>
      </w:r>
    </w:p>
    <w:p>
      <w:pPr>
        <w:spacing w:after="0" w:line="5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p>
    <w:p>
      <w:pPr>
        <w:spacing w:after="0" w:line="157" w:lineRule="exact"/>
        <w:rPr>
          <w:sz w:val="20"/>
          <w:szCs w:val="20"/>
          <w:color w:val="auto"/>
        </w:rPr>
      </w:pPr>
    </w:p>
    <w:p>
      <w:pPr>
        <w:sectPr>
          <w:pgSz w:w="11900" w:h="16838" w:orient="portrait"/>
          <w:cols w:equalWidth="0" w:num="2">
            <w:col w:w="10360" w:space="140"/>
            <w:col w:w="740"/>
          </w:cols>
          <w:pgMar w:left="320" w:top="1440" w:right="339" w:bottom="1440" w:gutter="0" w:footer="0" w:header="0"/>
        </w:sectPr>
      </w:pPr>
    </w:p>
    <w:p>
      <w:pPr>
        <w:ind w:firstLine="324"/>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Class A common stock offered by them.</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applied to list our Class A common stock on Nasdaq under the trading symbol “NRDS”.</w:t>
      </w:r>
    </w:p>
    <w:p>
      <w:pPr>
        <w:spacing w:after="0" w:line="17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and all directors and officers and the holders of all of our outstanding stock and stock options have agreed that without the prior written consent of Morgan Stanley &amp; Co. LLC and Key Banc Capital Markets Inc. on behalf of the underwriters, subject to certain exceptions, we and they will not, and will</w:t>
      </w:r>
    </w:p>
    <w:p>
      <w:pPr>
        <w:spacing w:after="0"/>
        <w:tabs>
          <w:tab w:leader="none" w:pos="5140" w:val="left"/>
        </w:tabs>
        <w:rPr>
          <w:sz w:val="20"/>
          <w:szCs w:val="20"/>
          <w:color w:val="auto"/>
        </w:rPr>
      </w:pPr>
      <w:r>
        <w:rPr>
          <w:rFonts w:ascii="Arial" w:cs="Arial" w:eastAsia="Arial" w:hAnsi="Arial"/>
          <w:sz w:val="18"/>
          <w:szCs w:val="18"/>
          <w:color w:val="auto"/>
        </w:rPr>
        <w:t>not publicly disclose an intention to, during the period ending</w:t>
      </w:r>
      <w:r>
        <w:rPr>
          <w:sz w:val="20"/>
          <w:szCs w:val="20"/>
          <w:color w:val="auto"/>
        </w:rPr>
        <w:tab/>
      </w:r>
      <w:r>
        <w:rPr>
          <w:rFonts w:ascii="Arial" w:cs="Arial" w:eastAsia="Arial" w:hAnsi="Arial"/>
          <w:sz w:val="16"/>
          <w:szCs w:val="16"/>
          <w:color w:val="auto"/>
        </w:rPr>
        <w:t>days after the date of this prospectus, or the restricted period:</w:t>
      </w:r>
    </w:p>
    <w:p>
      <w:pPr>
        <w:spacing w:after="0" w:line="157" w:lineRule="exact"/>
        <w:rPr>
          <w:sz w:val="20"/>
          <w:szCs w:val="20"/>
          <w:color w:val="auto"/>
        </w:rPr>
      </w:pPr>
    </w:p>
    <w:p>
      <w:pPr>
        <w:jc w:val="both"/>
        <w:ind w:left="660" w:hanging="328"/>
        <w:spacing w:after="0" w:line="263"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our Class A common stock or any securities convertible into or exercisable or exchangeable for shares of our Class A common stock;</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file any registration statement with the SEC relating to the offering of any shares of Class A common stock or any securities convertible into or exercisable or exchangeable for our Class A common stock; or</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our Class A common stock, whether any such transaction described above is to be settled by delivery of our Class A common stock or such other securities, in cash or otherwise.</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addition, we and each such person agrees that, without the prior written consent of Morgan Stanley &amp; Co. LLC on behalf of the underwriters, we or such other person will not, during the restricted period, make any demand for, or exercise any right with respect to, the registration of any shares of Class A common stock or any security convertible into or exercisable or exchangeable for Class A common stock.</w:t>
      </w:r>
    </w:p>
    <w:p>
      <w:pPr>
        <w:spacing w:after="0" w:line="111" w:lineRule="exact"/>
        <w:rPr>
          <w:sz w:val="20"/>
          <w:szCs w:val="20"/>
          <w:color w:val="auto"/>
        </w:rPr>
      </w:pPr>
    </w:p>
    <w:p>
      <w:pPr>
        <w:ind w:left="340"/>
        <w:spacing w:after="0"/>
        <w:tabs>
          <w:tab w:leader="none" w:pos="7220" w:val="left"/>
        </w:tabs>
        <w:rPr>
          <w:sz w:val="20"/>
          <w:szCs w:val="20"/>
          <w:color w:val="auto"/>
        </w:rPr>
      </w:pPr>
      <w:r>
        <w:rPr>
          <w:rFonts w:ascii="Arial" w:cs="Arial" w:eastAsia="Arial" w:hAnsi="Arial"/>
          <w:sz w:val="18"/>
          <w:szCs w:val="18"/>
          <w:color w:val="auto"/>
        </w:rPr>
        <w:t>The restrictions described in the immediately preceding paragraph to do not apply to:</w:t>
      </w:r>
      <w:r>
        <w:rPr>
          <w:sz w:val="20"/>
          <w:szCs w:val="20"/>
          <w:color w:val="auto"/>
        </w:rPr>
        <w:tab/>
      </w:r>
      <w:r>
        <w:rPr>
          <w:rFonts w:ascii="Arial" w:cs="Arial" w:eastAsia="Arial" w:hAnsi="Arial"/>
          <w:sz w:val="13"/>
          <w:szCs w:val="13"/>
          <w:color w:val="auto"/>
        </w:rPr>
        <w:t>.</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Morgan Stanley &amp; Co. LLC and KeyBanc Capital Markets Inc., in their sole discretion, may release shares of our Class A common stock and other securities subject to the lock-up agreements described above in whole or in part at any time.</w:t>
      </w:r>
    </w:p>
    <w:p>
      <w:pPr>
        <w:spacing w:after="0" w:line="11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order 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 As an additional means of facilitating this offering, the underwriters may bid for, and purchase, shares of Class A common stock in the open market to stabilize the price of the Class A common stock.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and the underwriters will agree to indemnify each other against certain liabilities, including liabilities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135</w:t>
      </w:r>
    </w:p>
    <w:p>
      <w:pPr>
        <w:sectPr>
          <w:pgSz w:w="11900" w:h="16838" w:orient="portrait"/>
          <w:cols w:equalWidth="0" w:num="1">
            <w:col w:w="11240"/>
          </w:cols>
          <w:pgMar w:left="320" w:top="1440" w:right="339" w:bottom="1440" w:gutter="0" w:footer="0" w:header="0"/>
          <w:type w:val="continuous"/>
        </w:sectPr>
      </w:pPr>
    </w:p>
    <w:bookmarkStart w:id="143" w:name="page144"/>
    <w:bookmarkEnd w:id="143"/>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 holders. Internet distributions will be allocated by the representatives to underwriters that may make Internet distributions on the same basis as other allocations.</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Prior to this offering, there has been no public market for our Class A common stock.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This prospectus has been prepared on the basis that any offer of our Class A common stock in any Member State of the European Economic Area will be made pursuant to an exemption under the Prospectus Regulation from the requirement to publish a prospectus for offers of common stock. Accordingly, any person making or intending to make an offer in that Member State of shares of common stock which are the subject of the offering contemplated in this prospectus may only do so in circumstances in which no obligation arises for us or any of the underwriters to publish a prospectus pursuant to Article 3 of the Prospectus Regulation or supplement a prospectus pursuant to Article 23 of the Prospectus Regulation, in each case in relation to such offer. Neither we nor any of the underwriters have authorized, nor do we or they authorize, the making of any offer of common stock in circumstances in which an obligation arises for us or any of the underwriters to publish or supplement a prospectus for such offer. Neither we nor any of the underwriters have authorized, nor do we or they authorize, the making of any offer of common stock through any financial intermediary, other than offers made by the underwriters, which constitute the final placement of the Class A common stock contemplated in this prospectus. The expression “Prospectus Regulation” means Regulation (EU) 2017/1129 (as amended or superseded).</w:t>
      </w:r>
    </w:p>
    <w:p>
      <w:pPr>
        <w:spacing w:after="0" w:line="13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relation to each Member State of the European Economic Area, each underwriter has represented and agreed that it has not made and will not make an offer of shares of common stock which are the subject of the offering contemplated by this prospectus to the public in that Member State, except that it may make an offer of such common stock to the public in that Member State:</w:t>
      </w:r>
    </w:p>
    <w:p>
      <w:pPr>
        <w:spacing w:after="0" w:line="130" w:lineRule="exact"/>
        <w:rPr>
          <w:sz w:val="20"/>
          <w:szCs w:val="20"/>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5"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b w:val="1"/>
          <w:bCs w:val="1"/>
          <w:color w:val="auto"/>
        </w:rPr>
        <w:t>136</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44" w:lineRule="exact"/>
        <w:rPr>
          <w:sz w:val="20"/>
          <w:szCs w:val="20"/>
          <w:color w:val="auto"/>
        </w:rPr>
      </w:pPr>
    </w:p>
    <w:p>
      <w:pPr>
        <w:ind w:left="660" w:hanging="328"/>
        <w:spacing w:after="0" w:line="277" w:lineRule="auto"/>
        <w:tabs>
          <w:tab w:leader="none" w:pos="654"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provided that no such offer of shares shall require us or any of our representatives to publish a prospectus pursuant to Article 3 of the Prospectus Regulation or supplement a prospectus pursuant to Article 23 of the Prospectus Regulation.</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any Member State means the communication in any form and by any means of sufficient information on the terms of the offer and any shares to be offered so as to enable an investor to decide to purchase any shares, and the expression “Prospectus Regulation” means Regulation (EU) 2017/1129 (as amended).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United Kingdom</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This prospectus has been prepared on the basis that any offer of shares of common stock in the United Kingdom, or the UK, will be made pursuant to an exemption from the obligation to publish a prospectus under section 85 of the Financial Services and Markets Act 2000, or the FSMA. Accordingly, any person making or intending to make an offer in the UK may only do so in circumstances in which no obligation arises for us or any of the underwriters to publish a prospectus pursuant to section 85 of the FSMA or supplement a prospectus pursuant to the UK Prospectus Regulation, in each case in relation to such offer. Neither we nor any of the underwriters have authorized, nor do we or they authorize, the making of any offer of common stock in circumstances in which an obligation arises for us or any of the underwriters to publish or supplement a prospectus for such offer. Neither we nor any of the underwriters have authorized, nor do we or they authorize, the making of any offer of shares through any financial intermediary, other than offers made by the underwriters, which constitute the final placement of the shares of Class A common stock contemplated in this prospectus. The expression “UK Prospectus Regulation” means Regulation (EU) 2017/1129 as it forms part of domestic law by virtue of the European Union (Withdrawal) Act 2018 in the United Kingdom.</w:t>
      </w:r>
    </w:p>
    <w:p>
      <w:pPr>
        <w:spacing w:after="0" w:line="14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relation to the UK, each underwriter has represented and agreed that it has not made and will not make an offer of shares of common stock which are the subject of the offering contemplated by this prospectus to the public in the UK, except that it may make an offer of such shares to the public in the UK:</w:t>
      </w:r>
    </w:p>
    <w:p>
      <w:pPr>
        <w:spacing w:after="0" w:line="130" w:lineRule="exact"/>
        <w:rPr>
          <w:sz w:val="20"/>
          <w:szCs w:val="20"/>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UK Prospectus Regulation;</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4"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UK Prospectus Regulation), subject to obtaining the prior consent of the representatives;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provided that no such offer of shares shall require us or any underwriters to publish a prospectus pursuant to section 85 of the FSMA or supplement a prospectus pursuant to Article 23 of the UK Prospectus Regulation.</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means the communication in any form and by any means of sufficient information on the terms of the offer and the shares to be offered so as to enable an investor to decide to purchase or subscribe for the shares.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underwriter has represented and agreed that:</w:t>
      </w:r>
    </w:p>
    <w:p>
      <w:pPr>
        <w:spacing w:after="0" w:line="171" w:lineRule="exact"/>
        <w:rPr>
          <w:sz w:val="20"/>
          <w:szCs w:val="20"/>
          <w:color w:val="auto"/>
        </w:rPr>
      </w:pPr>
    </w:p>
    <w:p>
      <w:pPr>
        <w:jc w:val="both"/>
        <w:ind w:left="660" w:hanging="328"/>
        <w:spacing w:after="0" w:line="286" w:lineRule="auto"/>
        <w:tabs>
          <w:tab w:leader="none" w:pos="657"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shares of our Class A common stock in circumstances in which Section 21(1) of the FSMA does not apply to us;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137</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44" w:lineRule="exact"/>
        <w:rPr>
          <w:sz w:val="20"/>
          <w:szCs w:val="20"/>
          <w:color w:val="auto"/>
        </w:rPr>
      </w:pPr>
    </w:p>
    <w:p>
      <w:pPr>
        <w:ind w:left="660" w:hanging="328"/>
        <w:spacing w:after="0" w:line="277" w:lineRule="auto"/>
        <w:tabs>
          <w:tab w:leader="none" w:pos="65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Class A common stock in, from or otherwise involving the United Kingdom.</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Switzerland</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This prospectus is not intended to constitute an offer or solicitation to purchase or invest in the shares of Class A common stock. The shares of Class A common stock may not be publicly offered, directly or indirectly, in Switzerland within the meaning of the Swiss Financial Services Act, or the FinSA, and no application has or will be made to admit the shares of Class A common stock to trading on any trading venue (exchange or multilateral trading facility) in Switzerland. Neither this prospectus nor any other offering or marketing material relating to the shares of Class A common stock constitutes a prospectus pursuant to the FinSA, and neither this prospectus nor any other offering or marketing material relating to the shares of Class A common stock may be publicly distributed or otherwise made publicly available in Switzerland.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Dubai International Financial Centre</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Australia</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prospectus contains general information only and does not take into account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for their needs, objectives and circumstances, and, if necessary, seek expert advice on those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138</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Canada</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Hong Kong</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shares of Class A common stock have not been offered or sold and will not be offered or sold in Hong Kong, by means of any document, other than (i) to “professional investors” as defined in the Securities and Futures Ordinance (Cap. 571) of Hong Kong and any rules made under that Ordinance; or (ii)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of Class A common stock has been or may be issued or has been or may be in the possession of any person for the purposes of issuance, whether in Hong Kong or elsewhere, which is directed at, or the contents of which are likely to be accessed or read by, the public of Hong Kong (except if permitted to do so under the securities laws of Hong Kong) other than with respect to shares of Class A common stock which are or are intended to be disposed of only to persons outside Hong Kong or only to “professional investors” as defined in the Securities and Futures Ordinance and any rules made under that Ordinance.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Singapore</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4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Where the shares of Class A common stock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the sole purpose of which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shares of Class A common stock pursuant to an offer made under Section 275 of the SFA except: (i) to an institutional investor or to a relevant person defined in Section 275(2) of the SFA,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139</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any person arising from an offer referred to in Section 275(1A) or Section 276(4)(i)(B) of the SFA; (ii) where no consideration is or will be given for the transfer; (iii) where the transfer is by operation of law; (iv) as specified in Section 276(7) of the SFA; or (v) as specified in Regulation 37A of the Securities and Futures (Offers of Investments) (Securities and Securities-based Derivatives Contracts) Regulations 2018.</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Japan</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No registration pursuant to Article 4, paragraph 1 of the Financial Instruments and Exchange Law of Japan (Law No. 25 of 1948, as amended), or the FIEL, has been made or will be made with respect to the solicitation of the application for the acquisition of the shares of common stock.</w:t>
      </w:r>
    </w:p>
    <w:p>
      <w:pPr>
        <w:spacing w:after="0" w:line="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For Qualified Institutional Investors, or QII</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Please note that the solicitation for newly 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For Non-QII Investors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Please note that the solicitation for newly issued or secondary securities (each as described in Paragraph 2, Article 4 of the FIEL) in relation to the shares of Class A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Class A common stock. The shares of Class A common stock may only be transferred en bloc without subdivision to a single investor.</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Brazil</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 securities may be offered or sold in Brazil, except in circumstances that do not constitute a public offering or unauthorized distribution under Brazilian laws and regulations. The securities have not been, and will not be, registered with the Comissão de Valores Mobiliários.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France</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Neither this prospectus nor any other offering material relating to the shares described in this prospectus has been submitted to the clearance procedures of the Autorité des Marchés Financiers or of the competent authority of another member state of the European Economic Area and notified to the Autorité des Marchés Financiers. The shares have not been offered or sold and will not be offered or sold, directly or indirectly, to the public in France. Neither this prospectus nor any other offering material relating to the shares has been or will be (1) released, issued, distributed or caused to be released, issued or distributed to the public in France; or (2) used in connection with any offer for subscription or sale of the shares to the public in France.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140</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71" w:lineRule="exact"/>
        <w:rPr>
          <w:sz w:val="20"/>
          <w:szCs w:val="20"/>
          <w:color w:val="auto"/>
        </w:rPr>
      </w:pPr>
    </w:p>
    <w:p>
      <w:pPr>
        <w:jc w:val="both"/>
        <w:ind w:left="660" w:hanging="328"/>
        <w:spacing w:after="0" w:line="263" w:lineRule="auto"/>
        <w:tabs>
          <w:tab w:leader="none" w:pos="65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to qualified investors (investisseurs estraint) and/or to a restricted circle of investors (cercle estraint d’investisseurs), in each case investing for their own account, all as defined in, and in accordance with, articles L.411-2, D.411-1, D.411-2, D.734-1, D.744-1, D.754-1 and D.764-1 of the French Code monétaire et financier;</w:t>
      </w:r>
    </w:p>
    <w:p>
      <w:pPr>
        <w:spacing w:after="0" w:line="129" w:lineRule="exact"/>
        <w:rPr>
          <w:rFonts w:ascii="Arial" w:cs="Arial" w:eastAsia="Arial" w:hAnsi="Arial"/>
          <w:sz w:val="18"/>
          <w:szCs w:val="18"/>
          <w:color w:val="auto"/>
        </w:rPr>
      </w:pPr>
    </w:p>
    <w:p>
      <w:pPr>
        <w:ind w:left="640" w:hanging="308"/>
        <w:spacing w:after="0"/>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71" w:lineRule="exact"/>
        <w:rPr>
          <w:rFonts w:ascii="Arial" w:cs="Arial" w:eastAsia="Arial" w:hAnsi="Arial"/>
          <w:sz w:val="18"/>
          <w:szCs w:val="18"/>
          <w:color w:val="auto"/>
        </w:rPr>
      </w:pPr>
    </w:p>
    <w:p>
      <w:pPr>
        <w:ind w:left="660" w:right="20" w:hanging="328"/>
        <w:spacing w:after="0" w:line="342" w:lineRule="auto"/>
        <w:tabs>
          <w:tab w:leader="none" w:pos="65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 a transaction that, in accordance with article L.411-2-II-1° -or-2° -or 3° of the French Code monétaire et financier and article 211-2 of the General Regulations (Réglement Général) of the Autorité des Marchés Financiers, does not constitute a public offer (appel public á l’épargne).</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shares may be resold directly or indirectly, only in compliance with articles L.411-1, L.411-2, L412-1 and L.621-8 through L.621-8-3 of the French Code monétaire et financier.</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China</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prospectus does not constitute a public offer of shares, whether by sale or subscription, in the People’s Republic of China (the “PRC”). The shares are not being offered or sold directly or indirectly in the PRC to or for the benefit of, legal or natural persons of the PRC.</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Further, no legal or natural persons of the PRC may directly or indirectly purchase any of the shares of Class A common stock offered by this prospectus or any beneficial interest therein without obtaining all prior PRC’s governmental approvals that are required, whether statutorily or otherwise. Persons who come into possession of this document are required by the issuer and its representatives to observe these restrictions.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Saudi Arabia</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This prospectus may not be distributed in the Kingdom of Saudi Arabia except to such persons as are permitted under the Offers of Securities Regulations as issued by the board of the Saudi Arabian Capital Market Authority (the CMA) pursuant to resolution number 2-11-2004 dated 4 October 2004 as amended by resolution number 1-28-2008, as amended (the CMA Regulations). The CMA does not make any representation as to the accuracy or completeness of this prospectus and expressly disclaims any liability whatsoever for any loss arising from, or incurred in reliance upon, any part of this prospectus. Prospective purchasers of the shares of Class A common stock offered hereby should conduct their own due diligence on the accuracy of the information relating to the shares of Class A common stock. If you do not understand the contents of this prospectus, you should consult an authorized financial adviser.</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Kuwait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Unless all necessary approvals from the Kuwait Ministry of Commerce and Industry required by Law No. 31/1990 “Regulating the Negotiation of Securities and Establishment of Investment Funds,” its Executive Regulations and the various Ministerial Orders issued pursuant thereto or in connection therewith, have been given in relation to the marketing and sale of the shares, these may not be marketed, offered for sale, nor sold in the State of Kuwait. Neither this prospectus (including any related document), nor any of the information contained therein is intended to lead to the conclusion of any contract of whatsoever nature within Kuwait.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Qatar</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the State of Qatar, the offer contained herein is made on an exclusive basis to the specifically intended recipient thereof, upon that person’s request and initiative, for personal use only and shall in no way be construed as a general offer for the sale of securities to the public or an attempt to do business as a bank, an investment company or otherwise in the State of Qatar. This prospectus and the underlying securities have not been approved or licensed by the Qatar Central Bank or the Qatar Financial Center Regulatory Authority or any other regulator in the State of Qatar. The information contained in this prospectus shall only be shared with any third parties in Qatar on a need to know basis for the purpose of evaluating the contained offer. Any distribution of this prospectus by the recipient to third parties in Qatar beyond the terms hereof is not permitted and shall be at the liability of such recipient.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141</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validity of the shares of Class A common stock being offered by this prospectus will be passed upon for us by Cooley LLP, Palo Alto, California.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Latham &amp; Watkins LLP, Menlo Park, California has acted as counsel to the underwriters in connection with this offering.</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7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financial statements included in this Prospectus as of and for the years ended December 31, 2020 and 2019 have been audited by Deloitte &amp; Touche LLP, an independent registered public accounting firm, as stated in their report appearing herein. Such financial statements are included in reliance upon the report of such firm given upon their authority as experts in accounting and auditing.</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filed with the SEC a registration statement on Form S-1, including exhibits and schedules, under the Securities Act, with respect to the shares of Class A common stock being offered by this prospectus. This prospectus, which constitutes part of the registration statement, does not contain all of the information in the registration statement and its exhibits. For further information with respect to us and the Class A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can read our SEC filings, including the registration statement, over the Internet at the SEC’s website at www.sec.gov.</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Upon the completion of this offering, we will be subject to the information reporting requirements of the Exchange Act and we will file reports, proxy statements and other information with the SEC. These reports, proxy statements and other information will be available for inspection and copying at the web site of the SEC referred to above. We also maintain a website at www.nerdwallet.com, at which, following the completion of this offering,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142</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NERDWALLET, INC.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420" w:type="dxa"/>
            <w:vAlign w:val="bottom"/>
          </w:tcPr>
          <w:p>
            <w:pPr>
              <w:spacing w:after="0"/>
              <w:rPr>
                <w:sz w:val="16"/>
                <w:szCs w:val="16"/>
                <w:color w:val="auto"/>
              </w:rPr>
            </w:pPr>
          </w:p>
        </w:tc>
        <w:tc>
          <w:tcPr>
            <w:tcW w:w="800" w:type="dxa"/>
            <w:vAlign w:val="bottom"/>
          </w:tcPr>
          <w:p>
            <w:pPr>
              <w:ind w:left="260"/>
              <w:spacing w:after="0"/>
              <w:rPr>
                <w:sz w:val="20"/>
                <w:szCs w:val="20"/>
                <w:color w:val="auto"/>
              </w:rPr>
            </w:pPr>
            <w:r>
              <w:rPr>
                <w:rFonts w:ascii="Arial" w:cs="Arial" w:eastAsia="Arial" w:hAnsi="Arial"/>
                <w:sz w:val="14"/>
                <w:szCs w:val="14"/>
                <w:b w:val="1"/>
                <w:bCs w:val="1"/>
                <w:color w:val="auto"/>
              </w:rPr>
              <w:t>Page</w:t>
            </w:r>
          </w:p>
        </w:tc>
      </w:tr>
      <w:tr>
        <w:trPr>
          <w:trHeight w:val="26"/>
        </w:trPr>
        <w:tc>
          <w:tcPr>
            <w:tcW w:w="104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10420" w:type="dxa"/>
            <w:vAlign w:val="bottom"/>
          </w:tcPr>
          <w:p>
            <w:pPr>
              <w:spacing w:after="0"/>
              <w:rPr>
                <w:rFonts w:ascii="Arial" w:cs="Arial" w:eastAsia="Arial" w:hAnsi="Arial"/>
                <w:sz w:val="18"/>
                <w:szCs w:val="18"/>
                <w:color w:val="auto"/>
              </w:rPr>
            </w:pPr>
            <w:hyperlink w:anchor="page151">
              <w:r>
                <w:rPr>
                  <w:rFonts w:ascii="Arial" w:cs="Arial" w:eastAsia="Arial" w:hAnsi="Arial"/>
                  <w:sz w:val="18"/>
                  <w:szCs w:val="18"/>
                  <w:color w:val="auto"/>
                </w:rPr>
                <w:t>REPORT OF INDEPENDENT REGISTERED PUBLIC ACCOUNTING FIRM</w:t>
              </w:r>
            </w:hyperlink>
          </w:p>
        </w:tc>
        <w:tc>
          <w:tcPr>
            <w:tcW w:w="800" w:type="dxa"/>
            <w:vAlign w:val="bottom"/>
          </w:tcPr>
          <w:p>
            <w:pPr>
              <w:ind w:left="280"/>
              <w:spacing w:after="0"/>
              <w:rPr>
                <w:rFonts w:ascii="Arial" w:cs="Arial" w:eastAsia="Arial" w:hAnsi="Arial"/>
                <w:sz w:val="18"/>
                <w:szCs w:val="18"/>
                <w:color w:val="auto"/>
              </w:rPr>
            </w:pPr>
            <w:hyperlink w:anchor="page151">
              <w:r>
                <w:rPr>
                  <w:rFonts w:ascii="Arial" w:cs="Arial" w:eastAsia="Arial" w:hAnsi="Arial"/>
                  <w:sz w:val="18"/>
                  <w:szCs w:val="18"/>
                  <w:color w:val="auto"/>
                </w:rPr>
                <w:t>F-2</w:t>
              </w:r>
            </w:hyperlink>
          </w:p>
        </w:tc>
      </w:tr>
      <w:tr>
        <w:trPr>
          <w:trHeight w:val="743"/>
        </w:trPr>
        <w:tc>
          <w:tcPr>
            <w:tcW w:w="10420" w:type="dxa"/>
            <w:vAlign w:val="bottom"/>
          </w:tcPr>
          <w:p>
            <w:pPr>
              <w:spacing w:after="0"/>
              <w:rPr>
                <w:rFonts w:ascii="Arial" w:cs="Arial" w:eastAsia="Arial" w:hAnsi="Arial"/>
                <w:sz w:val="18"/>
                <w:szCs w:val="18"/>
                <w:color w:val="auto"/>
              </w:rPr>
            </w:pPr>
            <w:hyperlink w:anchor="page152">
              <w:r>
                <w:rPr>
                  <w:rFonts w:ascii="Arial" w:cs="Arial" w:eastAsia="Arial" w:hAnsi="Arial"/>
                  <w:sz w:val="18"/>
                  <w:szCs w:val="18"/>
                  <w:color w:val="auto"/>
                </w:rPr>
                <w:t>Consolidated Balance Sheets</w:t>
              </w:r>
            </w:hyperlink>
          </w:p>
        </w:tc>
        <w:tc>
          <w:tcPr>
            <w:tcW w:w="800" w:type="dxa"/>
            <w:vAlign w:val="bottom"/>
          </w:tcPr>
          <w:p>
            <w:pPr>
              <w:ind w:left="280"/>
              <w:spacing w:after="0"/>
              <w:rPr>
                <w:rFonts w:ascii="Arial" w:cs="Arial" w:eastAsia="Arial" w:hAnsi="Arial"/>
                <w:sz w:val="18"/>
                <w:szCs w:val="18"/>
                <w:color w:val="auto"/>
              </w:rPr>
            </w:pPr>
            <w:r>
              <w:rPr>
                <w:rFonts w:ascii="Arial" w:cs="Arial" w:eastAsia="Arial" w:hAnsi="Arial"/>
                <w:sz w:val="18"/>
                <w:szCs w:val="18"/>
                <w:color w:val="auto"/>
              </w:rPr>
              <w:t>F-</w:t>
            </w:r>
            <w:hyperlink w:anchor="page152">
              <w:r>
                <w:rPr>
                  <w:rFonts w:ascii="Arial" w:cs="Arial" w:eastAsia="Arial" w:hAnsi="Arial"/>
                  <w:sz w:val="18"/>
                  <w:szCs w:val="18"/>
                  <w:color w:val="auto"/>
                </w:rPr>
                <w:t>3</w:t>
              </w:r>
            </w:hyperlink>
          </w:p>
        </w:tc>
      </w:tr>
      <w:tr>
        <w:trPr>
          <w:trHeight w:val="270"/>
        </w:trPr>
        <w:tc>
          <w:tcPr>
            <w:tcW w:w="10420" w:type="dxa"/>
            <w:vAlign w:val="bottom"/>
          </w:tcPr>
          <w:p>
            <w:pPr>
              <w:spacing w:after="0"/>
              <w:rPr>
                <w:rFonts w:ascii="Arial" w:cs="Arial" w:eastAsia="Arial" w:hAnsi="Arial"/>
                <w:sz w:val="18"/>
                <w:szCs w:val="18"/>
                <w:color w:val="auto"/>
              </w:rPr>
            </w:pPr>
            <w:hyperlink w:anchor="page153">
              <w:r>
                <w:rPr>
                  <w:rFonts w:ascii="Arial" w:cs="Arial" w:eastAsia="Arial" w:hAnsi="Arial"/>
                  <w:sz w:val="18"/>
                  <w:szCs w:val="18"/>
                  <w:color w:val="auto"/>
                </w:rPr>
                <w:t xml:space="preserve">Consolidated Statements of Operations and Comprehensive Income </w:t>
              </w:r>
            </w:hyperlink>
            <w:r>
              <w:rPr>
                <w:rFonts w:ascii="Arial" w:cs="Arial" w:eastAsia="Arial" w:hAnsi="Arial"/>
                <w:sz w:val="18"/>
                <w:szCs w:val="18"/>
                <w:color w:val="auto"/>
              </w:rPr>
              <w:t>(Loss)</w:t>
            </w:r>
          </w:p>
        </w:tc>
        <w:tc>
          <w:tcPr>
            <w:tcW w:w="800" w:type="dxa"/>
            <w:vAlign w:val="bottom"/>
          </w:tcPr>
          <w:p>
            <w:pPr>
              <w:ind w:left="280"/>
              <w:spacing w:after="0"/>
              <w:rPr>
                <w:rFonts w:ascii="Arial" w:cs="Arial" w:eastAsia="Arial" w:hAnsi="Arial"/>
                <w:sz w:val="18"/>
                <w:szCs w:val="18"/>
                <w:color w:val="auto"/>
              </w:rPr>
            </w:pPr>
            <w:hyperlink w:anchor="page153">
              <w:r>
                <w:rPr>
                  <w:rFonts w:ascii="Arial" w:cs="Arial" w:eastAsia="Arial" w:hAnsi="Arial"/>
                  <w:sz w:val="18"/>
                  <w:szCs w:val="18"/>
                  <w:color w:val="auto"/>
                </w:rPr>
                <w:t>F-4</w:t>
              </w:r>
            </w:hyperlink>
          </w:p>
        </w:tc>
      </w:tr>
      <w:tr>
        <w:trPr>
          <w:trHeight w:val="270"/>
        </w:trPr>
        <w:tc>
          <w:tcPr>
            <w:tcW w:w="10420" w:type="dxa"/>
            <w:vAlign w:val="bottom"/>
          </w:tcPr>
          <w:p>
            <w:pPr>
              <w:spacing w:after="0"/>
              <w:rPr>
                <w:rFonts w:ascii="Arial" w:cs="Arial" w:eastAsia="Arial" w:hAnsi="Arial"/>
                <w:sz w:val="18"/>
                <w:szCs w:val="18"/>
                <w:color w:val="auto"/>
              </w:rPr>
            </w:pPr>
            <w:hyperlink w:anchor="page154">
              <w:r>
                <w:rPr>
                  <w:rFonts w:ascii="Arial" w:cs="Arial" w:eastAsia="Arial" w:hAnsi="Arial"/>
                  <w:sz w:val="18"/>
                  <w:szCs w:val="18"/>
                  <w:color w:val="auto"/>
                </w:rPr>
                <w:t>Consolidated Statements of Redeemable Convertible Preferred Stock and Stockholders’ Equity (Deficit)</w:t>
              </w:r>
            </w:hyperlink>
          </w:p>
        </w:tc>
        <w:tc>
          <w:tcPr>
            <w:tcW w:w="800" w:type="dxa"/>
            <w:vAlign w:val="bottom"/>
          </w:tcPr>
          <w:p>
            <w:pPr>
              <w:ind w:left="280"/>
              <w:spacing w:after="0"/>
              <w:rPr>
                <w:rFonts w:ascii="Arial" w:cs="Arial" w:eastAsia="Arial" w:hAnsi="Arial"/>
                <w:sz w:val="18"/>
                <w:szCs w:val="18"/>
                <w:color w:val="auto"/>
              </w:rPr>
            </w:pPr>
            <w:hyperlink w:anchor="page154">
              <w:r>
                <w:rPr>
                  <w:rFonts w:ascii="Arial" w:cs="Arial" w:eastAsia="Arial" w:hAnsi="Arial"/>
                  <w:sz w:val="18"/>
                  <w:szCs w:val="18"/>
                  <w:color w:val="auto"/>
                </w:rPr>
                <w:t>F-5</w:t>
              </w:r>
            </w:hyperlink>
          </w:p>
        </w:tc>
      </w:tr>
      <w:tr>
        <w:trPr>
          <w:trHeight w:val="270"/>
        </w:trPr>
        <w:tc>
          <w:tcPr>
            <w:tcW w:w="10420" w:type="dxa"/>
            <w:vAlign w:val="bottom"/>
          </w:tcPr>
          <w:p>
            <w:pPr>
              <w:spacing w:after="0"/>
              <w:rPr>
                <w:rFonts w:ascii="Arial" w:cs="Arial" w:eastAsia="Arial" w:hAnsi="Arial"/>
                <w:sz w:val="18"/>
                <w:szCs w:val="18"/>
                <w:color w:val="auto"/>
              </w:rPr>
            </w:pPr>
            <w:hyperlink w:anchor="page156">
              <w:r>
                <w:rPr>
                  <w:rFonts w:ascii="Arial" w:cs="Arial" w:eastAsia="Arial" w:hAnsi="Arial"/>
                  <w:sz w:val="18"/>
                  <w:szCs w:val="18"/>
                  <w:color w:val="auto"/>
                </w:rPr>
                <w:t>Consolidated Statements of Cash Flows</w:t>
              </w:r>
            </w:hyperlink>
          </w:p>
        </w:tc>
        <w:tc>
          <w:tcPr>
            <w:tcW w:w="800" w:type="dxa"/>
            <w:vAlign w:val="bottom"/>
          </w:tcPr>
          <w:p>
            <w:pPr>
              <w:ind w:left="280"/>
              <w:spacing w:after="0"/>
              <w:rPr>
                <w:rFonts w:ascii="Arial" w:cs="Arial" w:eastAsia="Arial" w:hAnsi="Arial"/>
                <w:sz w:val="18"/>
                <w:szCs w:val="18"/>
                <w:color w:val="auto"/>
              </w:rPr>
            </w:pPr>
            <w:hyperlink w:anchor="page156">
              <w:r>
                <w:rPr>
                  <w:rFonts w:ascii="Arial" w:cs="Arial" w:eastAsia="Arial" w:hAnsi="Arial"/>
                  <w:sz w:val="18"/>
                  <w:szCs w:val="18"/>
                  <w:color w:val="auto"/>
                </w:rPr>
                <w:t>F-7</w:t>
              </w:r>
            </w:hyperlink>
          </w:p>
        </w:tc>
      </w:tr>
      <w:tr>
        <w:trPr>
          <w:trHeight w:val="270"/>
        </w:trPr>
        <w:tc>
          <w:tcPr>
            <w:tcW w:w="10420" w:type="dxa"/>
            <w:vAlign w:val="bottom"/>
          </w:tcPr>
          <w:p>
            <w:pPr>
              <w:spacing w:after="0"/>
              <w:rPr>
                <w:rFonts w:ascii="Arial" w:cs="Arial" w:eastAsia="Arial" w:hAnsi="Arial"/>
                <w:sz w:val="18"/>
                <w:szCs w:val="18"/>
                <w:color w:val="auto"/>
              </w:rPr>
            </w:pPr>
            <w:hyperlink w:anchor="page157">
              <w:r>
                <w:rPr>
                  <w:rFonts w:ascii="Arial" w:cs="Arial" w:eastAsia="Arial" w:hAnsi="Arial"/>
                  <w:sz w:val="18"/>
                  <w:szCs w:val="18"/>
                  <w:color w:val="auto"/>
                </w:rPr>
                <w:t>Notes to Consolidated Financial Statements</w:t>
              </w:r>
            </w:hyperlink>
          </w:p>
        </w:tc>
        <w:tc>
          <w:tcPr>
            <w:tcW w:w="800" w:type="dxa"/>
            <w:vAlign w:val="bottom"/>
          </w:tcPr>
          <w:p>
            <w:pPr>
              <w:ind w:left="280"/>
              <w:spacing w:after="0"/>
              <w:rPr>
                <w:rFonts w:ascii="Arial" w:cs="Arial" w:eastAsia="Arial" w:hAnsi="Arial"/>
                <w:sz w:val="18"/>
                <w:szCs w:val="18"/>
                <w:color w:val="auto"/>
              </w:rPr>
            </w:pPr>
            <w:hyperlink w:anchor="page157">
              <w:r>
                <w:rPr>
                  <w:rFonts w:ascii="Arial" w:cs="Arial" w:eastAsia="Arial" w:hAnsi="Arial"/>
                  <w:sz w:val="18"/>
                  <w:szCs w:val="18"/>
                  <w:color w:val="auto"/>
                </w:rPr>
                <w:t>F-8</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F-1</w:t>
      </w:r>
    </w:p>
    <w:p>
      <w:pPr>
        <w:sectPr>
          <w:pgSz w:w="11900" w:h="16838" w:orient="portrait"/>
          <w:cols w:equalWidth="0" w:num="1">
            <w:col w:w="11220"/>
          </w:cols>
          <w:pgMar w:left="340" w:top="1440" w:right="339" w:bottom="1440" w:gutter="0" w:footer="0" w:header="0"/>
        </w:sectPr>
      </w:pPr>
    </w:p>
    <w:bookmarkStart w:id="151" w:name="page152"/>
    <w:bookmarkEnd w:id="151"/>
    <w:p>
      <w:pPr>
        <w:spacing w:after="0" w:line="140" w:lineRule="exact"/>
        <w:rPr>
          <w:sz w:val="20"/>
          <w:szCs w:val="20"/>
          <w:color w:val="auto"/>
        </w:rPr>
      </w:pPr>
    </w:p>
    <w:p>
      <w:pPr>
        <w:ind w:right="2540" w:firstLine="2535"/>
        <w:spacing w:after="0" w:line="43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Board of Directors of NerdWallet,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audited the accompanying consolidated balance sheets of NerdWallet, Inc. and its subsidiaries (the “Company”) as of December 31, 2020 and 2019, the related consolidated statements of operations and comprehensive income (loss), redeemable convertible preferred stock and stockholders’ equity (deficit) and cash flows for the years ended December 31, 2020 and 2019, and the related notes to the consolidated financial statements (collectively referred to as the “financial statements”). In our opinion, the financial statements present fairly, in all material respects, the financial position of the Company as of December 31, 2020 and 2019 and the results of its operations and cash flows for the years ended December 31, 2020 and 2019 in conformity with accounting principles generally accepted in the United States of America.</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May 3,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F-2</w:t>
      </w:r>
    </w:p>
    <w:p>
      <w:pPr>
        <w:sectPr>
          <w:pgSz w:w="11900" w:h="16838" w:orient="portrait"/>
          <w:cols w:equalWidth="0" w:num="1">
            <w:col w:w="11240"/>
          </w:cols>
          <w:pgMar w:left="320" w:top="1440" w:right="339" w:bottom="1440" w:gutter="0" w:footer="0" w:header="0"/>
        </w:sectPr>
      </w:pPr>
    </w:p>
    <w:bookmarkStart w:id="152" w:name="page153"/>
    <w:bookmarkEnd w:id="152"/>
    <w:p>
      <w:pPr>
        <w:ind w:left="3880"/>
        <w:spacing w:after="0"/>
        <w:rPr>
          <w:sz w:val="20"/>
          <w:szCs w:val="20"/>
          <w:color w:val="auto"/>
        </w:rPr>
      </w:pPr>
      <w:r>
        <w:rPr>
          <w:rFonts w:ascii="Arial" w:cs="Arial" w:eastAsia="Arial" w:hAnsi="Arial"/>
          <w:sz w:val="18"/>
          <w:szCs w:val="18"/>
          <w:b w:val="1"/>
          <w:bCs w:val="1"/>
          <w:color w:val="auto"/>
        </w:rPr>
        <w:t>NERDWALLET, INC. AND SUBSIDIARIES</w:t>
      </w:r>
    </w:p>
    <w:p>
      <w:pPr>
        <w:spacing w:after="0" w:line="17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7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147"/>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209"/>
        </w:trPr>
        <w:tc>
          <w:tcPr>
            <w:tcW w:w="6720" w:type="dxa"/>
            <w:vAlign w:val="bottom"/>
          </w:tcPr>
          <w:p>
            <w:pPr>
              <w:spacing w:after="0"/>
              <w:rPr>
                <w:sz w:val="18"/>
                <w:szCs w:val="18"/>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47"/>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87"/>
        </w:trPr>
        <w:tc>
          <w:tcPr>
            <w:tcW w:w="6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47"/>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197"/>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9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7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96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210"/>
        </w:trPr>
        <w:tc>
          <w:tcPr>
            <w:tcW w:w="6720" w:type="dxa"/>
            <w:vAlign w:val="bottom"/>
          </w:tcPr>
          <w:p>
            <w:pPr>
              <w:ind w:left="20"/>
              <w:spacing w:after="0"/>
              <w:rPr>
                <w:sz w:val="20"/>
                <w:szCs w:val="20"/>
                <w:color w:val="auto"/>
              </w:rPr>
            </w:pPr>
            <w:r>
              <w:rPr>
                <w:rFonts w:ascii="Arial" w:cs="Arial" w:eastAsia="Arial" w:hAnsi="Arial"/>
                <w:sz w:val="14"/>
                <w:szCs w:val="14"/>
                <w:color w:val="auto"/>
              </w:rPr>
              <w:t>Accounts receivable</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36.1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9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09"/>
        </w:trPr>
        <w:tc>
          <w:tcPr>
            <w:tcW w:w="6720" w:type="dxa"/>
            <w:vAlign w:val="bottom"/>
          </w:tcPr>
          <w:p>
            <w:pPr>
              <w:ind w:left="20"/>
              <w:spacing w:after="0"/>
              <w:rPr>
                <w:sz w:val="20"/>
                <w:szCs w:val="20"/>
                <w:color w:val="auto"/>
              </w:rPr>
            </w:pPr>
            <w:r>
              <w:rPr>
                <w:rFonts w:ascii="Arial" w:cs="Arial" w:eastAsia="Arial" w:hAnsi="Arial"/>
                <w:sz w:val="14"/>
                <w:szCs w:val="14"/>
                <w:color w:val="auto"/>
              </w:rPr>
              <w:t>Total current assets</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107.9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107.8</w:t>
            </w:r>
          </w:p>
        </w:tc>
        <w:tc>
          <w:tcPr>
            <w:tcW w:w="0" w:type="dxa"/>
            <w:vAlign w:val="bottom"/>
          </w:tcPr>
          <w:p>
            <w:pPr>
              <w:spacing w:after="0"/>
              <w:rPr>
                <w:sz w:val="1"/>
                <w:szCs w:val="1"/>
                <w:color w:val="auto"/>
              </w:rPr>
            </w:pPr>
          </w:p>
        </w:tc>
      </w:tr>
      <w:tr>
        <w:trPr>
          <w:trHeight w:val="222"/>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EQUIPMENT, AND SOFTWARE—Net</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210"/>
        </w:trPr>
        <w:tc>
          <w:tcPr>
            <w:tcW w:w="6720" w:type="dxa"/>
            <w:vAlign w:val="bottom"/>
          </w:tcPr>
          <w:p>
            <w:pPr>
              <w:ind w:left="20"/>
              <w:spacing w:after="0"/>
              <w:rPr>
                <w:sz w:val="20"/>
                <w:szCs w:val="20"/>
                <w:color w:val="auto"/>
              </w:rPr>
            </w:pPr>
            <w:r>
              <w:rPr>
                <w:rFonts w:ascii="Arial" w:cs="Arial" w:eastAsia="Arial" w:hAnsi="Arial"/>
                <w:sz w:val="14"/>
                <w:szCs w:val="14"/>
                <w:color w:val="auto"/>
              </w:rPr>
              <w:t>GOODWILL</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44.0</w:t>
            </w:r>
          </w:p>
        </w:tc>
        <w:tc>
          <w:tcPr>
            <w:tcW w:w="0" w:type="dxa"/>
            <w:vAlign w:val="bottom"/>
          </w:tcPr>
          <w:p>
            <w:pPr>
              <w:spacing w:after="0"/>
              <w:rPr>
                <w:sz w:val="1"/>
                <w:szCs w:val="1"/>
                <w:color w:val="auto"/>
              </w:rPr>
            </w:pPr>
          </w:p>
        </w:tc>
      </w:tr>
      <w:tr>
        <w:trPr>
          <w:trHeight w:val="222"/>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INTANGIBLES—Net</w:t>
            </w:r>
          </w:p>
        </w:tc>
        <w:tc>
          <w:tcPr>
            <w:tcW w:w="9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210"/>
        </w:trPr>
        <w:tc>
          <w:tcPr>
            <w:tcW w:w="6720" w:type="dxa"/>
            <w:vAlign w:val="bottom"/>
          </w:tcPr>
          <w:p>
            <w:pPr>
              <w:ind w:left="20"/>
              <w:spacing w:after="0"/>
              <w:rPr>
                <w:sz w:val="20"/>
                <w:szCs w:val="20"/>
                <w:color w:val="auto"/>
              </w:rPr>
            </w:pPr>
            <w:r>
              <w:rPr>
                <w:rFonts w:ascii="Arial" w:cs="Arial" w:eastAsia="Arial" w:hAnsi="Arial"/>
                <w:sz w:val="14"/>
                <w:szCs w:val="14"/>
                <w:color w:val="auto"/>
              </w:rPr>
              <w:t>DEFERRED TAX ASSET—Noncurrent</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222"/>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RIGHT-OF-USE ASSETS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10"/>
        </w:trPr>
        <w:tc>
          <w:tcPr>
            <w:tcW w:w="672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96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40"/>
        </w:trPr>
        <w:tc>
          <w:tcPr>
            <w:tcW w:w="6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960" w:type="dxa"/>
            <w:vAlign w:val="bottom"/>
            <w:tcBorders>
              <w:top w:val="single" w:sz="8" w:color="auto"/>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242.8</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line="153" w:lineRule="exact"/>
              <w:rPr>
                <w:sz w:val="20"/>
                <w:szCs w:val="20"/>
                <w:color w:val="auto"/>
              </w:rPr>
            </w:pPr>
            <w:r>
              <w:rPr>
                <w:rFonts w:ascii="Arial" w:cs="Arial" w:eastAsia="Arial" w:hAnsi="Arial"/>
                <w:sz w:val="14"/>
                <w:szCs w:val="14"/>
                <w:b w:val="1"/>
                <w:bCs w:val="1"/>
                <w:color w:val="auto"/>
              </w:rPr>
              <w:t>LIABILITIES, REDEEMABLE CONVERTIBLE PREFERRED STOCK AND STOCKHOLDERS’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672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6720" w:type="dxa"/>
            <w:vAlign w:val="bottom"/>
          </w:tcPr>
          <w:p>
            <w:pPr>
              <w:ind w:left="180"/>
              <w:spacing w:after="0"/>
              <w:rPr>
                <w:sz w:val="20"/>
                <w:szCs w:val="20"/>
                <w:color w:val="auto"/>
              </w:rPr>
            </w:pPr>
            <w:r>
              <w:rPr>
                <w:rFonts w:ascii="Arial" w:cs="Arial" w:eastAsia="Arial" w:hAnsi="Arial"/>
                <w:sz w:val="14"/>
                <w:szCs w:val="14"/>
                <w:b w:val="1"/>
                <w:bCs w:val="1"/>
                <w:color w:val="auto"/>
              </w:rPr>
              <w:t>EQUITY</w:t>
            </w: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9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720" w:type="dxa"/>
            <w:vAlign w:val="bottom"/>
          </w:tcPr>
          <w:p>
            <w:pPr>
              <w:ind w:left="20"/>
              <w:spacing w:after="0"/>
              <w:rPr>
                <w:sz w:val="20"/>
                <w:szCs w:val="20"/>
                <w:color w:val="auto"/>
              </w:rPr>
            </w:pPr>
            <w:r>
              <w:rPr>
                <w:rFonts w:ascii="Arial" w:cs="Arial" w:eastAsia="Arial" w:hAnsi="Arial"/>
                <w:sz w:val="14"/>
                <w:szCs w:val="14"/>
                <w:color w:val="auto"/>
              </w:rPr>
              <w:t>Accounts payable</w:t>
            </w:r>
          </w:p>
        </w:tc>
        <w:tc>
          <w:tcPr>
            <w:tcW w:w="960" w:type="dxa"/>
            <w:vAlign w:val="bottom"/>
          </w:tcPr>
          <w:p>
            <w:pPr>
              <w:jc w:val="right"/>
              <w:ind w:right="80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6"/>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and other current liabilities</w:t>
            </w:r>
          </w:p>
        </w:tc>
        <w:tc>
          <w:tcPr>
            <w:tcW w:w="9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190"/>
        </w:trPr>
        <w:tc>
          <w:tcPr>
            <w:tcW w:w="6720" w:type="dxa"/>
            <w:vAlign w:val="bottom"/>
          </w:tcPr>
          <w:p>
            <w:pPr>
              <w:ind w:left="20"/>
              <w:spacing w:after="0"/>
              <w:rPr>
                <w:sz w:val="20"/>
                <w:szCs w:val="20"/>
                <w:color w:val="auto"/>
              </w:rPr>
            </w:pPr>
            <w:r>
              <w:rPr>
                <w:rFonts w:ascii="Arial" w:cs="Arial" w:eastAsia="Arial" w:hAnsi="Arial"/>
                <w:sz w:val="14"/>
                <w:szCs w:val="14"/>
                <w:color w:val="auto"/>
              </w:rPr>
              <w:t>Contingent consideration—Current</w:t>
            </w:r>
          </w:p>
        </w:tc>
        <w:tc>
          <w:tcPr>
            <w:tcW w:w="96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Debt—Current</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6720" w:type="dxa"/>
            <w:vAlign w:val="bottom"/>
          </w:tcPr>
          <w:p>
            <w:pPr>
              <w:ind w:left="20"/>
              <w:spacing w:after="0"/>
              <w:rPr>
                <w:sz w:val="20"/>
                <w:szCs w:val="20"/>
                <w:color w:val="auto"/>
              </w:rPr>
            </w:pPr>
            <w:r>
              <w:rPr>
                <w:rFonts w:ascii="Arial" w:cs="Arial" w:eastAsia="Arial" w:hAnsi="Arial"/>
                <w:sz w:val="14"/>
                <w:szCs w:val="14"/>
                <w:color w:val="auto"/>
              </w:rPr>
              <w:t>Total current liabilities</w:t>
            </w:r>
          </w:p>
        </w:tc>
        <w:tc>
          <w:tcPr>
            <w:tcW w:w="96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26.9</w:t>
            </w:r>
          </w:p>
        </w:tc>
        <w:tc>
          <w:tcPr>
            <w:tcW w:w="10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CONTINGENT CONSIDERATION—Noncurrent</w:t>
            </w:r>
          </w:p>
        </w:tc>
        <w:tc>
          <w:tcPr>
            <w:tcW w:w="9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90"/>
        </w:trPr>
        <w:tc>
          <w:tcPr>
            <w:tcW w:w="6720" w:type="dxa"/>
            <w:vAlign w:val="bottom"/>
          </w:tcPr>
          <w:p>
            <w:pPr>
              <w:ind w:left="20"/>
              <w:spacing w:after="0"/>
              <w:rPr>
                <w:sz w:val="20"/>
                <w:szCs w:val="20"/>
                <w:color w:val="auto"/>
              </w:rPr>
            </w:pPr>
            <w:r>
              <w:rPr>
                <w:rFonts w:ascii="Arial" w:cs="Arial" w:eastAsia="Arial" w:hAnsi="Arial"/>
                <w:sz w:val="14"/>
                <w:szCs w:val="14"/>
                <w:color w:val="auto"/>
              </w:rPr>
              <w:t>DEBT—Noncurrent</w:t>
            </w:r>
          </w:p>
        </w:tc>
        <w:tc>
          <w:tcPr>
            <w:tcW w:w="9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TAX LIABILITY—Noncurrent</w:t>
            </w:r>
          </w:p>
        </w:tc>
        <w:tc>
          <w:tcPr>
            <w:tcW w:w="9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1"/>
        </w:trPr>
        <w:tc>
          <w:tcPr>
            <w:tcW w:w="6720" w:type="dxa"/>
            <w:vAlign w:val="bottom"/>
          </w:tcPr>
          <w:p>
            <w:pPr>
              <w:ind w:left="20"/>
              <w:spacing w:after="0"/>
              <w:rPr>
                <w:sz w:val="20"/>
                <w:szCs w:val="20"/>
                <w:color w:val="auto"/>
              </w:rPr>
            </w:pPr>
            <w:r>
              <w:rPr>
                <w:rFonts w:ascii="Arial" w:cs="Arial" w:eastAsia="Arial" w:hAnsi="Arial"/>
                <w:sz w:val="14"/>
                <w:szCs w:val="14"/>
                <w:color w:val="auto"/>
              </w:rPr>
              <w:t>OTHER LIABILITIES—Noncurrent</w:t>
            </w:r>
          </w:p>
        </w:tc>
        <w:tc>
          <w:tcPr>
            <w:tcW w:w="9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5"/>
        </w:trPr>
        <w:tc>
          <w:tcPr>
            <w:tcW w:w="67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w:t>
            </w:r>
          </w:p>
        </w:tc>
        <w:tc>
          <w:tcPr>
            <w:tcW w:w="9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67.8</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121.6</w:t>
            </w:r>
          </w:p>
        </w:tc>
        <w:tc>
          <w:tcPr>
            <w:tcW w:w="0" w:type="dxa"/>
            <w:vAlign w:val="bottom"/>
          </w:tcPr>
          <w:p>
            <w:pPr>
              <w:spacing w:after="0"/>
              <w:rPr>
                <w:sz w:val="1"/>
                <w:szCs w:val="1"/>
                <w:color w:val="auto"/>
              </w:rPr>
            </w:pPr>
          </w:p>
        </w:tc>
      </w:tr>
      <w:tr>
        <w:trPr>
          <w:trHeight w:val="190"/>
        </w:trPr>
        <w:tc>
          <w:tcPr>
            <w:tcW w:w="6720" w:type="dxa"/>
            <w:vAlign w:val="bottom"/>
          </w:tcPr>
          <w:p>
            <w:pPr>
              <w:ind w:left="20"/>
              <w:spacing w:after="0"/>
              <w:rPr>
                <w:sz w:val="20"/>
                <w:szCs w:val="20"/>
                <w:color w:val="auto"/>
              </w:rPr>
            </w:pPr>
            <w:r>
              <w:rPr>
                <w:rFonts w:ascii="Arial" w:cs="Arial" w:eastAsia="Arial" w:hAnsi="Arial"/>
                <w:sz w:val="14"/>
                <w:szCs w:val="14"/>
                <w:color w:val="auto"/>
              </w:rPr>
              <w:t>COMMITMENTS AND CONTINGENCIES (Note 8)</w:t>
            </w: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SERIES A REDEEMABLE CONVERTIBLE PREFERRED STOCK—$0.0001</w:t>
            </w:r>
          </w:p>
        </w:tc>
        <w:tc>
          <w:tcPr>
            <w:tcW w:w="9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6720" w:type="dxa"/>
            <w:vAlign w:val="bottom"/>
          </w:tcPr>
          <w:p>
            <w:pPr>
              <w:ind w:left="20"/>
              <w:spacing w:after="0" w:line="135" w:lineRule="exact"/>
              <w:rPr>
                <w:sz w:val="20"/>
                <w:szCs w:val="20"/>
                <w:color w:val="auto"/>
              </w:rPr>
            </w:pPr>
            <w:r>
              <w:rPr>
                <w:rFonts w:ascii="Arial" w:cs="Arial" w:eastAsia="Arial" w:hAnsi="Arial"/>
                <w:sz w:val="14"/>
                <w:szCs w:val="14"/>
                <w:color w:val="auto"/>
              </w:rPr>
              <w:t>Par value per-share—17,301,256 shares authorized as of December 31, 2019 and 2020 and June 30, 2021</w:t>
            </w: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20" w:type="dxa"/>
            <w:vAlign w:val="bottom"/>
          </w:tcPr>
          <w:p>
            <w:pPr>
              <w:ind w:left="180"/>
              <w:spacing w:after="0" w:line="135" w:lineRule="exact"/>
              <w:rPr>
                <w:sz w:val="20"/>
                <w:szCs w:val="20"/>
                <w:color w:val="auto"/>
              </w:rPr>
            </w:pPr>
            <w:r>
              <w:rPr>
                <w:rFonts w:ascii="Arial" w:cs="Arial" w:eastAsia="Arial" w:hAnsi="Arial"/>
                <w:sz w:val="14"/>
                <w:szCs w:val="14"/>
                <w:color w:val="auto"/>
                <w:w w:val="91"/>
              </w:rPr>
              <w:t>(unaudited); 15,374,664 shares issued and outstanding as of December 31, 2019 and 2020 and 15,169,664 shares</w:t>
            </w: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20" w:type="dxa"/>
            <w:vAlign w:val="bottom"/>
          </w:tcPr>
          <w:p>
            <w:pPr>
              <w:ind w:left="180"/>
              <w:spacing w:after="0" w:line="135" w:lineRule="exact"/>
              <w:rPr>
                <w:sz w:val="20"/>
                <w:szCs w:val="20"/>
                <w:color w:val="auto"/>
              </w:rPr>
            </w:pPr>
            <w:r>
              <w:rPr>
                <w:rFonts w:ascii="Arial" w:cs="Arial" w:eastAsia="Arial" w:hAnsi="Arial"/>
                <w:sz w:val="14"/>
                <w:szCs w:val="14"/>
                <w:color w:val="auto"/>
              </w:rPr>
              <w:t>issued and outstanding as of June 30, 2021 (unaudited); liquidation preference of $69.0 million as of</w:t>
            </w:r>
          </w:p>
        </w:tc>
        <w:tc>
          <w:tcPr>
            <w:tcW w:w="96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68.8</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68.8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66.7</w:t>
            </w:r>
          </w:p>
        </w:tc>
        <w:tc>
          <w:tcPr>
            <w:tcW w:w="0" w:type="dxa"/>
            <w:vAlign w:val="bottom"/>
          </w:tcPr>
          <w:p>
            <w:pPr>
              <w:spacing w:after="0"/>
              <w:rPr>
                <w:sz w:val="1"/>
                <w:szCs w:val="1"/>
                <w:color w:val="auto"/>
              </w:rPr>
            </w:pPr>
          </w:p>
        </w:tc>
      </w:tr>
      <w:tr>
        <w:trPr>
          <w:trHeight w:val="186"/>
        </w:trPr>
        <w:tc>
          <w:tcPr>
            <w:tcW w:w="6720" w:type="dxa"/>
            <w:vAlign w:val="bottom"/>
          </w:tcPr>
          <w:p>
            <w:pPr>
              <w:ind w:left="180"/>
              <w:spacing w:after="0"/>
              <w:rPr>
                <w:sz w:val="20"/>
                <w:szCs w:val="20"/>
                <w:color w:val="auto"/>
              </w:rPr>
            </w:pPr>
            <w:r>
              <w:rPr>
                <w:rFonts w:ascii="Arial" w:cs="Arial" w:eastAsia="Arial" w:hAnsi="Arial"/>
                <w:sz w:val="14"/>
                <w:szCs w:val="14"/>
                <w:color w:val="auto"/>
              </w:rPr>
              <w:t>December 31, 2019 and 2020 and $68.1 million as of June 30, 2021 (unaudited)</w:t>
            </w:r>
          </w:p>
        </w:tc>
        <w:tc>
          <w:tcPr>
            <w:tcW w:w="96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9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6720" w:type="dxa"/>
            <w:vAlign w:val="bottom"/>
          </w:tcPr>
          <w:p>
            <w:pPr>
              <w:ind w:left="20"/>
              <w:spacing w:after="0" w:line="135" w:lineRule="exact"/>
              <w:rPr>
                <w:sz w:val="20"/>
                <w:szCs w:val="20"/>
                <w:color w:val="auto"/>
              </w:rPr>
            </w:pPr>
            <w:r>
              <w:rPr>
                <w:rFonts w:ascii="Arial" w:cs="Arial" w:eastAsia="Arial" w:hAnsi="Arial"/>
                <w:sz w:val="14"/>
                <w:szCs w:val="14"/>
                <w:color w:val="auto"/>
                <w:w w:val="93"/>
              </w:rPr>
              <w:t>Common stock—$0.0001 par value per-share— 255,000,000 shares authorized as of December 31, 2019 and 2020</w:t>
            </w: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20" w:type="dxa"/>
            <w:vAlign w:val="bottom"/>
          </w:tcPr>
          <w:p>
            <w:pPr>
              <w:ind w:left="180"/>
              <w:spacing w:after="0" w:line="135" w:lineRule="exact"/>
              <w:rPr>
                <w:sz w:val="20"/>
                <w:szCs w:val="20"/>
                <w:color w:val="auto"/>
              </w:rPr>
            </w:pPr>
            <w:r>
              <w:rPr>
                <w:rFonts w:ascii="Arial" w:cs="Arial" w:eastAsia="Arial" w:hAnsi="Arial"/>
                <w:sz w:val="14"/>
                <w:szCs w:val="14"/>
                <w:color w:val="auto"/>
                <w:w w:val="96"/>
              </w:rPr>
              <w:t>and June 30, 2021 (unaudited); 84,615,685, 97,705,413 and 99,204,520 shares issued and outstanding as of</w:t>
            </w:r>
          </w:p>
        </w:tc>
        <w:tc>
          <w:tcPr>
            <w:tcW w:w="960" w:type="dxa"/>
            <w:vAlign w:val="bottom"/>
          </w:tcPr>
          <w:p>
            <w:pPr>
              <w:spacing w:after="0"/>
              <w:rPr>
                <w:sz w:val="11"/>
                <w:szCs w:val="11"/>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1"/>
                <w:szCs w:val="11"/>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720" w:type="dxa"/>
            <w:vAlign w:val="bottom"/>
          </w:tcPr>
          <w:p>
            <w:pPr>
              <w:ind w:left="180"/>
              <w:spacing w:after="0"/>
              <w:rPr>
                <w:sz w:val="20"/>
                <w:szCs w:val="20"/>
                <w:color w:val="auto"/>
              </w:rPr>
            </w:pPr>
            <w:r>
              <w:rPr>
                <w:rFonts w:ascii="Arial" w:cs="Arial" w:eastAsia="Arial" w:hAnsi="Arial"/>
                <w:sz w:val="14"/>
                <w:szCs w:val="14"/>
                <w:color w:val="auto"/>
              </w:rPr>
              <w:t>December 31, 2019 and 2020 and June 30, 2021 (unaudited)</w:t>
            </w:r>
          </w:p>
        </w:tc>
        <w:tc>
          <w:tcPr>
            <w:tcW w:w="96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stock</w:t>
            </w:r>
          </w:p>
        </w:tc>
        <w:tc>
          <w:tcPr>
            <w:tcW w:w="9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1"/>
        </w:trPr>
        <w:tc>
          <w:tcPr>
            <w:tcW w:w="672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9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99.8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112.5</w:t>
            </w: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income</w:t>
            </w:r>
          </w:p>
        </w:tc>
        <w:tc>
          <w:tcPr>
            <w:tcW w:w="9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91"/>
        </w:trPr>
        <w:tc>
          <w:tcPr>
            <w:tcW w:w="6720" w:type="dxa"/>
            <w:vAlign w:val="bottom"/>
          </w:tcPr>
          <w:p>
            <w:pPr>
              <w:ind w:left="20"/>
              <w:spacing w:after="0"/>
              <w:rPr>
                <w:sz w:val="20"/>
                <w:szCs w:val="20"/>
                <w:color w:val="auto"/>
              </w:rPr>
            </w:pPr>
            <w:r>
              <w:rPr>
                <w:rFonts w:ascii="Arial" w:cs="Arial" w:eastAsia="Arial" w:hAnsi="Arial"/>
                <w:sz w:val="14"/>
                <w:szCs w:val="14"/>
                <w:color w:val="auto"/>
              </w:rPr>
              <w:t>Accumulated deficit</w:t>
            </w:r>
          </w:p>
        </w:tc>
        <w:tc>
          <w:tcPr>
            <w:tcW w:w="9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(58.8)</w:t>
            </w:r>
          </w:p>
        </w:tc>
        <w:tc>
          <w:tcPr>
            <w:tcW w:w="0" w:type="dxa"/>
            <w:vAlign w:val="bottom"/>
          </w:tcPr>
          <w:p>
            <w:pPr>
              <w:spacing w:after="0"/>
              <w:rPr>
                <w:sz w:val="1"/>
                <w:szCs w:val="1"/>
                <w:color w:val="auto"/>
              </w:rPr>
            </w:pPr>
          </w:p>
        </w:tc>
      </w:tr>
      <w:tr>
        <w:trPr>
          <w:trHeight w:val="25"/>
        </w:trPr>
        <w:tc>
          <w:tcPr>
            <w:tcW w:w="67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stockholders’ equity</w:t>
            </w:r>
          </w:p>
        </w:tc>
        <w:tc>
          <w:tcPr>
            <w:tcW w:w="9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0" w:type="dxa"/>
            <w:vAlign w:val="bottom"/>
          </w:tcPr>
          <w:p>
            <w:pPr>
              <w:spacing w:after="0"/>
              <w:rPr>
                <w:sz w:val="1"/>
                <w:szCs w:val="1"/>
                <w:color w:val="auto"/>
              </w:rPr>
            </w:pPr>
          </w:p>
        </w:tc>
      </w:tr>
      <w:tr>
        <w:trPr>
          <w:trHeight w:val="150"/>
        </w:trPr>
        <w:tc>
          <w:tcPr>
            <w:tcW w:w="6720" w:type="dxa"/>
            <w:vAlign w:val="bottom"/>
          </w:tcPr>
          <w:p>
            <w:pPr>
              <w:ind w:left="20"/>
              <w:spacing w:after="0" w:line="151" w:lineRule="exact"/>
              <w:rPr>
                <w:sz w:val="20"/>
                <w:szCs w:val="20"/>
                <w:color w:val="auto"/>
              </w:rPr>
            </w:pPr>
            <w:r>
              <w:rPr>
                <w:rFonts w:ascii="Arial" w:cs="Arial" w:eastAsia="Arial" w:hAnsi="Arial"/>
                <w:sz w:val="14"/>
                <w:szCs w:val="14"/>
                <w:color w:val="auto"/>
              </w:rPr>
              <w:t>TOTAL LIABILITIES, REDEEMABLE CONVERTIBLE PREFERRED STOCK AND STOCKHOLDERS’</w:t>
            </w:r>
          </w:p>
        </w:tc>
        <w:tc>
          <w:tcPr>
            <w:tcW w:w="960" w:type="dxa"/>
            <w:vAlign w:val="bottom"/>
            <w:tcBorders>
              <w:top w:val="single" w:sz="8" w:color="auto"/>
            </w:tcBorders>
            <w:vMerge w:val="restart"/>
          </w:tcPr>
          <w:p>
            <w:pPr>
              <w:jc w:val="right"/>
              <w:ind w:right="808"/>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144.6</w:t>
            </w:r>
          </w:p>
        </w:tc>
        <w:tc>
          <w:tcPr>
            <w:tcW w:w="100" w:type="dxa"/>
            <w:vAlign w:val="bottom"/>
          </w:tcPr>
          <w:p>
            <w:pPr>
              <w:spacing w:after="0"/>
              <w:rPr>
                <w:sz w:val="13"/>
                <w:szCs w:val="13"/>
                <w:color w:val="auto"/>
              </w:rPr>
            </w:pPr>
          </w:p>
        </w:tc>
        <w:tc>
          <w:tcPr>
            <w:tcW w:w="480" w:type="dxa"/>
            <w:vAlign w:val="bottom"/>
            <w:tcBorders>
              <w:top w:val="single" w:sz="8" w:color="auto"/>
            </w:tcBorders>
            <w:vMerge w:val="restart"/>
          </w:tcPr>
          <w:p>
            <w:pPr>
              <w:jc w:val="right"/>
              <w:ind w:right="32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255.2</w:t>
            </w:r>
          </w:p>
        </w:tc>
        <w:tc>
          <w:tcPr>
            <w:tcW w:w="100" w:type="dxa"/>
            <w:vAlign w:val="bottom"/>
          </w:tcPr>
          <w:p>
            <w:pPr>
              <w:spacing w:after="0"/>
              <w:rPr>
                <w:sz w:val="13"/>
                <w:szCs w:val="13"/>
                <w:color w:val="auto"/>
              </w:rPr>
            </w:pPr>
          </w:p>
        </w:tc>
        <w:tc>
          <w:tcPr>
            <w:tcW w:w="22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242.8</w:t>
            </w:r>
          </w:p>
        </w:tc>
        <w:tc>
          <w:tcPr>
            <w:tcW w:w="0" w:type="dxa"/>
            <w:vAlign w:val="bottom"/>
          </w:tcPr>
          <w:p>
            <w:pPr>
              <w:spacing w:after="0"/>
              <w:rPr>
                <w:sz w:val="1"/>
                <w:szCs w:val="1"/>
                <w:color w:val="auto"/>
              </w:rPr>
            </w:pPr>
          </w:p>
        </w:tc>
      </w:tr>
      <w:tr>
        <w:trPr>
          <w:trHeight w:val="186"/>
        </w:trPr>
        <w:tc>
          <w:tcPr>
            <w:tcW w:w="6720" w:type="dxa"/>
            <w:vAlign w:val="bottom"/>
          </w:tcPr>
          <w:p>
            <w:pPr>
              <w:ind w:left="180"/>
              <w:spacing w:after="0"/>
              <w:rPr>
                <w:sz w:val="20"/>
                <w:szCs w:val="20"/>
                <w:color w:val="auto"/>
              </w:rPr>
            </w:pPr>
            <w:r>
              <w:rPr>
                <w:rFonts w:ascii="Arial" w:cs="Arial" w:eastAsia="Arial" w:hAnsi="Arial"/>
                <w:sz w:val="14"/>
                <w:szCs w:val="14"/>
                <w:color w:val="auto"/>
              </w:rPr>
              <w:t>EQUITY</w:t>
            </w:r>
          </w:p>
        </w:tc>
        <w:tc>
          <w:tcPr>
            <w:tcW w:w="96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F-3</w:t>
      </w:r>
    </w:p>
    <w:p>
      <w:pPr>
        <w:sectPr>
          <w:pgSz w:w="11900" w:h="16838" w:orient="portrait"/>
          <w:cols w:equalWidth="0" w:num="1">
            <w:col w:w="11240"/>
          </w:cols>
          <w:pgMar w:left="320" w:top="121" w:right="339" w:bottom="1440" w:gutter="0" w:footer="0" w:header="0"/>
        </w:sectPr>
      </w:pPr>
    </w:p>
    <w:bookmarkStart w:id="153" w:name="page154"/>
    <w:bookmarkEnd w:id="153"/>
    <w:p>
      <w:pPr>
        <w:ind w:left="3880"/>
        <w:spacing w:after="0"/>
        <w:rPr>
          <w:sz w:val="20"/>
          <w:szCs w:val="20"/>
          <w:color w:val="auto"/>
        </w:rPr>
      </w:pPr>
      <w:r>
        <w:rPr>
          <w:rFonts w:ascii="Arial" w:cs="Arial" w:eastAsia="Arial" w:hAnsi="Arial"/>
          <w:sz w:val="18"/>
          <w:szCs w:val="18"/>
          <w:b w:val="1"/>
          <w:bCs w:val="1"/>
          <w:color w:val="auto"/>
        </w:rPr>
        <w:t>NERDWALLET, INC. AND SUBSIDIARIES</w:t>
      </w:r>
    </w:p>
    <w:p>
      <w:pPr>
        <w:spacing w:after="0" w:line="171" w:lineRule="exact"/>
        <w:rPr>
          <w:sz w:val="20"/>
          <w:szCs w:val="20"/>
          <w:color w:val="auto"/>
        </w:rPr>
      </w:pPr>
    </w:p>
    <w:p>
      <w:pPr>
        <w:ind w:left="1760"/>
        <w:spacing w:after="0"/>
        <w:rPr>
          <w:sz w:val="20"/>
          <w:szCs w:val="20"/>
          <w:color w:val="auto"/>
        </w:rPr>
      </w:pPr>
      <w:r>
        <w:rPr>
          <w:rFonts w:ascii="Arial" w:cs="Arial" w:eastAsia="Arial" w:hAnsi="Arial"/>
          <w:sz w:val="17"/>
          <w:szCs w:val="17"/>
          <w:b w:val="1"/>
          <w:bCs w:val="1"/>
          <w:color w:val="auto"/>
        </w:rPr>
        <w:t>CONSOLIDATED STATEMENTS OF OPERATIONS AND COMPREHENSIVE INCOME (LOSS)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52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32385</wp:posOffset>
            </wp:positionV>
            <wp:extent cx="18770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49" w:lineRule="exact"/>
        <w:rPr>
          <w:sz w:val="20"/>
          <w:szCs w:val="20"/>
          <w:color w:val="auto"/>
        </w:rPr>
      </w:pPr>
    </w:p>
    <w:p>
      <w:pPr>
        <w:ind w:left="5800"/>
        <w:spacing w:after="0"/>
        <w:tabs>
          <w:tab w:leader="none" w:pos="7300" w:val="left"/>
        </w:tabs>
        <w:rPr>
          <w:sz w:val="20"/>
          <w:szCs w:val="20"/>
          <w:color w:val="auto"/>
        </w:rPr>
      </w:pPr>
      <w:r>
        <w:rPr>
          <w:rFonts w:ascii="Arial" w:cs="Arial" w:eastAsia="Arial" w:hAnsi="Arial"/>
          <w:sz w:val="12"/>
          <w:szCs w:val="12"/>
          <w:b w:val="1"/>
          <w:bCs w:val="1"/>
          <w:color w:val="auto"/>
        </w:rPr>
        <w:t>2019</w:t>
      </w:r>
      <w:r>
        <w:rPr>
          <w:sz w:val="20"/>
          <w:szCs w:val="20"/>
          <w:color w:val="auto"/>
        </w:rPr>
        <w:tab/>
      </w:r>
      <w:r>
        <w:rPr>
          <w:rFonts w:ascii="Arial" w:cs="Arial" w:eastAsia="Arial" w:hAnsi="Arial"/>
          <w:sz w:val="12"/>
          <w:szCs w:val="12"/>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46990</wp:posOffset>
            </wp:positionV>
            <wp:extent cx="18770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8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32385</wp:posOffset>
            </wp:positionV>
            <wp:extent cx="18859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49" w:lineRule="exact"/>
        <w:rPr>
          <w:sz w:val="20"/>
          <w:szCs w:val="20"/>
          <w:color w:val="auto"/>
        </w:rPr>
      </w:pPr>
    </w:p>
    <w:p>
      <w:pPr>
        <w:spacing w:after="0"/>
        <w:tabs>
          <w:tab w:leader="none" w:pos="1520" w:val="left"/>
        </w:tabs>
        <w:rPr>
          <w:sz w:val="20"/>
          <w:szCs w:val="20"/>
          <w:color w:val="auto"/>
        </w:rPr>
      </w:pPr>
      <w:r>
        <w:rPr>
          <w:rFonts w:ascii="Arial" w:cs="Arial" w:eastAsia="Arial" w:hAnsi="Arial"/>
          <w:sz w:val="12"/>
          <w:szCs w:val="12"/>
          <w:b w:val="1"/>
          <w:bCs w:val="1"/>
          <w:color w:val="auto"/>
        </w:rPr>
        <w:t>2020</w:t>
      </w:r>
      <w:r>
        <w:rPr>
          <w:sz w:val="20"/>
          <w:szCs w:val="20"/>
          <w:color w:val="auto"/>
        </w:rPr>
        <w:tab/>
      </w:r>
      <w:r>
        <w:rPr>
          <w:rFonts w:ascii="Arial" w:cs="Arial" w:eastAsia="Arial" w:hAnsi="Arial"/>
          <w:sz w:val="12"/>
          <w:szCs w:val="12"/>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46990</wp:posOffset>
            </wp:positionV>
            <wp:extent cx="18859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72"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(unaudited)</w:t>
      </w:r>
    </w:p>
    <w:p>
      <w:pPr>
        <w:spacing w:after="0" w:line="51" w:lineRule="exact"/>
        <w:rPr>
          <w:sz w:val="20"/>
          <w:szCs w:val="20"/>
          <w:color w:val="auto"/>
        </w:rPr>
      </w:pPr>
    </w:p>
    <w:p>
      <w:pPr>
        <w:sectPr>
          <w:pgSz w:w="11900" w:h="16838" w:orient="portrait"/>
          <w:cols w:equalWidth="0" w:num="2">
            <w:col w:w="8120" w:space="720"/>
            <w:col w:w="240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56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228.3</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245.3</w:t>
            </w:r>
          </w:p>
        </w:tc>
        <w:tc>
          <w:tcPr>
            <w:tcW w:w="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137.3</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181.6</w:t>
            </w:r>
          </w:p>
        </w:tc>
        <w:tc>
          <w:tcPr>
            <w:tcW w:w="0" w:type="dxa"/>
            <w:vAlign w:val="bottom"/>
          </w:tcPr>
          <w:p>
            <w:pPr>
              <w:spacing w:after="0"/>
              <w:rPr>
                <w:sz w:val="1"/>
                <w:szCs w:val="1"/>
                <w:color w:val="auto"/>
              </w:rPr>
            </w:pPr>
          </w:p>
        </w:tc>
      </w:tr>
      <w:tr>
        <w:trPr>
          <w:trHeight w:val="170"/>
        </w:trPr>
        <w:tc>
          <w:tcPr>
            <w:tcW w:w="522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5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91"/>
        </w:trPr>
        <w:tc>
          <w:tcPr>
            <w:tcW w:w="522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5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46.0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50.9</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5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115.6</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144.0</w:t>
            </w: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87.5</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151.2</w:t>
            </w:r>
          </w:p>
        </w:tc>
        <w:tc>
          <w:tcPr>
            <w:tcW w:w="0" w:type="dxa"/>
            <w:vAlign w:val="bottom"/>
          </w:tcPr>
          <w:p>
            <w:pPr>
              <w:spacing w:after="0"/>
              <w:rPr>
                <w:sz w:val="1"/>
                <w:szCs w:val="1"/>
                <w:color w:val="auto"/>
              </w:rPr>
            </w:pPr>
          </w:p>
        </w:tc>
      </w:tr>
      <w:tr>
        <w:trPr>
          <w:trHeight w:val="190"/>
        </w:trPr>
        <w:tc>
          <w:tcPr>
            <w:tcW w:w="52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5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28.0</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Change in fair value of contingent consideration related to earnouts</w:t>
            </w:r>
          </w:p>
        </w:tc>
        <w:tc>
          <w:tcPr>
            <w:tcW w:w="5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84"/>
        </w:trPr>
        <w:tc>
          <w:tcPr>
            <w:tcW w:w="5220" w:type="dxa"/>
            <w:vAlign w:val="bottom"/>
          </w:tcPr>
          <w:p>
            <w:pPr>
              <w:ind w:left="20"/>
              <w:spacing w:after="0"/>
              <w:rPr>
                <w:sz w:val="20"/>
                <w:szCs w:val="20"/>
                <w:color w:val="auto"/>
              </w:rPr>
            </w:pPr>
            <w:r>
              <w:rPr>
                <w:rFonts w:ascii="Arial" w:cs="Arial" w:eastAsia="Arial" w:hAnsi="Arial"/>
                <w:sz w:val="14"/>
                <w:szCs w:val="14"/>
                <w:color w:val="auto"/>
              </w:rPr>
              <w:t>Total costs and expenses</w:t>
            </w:r>
          </w:p>
        </w:tc>
        <w:tc>
          <w:tcPr>
            <w:tcW w:w="5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199.9</w:t>
            </w:r>
          </w:p>
        </w:tc>
        <w:tc>
          <w:tcPr>
            <w:tcW w:w="10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243.4</w:t>
            </w:r>
          </w:p>
        </w:tc>
        <w:tc>
          <w:tcPr>
            <w:tcW w:w="8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135.9</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217.5</w:t>
            </w:r>
          </w:p>
        </w:tc>
        <w:tc>
          <w:tcPr>
            <w:tcW w:w="0" w:type="dxa"/>
            <w:vAlign w:val="bottom"/>
          </w:tcPr>
          <w:p>
            <w:pPr>
              <w:spacing w:after="0"/>
              <w:rPr>
                <w:sz w:val="1"/>
                <w:szCs w:val="1"/>
                <w:color w:val="auto"/>
              </w:rPr>
            </w:pPr>
          </w:p>
        </w:tc>
      </w:tr>
      <w:tr>
        <w:trPr>
          <w:trHeight w:val="26"/>
        </w:trPr>
        <w:tc>
          <w:tcPr>
            <w:tcW w:w="52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(LOSS) FROM OPERATIONS</w:t>
            </w:r>
          </w:p>
        </w:tc>
        <w:tc>
          <w:tcPr>
            <w:tcW w:w="5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170"/>
        </w:trPr>
        <w:tc>
          <w:tcPr>
            <w:tcW w:w="522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5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5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522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5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gains (losses), net</w:t>
            </w:r>
          </w:p>
        </w:tc>
        <w:tc>
          <w:tcPr>
            <w:tcW w:w="5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4"/>
        </w:trPr>
        <w:tc>
          <w:tcPr>
            <w:tcW w:w="5220" w:type="dxa"/>
            <w:vAlign w:val="bottom"/>
          </w:tcPr>
          <w:p>
            <w:pPr>
              <w:ind w:left="20"/>
              <w:spacing w:after="0"/>
              <w:rPr>
                <w:sz w:val="20"/>
                <w:szCs w:val="20"/>
                <w:color w:val="auto"/>
              </w:rPr>
            </w:pPr>
            <w:r>
              <w:rPr>
                <w:rFonts w:ascii="Arial" w:cs="Arial" w:eastAsia="Arial" w:hAnsi="Arial"/>
                <w:sz w:val="14"/>
                <w:szCs w:val="14"/>
                <w:color w:val="auto"/>
              </w:rPr>
              <w:t>Total other income (expense)</w:t>
            </w:r>
          </w:p>
        </w:tc>
        <w:tc>
          <w:tcPr>
            <w:tcW w:w="5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6"/>
        </w:trPr>
        <w:tc>
          <w:tcPr>
            <w:tcW w:w="52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(LOSS) BEFORE INCOME TAXES</w:t>
            </w:r>
          </w:p>
        </w:tc>
        <w:tc>
          <w:tcPr>
            <w:tcW w:w="5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0" w:type="dxa"/>
            <w:vAlign w:val="bottom"/>
          </w:tcPr>
          <w:p>
            <w:pPr>
              <w:spacing w:after="0"/>
              <w:rPr>
                <w:sz w:val="1"/>
                <w:szCs w:val="1"/>
                <w:color w:val="auto"/>
              </w:rPr>
            </w:pPr>
          </w:p>
        </w:tc>
      </w:tr>
      <w:tr>
        <w:trPr>
          <w:trHeight w:val="191"/>
        </w:trPr>
        <w:tc>
          <w:tcPr>
            <w:tcW w:w="5220" w:type="dxa"/>
            <w:vAlign w:val="bottom"/>
          </w:tcPr>
          <w:p>
            <w:pPr>
              <w:ind w:left="20"/>
              <w:spacing w:after="0"/>
              <w:rPr>
                <w:sz w:val="20"/>
                <w:szCs w:val="20"/>
                <w:color w:val="auto"/>
              </w:rPr>
            </w:pPr>
            <w:r>
              <w:rPr>
                <w:rFonts w:ascii="Arial" w:cs="Arial" w:eastAsia="Arial" w:hAnsi="Arial"/>
                <w:sz w:val="14"/>
                <w:szCs w:val="14"/>
                <w:color w:val="auto"/>
              </w:rPr>
              <w:t>INCOME TAX PROVISION (BENEFIT)</w:t>
            </w:r>
          </w:p>
        </w:tc>
        <w:tc>
          <w:tcPr>
            <w:tcW w:w="5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6"/>
        </w:trPr>
        <w:tc>
          <w:tcPr>
            <w:tcW w:w="52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5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50"/>
        </w:trPr>
        <w:tc>
          <w:tcPr>
            <w:tcW w:w="5220" w:type="dxa"/>
            <w:vAlign w:val="bottom"/>
          </w:tcPr>
          <w:p>
            <w:pPr>
              <w:ind w:left="20"/>
              <w:spacing w:after="0" w:line="151" w:lineRule="exact"/>
              <w:rPr>
                <w:sz w:val="20"/>
                <w:szCs w:val="20"/>
                <w:color w:val="auto"/>
              </w:rPr>
            </w:pPr>
            <w:r>
              <w:rPr>
                <w:rFonts w:ascii="Arial" w:cs="Arial" w:eastAsia="Arial" w:hAnsi="Arial"/>
                <w:sz w:val="14"/>
                <w:szCs w:val="14"/>
                <w:color w:val="auto"/>
              </w:rPr>
              <w:t>OTHER COMPREHENSIVE INCOME, NET OF TAX—</w:t>
            </w:r>
          </w:p>
        </w:tc>
        <w:tc>
          <w:tcPr>
            <w:tcW w:w="5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220" w:type="dxa"/>
            <w:vAlign w:val="bottom"/>
          </w:tcPr>
          <w:p>
            <w:pPr>
              <w:ind w:left="180"/>
              <w:spacing w:after="0"/>
              <w:rPr>
                <w:sz w:val="20"/>
                <w:szCs w:val="20"/>
                <w:color w:val="auto"/>
              </w:rPr>
            </w:pPr>
            <w:r>
              <w:rPr>
                <w:rFonts w:ascii="Arial" w:cs="Arial" w:eastAsia="Arial" w:hAnsi="Arial"/>
                <w:sz w:val="14"/>
                <w:szCs w:val="14"/>
                <w:color w:val="auto"/>
              </w:rPr>
              <w:t>Change in foreign currency translation</w:t>
            </w:r>
          </w:p>
        </w:tc>
        <w:tc>
          <w:tcPr>
            <w:tcW w:w="5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5"/>
        </w:trPr>
        <w:tc>
          <w:tcPr>
            <w:tcW w:w="52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56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line="157" w:lineRule="exact"/>
              <w:rPr>
                <w:sz w:val="20"/>
                <w:szCs w:val="20"/>
                <w:color w:val="auto"/>
              </w:rPr>
            </w:pPr>
            <w:r>
              <w:rPr>
                <w:rFonts w:ascii="Arial" w:cs="Arial" w:eastAsia="Arial" w:hAnsi="Arial"/>
                <w:sz w:val="14"/>
                <w:szCs w:val="14"/>
                <w:color w:val="auto"/>
              </w:rPr>
              <w:t>NET INCOME (LOSS) PER SHARE ATTRIBUTABLE TO CLASS A AND CLASS F</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52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5220" w:type="dxa"/>
            <w:vAlign w:val="bottom"/>
          </w:tcPr>
          <w:p>
            <w:pPr>
              <w:ind w:left="180"/>
              <w:spacing w:after="0"/>
              <w:rPr>
                <w:sz w:val="20"/>
                <w:szCs w:val="20"/>
                <w:color w:val="auto"/>
              </w:rPr>
            </w:pPr>
            <w:r>
              <w:rPr>
                <w:rFonts w:ascii="Arial" w:cs="Arial" w:eastAsia="Arial" w:hAnsi="Arial"/>
                <w:sz w:val="14"/>
                <w:szCs w:val="14"/>
                <w:color w:val="auto"/>
              </w:rPr>
              <w:t>COMMON STOCKHOLDERS</w:t>
            </w: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5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560" w:type="dxa"/>
            <w:vAlign w:val="bottom"/>
            <w:tcBorders>
              <w:bottom w:val="single" w:sz="8" w:color="CCEEFF"/>
            </w:tcBorders>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0.29</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190"/>
        </w:trPr>
        <w:tc>
          <w:tcPr>
            <w:tcW w:w="5220" w:type="dxa"/>
            <w:vAlign w:val="bottom"/>
          </w:tcPr>
          <w:p>
            <w:pPr>
              <w:ind w:left="20"/>
              <w:spacing w:after="0"/>
              <w:rPr>
                <w:sz w:val="20"/>
                <w:szCs w:val="20"/>
                <w:color w:val="auto"/>
              </w:rPr>
            </w:pPr>
            <w:r>
              <w:rPr>
                <w:rFonts w:ascii="Arial" w:cs="Arial" w:eastAsia="Arial" w:hAnsi="Arial"/>
                <w:sz w:val="14"/>
                <w:szCs w:val="14"/>
                <w:color w:val="auto"/>
              </w:rPr>
              <w:t>Diluted</w:t>
            </w:r>
          </w:p>
        </w:tc>
        <w:tc>
          <w:tcPr>
            <w:tcW w:w="560" w:type="dxa"/>
            <w:vAlign w:val="bottom"/>
          </w:tcPr>
          <w:p>
            <w:pPr>
              <w:jc w:val="right"/>
              <w:ind w:right="40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0.22</w:t>
            </w:r>
          </w:p>
        </w:tc>
        <w:tc>
          <w:tcPr>
            <w:tcW w:w="100" w:type="dxa"/>
            <w:vAlign w:val="bottom"/>
          </w:tcPr>
          <w:p>
            <w:pPr>
              <w:spacing w:after="0"/>
              <w:rPr>
                <w:sz w:val="16"/>
                <w:szCs w:val="16"/>
                <w:color w:val="auto"/>
              </w:rPr>
            </w:pP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0.05</w:t>
            </w:r>
          </w:p>
        </w:tc>
        <w:tc>
          <w:tcPr>
            <w:tcW w:w="80" w:type="dxa"/>
            <w:vAlign w:val="bottom"/>
          </w:tcPr>
          <w:p>
            <w:pPr>
              <w:spacing w:after="0"/>
              <w:rPr>
                <w:sz w:val="16"/>
                <w:szCs w:val="16"/>
                <w:color w:val="auto"/>
              </w:rPr>
            </w:pP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16"/>
                <w:szCs w:val="16"/>
                <w:color w:val="auto"/>
              </w:rPr>
            </w:pPr>
          </w:p>
        </w:tc>
        <w:tc>
          <w:tcPr>
            <w:tcW w:w="560" w:type="dxa"/>
            <w:vAlign w:val="bottom"/>
          </w:tcPr>
          <w:p>
            <w:pPr>
              <w:jc w:val="right"/>
              <w:ind w:right="4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25"/>
        </w:trPr>
        <w:tc>
          <w:tcPr>
            <w:tcW w:w="5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SHARES USED IN COMPUTING NET INCOME (LOSS)</w:t>
            </w:r>
          </w:p>
        </w:tc>
        <w:tc>
          <w:tcPr>
            <w:tcW w:w="5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PER SHARE ATTRIBUTABLE TO CLASS A COMMON STOCKHOLDERS</w:t>
            </w:r>
          </w:p>
        </w:tc>
        <w:tc>
          <w:tcPr>
            <w:tcW w:w="5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20" w:type="dxa"/>
            <w:vAlign w:val="bottom"/>
          </w:tcPr>
          <w:p>
            <w:pPr>
              <w:ind w:left="20"/>
              <w:spacing w:after="0"/>
              <w:rPr>
                <w:sz w:val="20"/>
                <w:szCs w:val="20"/>
                <w:color w:val="auto"/>
              </w:rPr>
            </w:pPr>
            <w:r>
              <w:rPr>
                <w:rFonts w:ascii="Arial" w:cs="Arial" w:eastAsia="Arial" w:hAnsi="Arial"/>
                <w:sz w:val="14"/>
                <w:szCs w:val="14"/>
                <w:color w:val="auto"/>
              </w:rPr>
              <w:t>Basic</w:t>
            </w:r>
          </w:p>
        </w:tc>
        <w:tc>
          <w:tcPr>
            <w:tcW w:w="5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19.9</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25"/>
        </w:trPr>
        <w:tc>
          <w:tcPr>
            <w:tcW w:w="5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5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170"/>
        </w:trPr>
        <w:tc>
          <w:tcPr>
            <w:tcW w:w="5220" w:type="dxa"/>
            <w:vAlign w:val="bottom"/>
          </w:tcPr>
          <w:p>
            <w:pPr>
              <w:ind w:left="20"/>
              <w:spacing w:after="0"/>
              <w:rPr>
                <w:sz w:val="20"/>
                <w:szCs w:val="20"/>
                <w:color w:val="auto"/>
              </w:rPr>
            </w:pPr>
            <w:r>
              <w:rPr>
                <w:rFonts w:ascii="Arial" w:cs="Arial" w:eastAsia="Arial" w:hAnsi="Arial"/>
                <w:sz w:val="14"/>
                <w:szCs w:val="14"/>
                <w:color w:val="auto"/>
              </w:rPr>
              <w:t>WEIGHTED-AVERAGE SHARES USED IN COMPUTING NET INCOME (LOSS)</w:t>
            </w: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220" w:type="dxa"/>
            <w:vAlign w:val="bottom"/>
          </w:tcPr>
          <w:p>
            <w:pPr>
              <w:ind w:left="180"/>
              <w:spacing w:after="0"/>
              <w:rPr>
                <w:sz w:val="20"/>
                <w:szCs w:val="20"/>
                <w:color w:val="auto"/>
              </w:rPr>
            </w:pPr>
            <w:r>
              <w:rPr>
                <w:rFonts w:ascii="Arial" w:cs="Arial" w:eastAsia="Arial" w:hAnsi="Arial"/>
                <w:sz w:val="14"/>
                <w:szCs w:val="14"/>
                <w:color w:val="auto"/>
              </w:rPr>
              <w:t>PER SHARE ATTRIBUTABLE TO CLASS F COMMON STOCKHOLDERS</w:t>
            </w: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5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5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68.6</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68.6</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63.9</w:t>
            </w:r>
          </w:p>
        </w:tc>
        <w:tc>
          <w:tcPr>
            <w:tcW w:w="0" w:type="dxa"/>
            <w:vAlign w:val="bottom"/>
          </w:tcPr>
          <w:p>
            <w:pPr>
              <w:spacing w:after="0"/>
              <w:rPr>
                <w:sz w:val="1"/>
                <w:szCs w:val="1"/>
                <w:color w:val="auto"/>
              </w:rPr>
            </w:pPr>
          </w:p>
        </w:tc>
      </w:tr>
      <w:tr>
        <w:trPr>
          <w:trHeight w:val="190"/>
        </w:trPr>
        <w:tc>
          <w:tcPr>
            <w:tcW w:w="5220" w:type="dxa"/>
            <w:vAlign w:val="bottom"/>
          </w:tcPr>
          <w:p>
            <w:pPr>
              <w:ind w:left="20"/>
              <w:spacing w:after="0"/>
              <w:rPr>
                <w:sz w:val="20"/>
                <w:szCs w:val="20"/>
                <w:color w:val="auto"/>
              </w:rPr>
            </w:pPr>
            <w:r>
              <w:rPr>
                <w:rFonts w:ascii="Arial" w:cs="Arial" w:eastAsia="Arial" w:hAnsi="Arial"/>
                <w:sz w:val="14"/>
                <w:szCs w:val="14"/>
                <w:color w:val="auto"/>
              </w:rPr>
              <w:t>Diluted</w:t>
            </w:r>
          </w:p>
        </w:tc>
        <w:tc>
          <w:tcPr>
            <w:tcW w:w="5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68.6</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68.5</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68.6</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63.9</w:t>
            </w:r>
          </w:p>
        </w:tc>
        <w:tc>
          <w:tcPr>
            <w:tcW w:w="0" w:type="dxa"/>
            <w:vAlign w:val="bottom"/>
          </w:tcPr>
          <w:p>
            <w:pPr>
              <w:spacing w:after="0"/>
              <w:rPr>
                <w:sz w:val="1"/>
                <w:szCs w:val="1"/>
                <w:color w:val="auto"/>
              </w:rPr>
            </w:pPr>
          </w:p>
        </w:tc>
      </w:tr>
    </w:tbl>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F-4</w:t>
      </w:r>
    </w:p>
    <w:p>
      <w:pPr>
        <w:sectPr>
          <w:pgSz w:w="11900" w:h="16838" w:orient="portrait"/>
          <w:cols w:equalWidth="0" w:num="1">
            <w:col w:w="11240"/>
          </w:cols>
          <w:pgMar w:left="320" w:top="337" w:right="339" w:bottom="1440" w:gutter="0" w:footer="0" w:header="0"/>
          <w:type w:val="continuous"/>
        </w:sectPr>
      </w:pPr>
    </w:p>
    <w:bookmarkStart w:id="154" w:name="page155"/>
    <w:bookmarkEnd w:id="154"/>
    <w:p>
      <w:pPr>
        <w:ind w:left="3860"/>
        <w:spacing w:after="0"/>
        <w:rPr>
          <w:sz w:val="20"/>
          <w:szCs w:val="20"/>
          <w:color w:val="auto"/>
        </w:rPr>
      </w:pPr>
      <w:r>
        <w:rPr>
          <w:rFonts w:ascii="Arial" w:cs="Arial" w:eastAsia="Arial" w:hAnsi="Arial"/>
          <w:sz w:val="18"/>
          <w:szCs w:val="18"/>
          <w:b w:val="1"/>
          <w:bCs w:val="1"/>
          <w:color w:val="auto"/>
        </w:rPr>
        <w:t>NERDWALLET, INC. AND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amounts)</w:t>
      </w:r>
    </w:p>
    <w:p>
      <w:pPr>
        <w:sectPr>
          <w:pgSz w:w="11900" w:h="16838" w:orient="portrait"/>
          <w:cols w:equalWidth="0" w:num="1">
            <w:col w:w="11220"/>
          </w:cols>
          <w:pgMar w:left="34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BALANCE - December 31, 2018</w:t>
      </w:r>
    </w:p>
    <w:p>
      <w:pPr>
        <w:spacing w:after="0" w:line="71" w:lineRule="exact"/>
        <w:rPr>
          <w:sz w:val="20"/>
          <w:szCs w:val="20"/>
          <w:color w:val="auto"/>
        </w:rPr>
      </w:pPr>
    </w:p>
    <w:p>
      <w:pPr>
        <w:spacing w:after="0"/>
        <w:rPr>
          <w:sz w:val="20"/>
          <w:szCs w:val="20"/>
          <w:color w:val="auto"/>
        </w:rPr>
      </w:pPr>
      <w:r>
        <w:rPr>
          <w:rFonts w:ascii="Arial" w:cs="Arial" w:eastAsia="Arial" w:hAnsi="Arial"/>
          <w:sz w:val="13"/>
          <w:szCs w:val="13"/>
          <w:color w:val="auto"/>
        </w:rPr>
        <w:t>Impact of ASU 2016-16 adoption</w:t>
      </w:r>
    </w:p>
    <w:p>
      <w:pPr>
        <w:spacing w:after="0" w:line="53" w:lineRule="exact"/>
        <w:rPr>
          <w:sz w:val="20"/>
          <w:szCs w:val="20"/>
          <w:color w:val="auto"/>
        </w:rPr>
      </w:pPr>
    </w:p>
    <w:p>
      <w:pPr>
        <w:spacing w:after="0" w:line="316" w:lineRule="auto"/>
        <w:rPr>
          <w:sz w:val="20"/>
          <w:szCs w:val="20"/>
          <w:color w:val="auto"/>
        </w:rPr>
      </w:pPr>
      <w:r>
        <w:rPr>
          <w:rFonts w:ascii="Arial" w:cs="Arial" w:eastAsia="Arial" w:hAnsi="Arial"/>
          <w:sz w:val="12"/>
          <w:szCs w:val="12"/>
          <w:color w:val="auto"/>
        </w:rPr>
        <w:t>Issuance of Class A common stock upon exercise of stock options</w:t>
      </w:r>
    </w:p>
    <w:p>
      <w:pPr>
        <w:spacing w:after="0" w:line="1" w:lineRule="exact"/>
        <w:rPr>
          <w:sz w:val="20"/>
          <w:szCs w:val="20"/>
          <w:color w:val="auto"/>
        </w:rPr>
      </w:pPr>
    </w:p>
    <w:p>
      <w:pPr>
        <w:jc w:val="right"/>
        <w:ind w:right="500"/>
        <w:spacing w:after="0" w:line="305" w:lineRule="auto"/>
        <w:rPr>
          <w:sz w:val="20"/>
          <w:szCs w:val="20"/>
          <w:color w:val="auto"/>
        </w:rPr>
      </w:pPr>
      <w:r>
        <w:rPr>
          <w:rFonts w:ascii="Arial" w:cs="Arial" w:eastAsia="Arial" w:hAnsi="Arial"/>
          <w:sz w:val="12"/>
          <w:szCs w:val="12"/>
          <w:color w:val="auto"/>
        </w:rPr>
        <w:t>Repurchase of non-vested exercised stock options</w:t>
      </w:r>
    </w:p>
    <w:p>
      <w:pPr>
        <w:spacing w:after="0"/>
        <w:rPr>
          <w:sz w:val="20"/>
          <w:szCs w:val="20"/>
          <w:color w:val="auto"/>
        </w:rPr>
      </w:pPr>
      <w:r>
        <w:rPr>
          <w:rFonts w:ascii="Arial" w:cs="Arial" w:eastAsia="Arial" w:hAnsi="Arial"/>
          <w:sz w:val="14"/>
          <w:szCs w:val="14"/>
          <w:color w:val="auto"/>
        </w:rPr>
        <w:t>Repurchase of stock options</w:t>
      </w:r>
    </w:p>
    <w:p>
      <w:pPr>
        <w:spacing w:after="0" w:line="28" w:lineRule="exact"/>
        <w:rPr>
          <w:sz w:val="20"/>
          <w:szCs w:val="20"/>
          <w:color w:val="auto"/>
        </w:rPr>
      </w:pPr>
    </w:p>
    <w:p>
      <w:pPr>
        <w:ind w:left="160" w:right="160" w:hanging="161"/>
        <w:spacing w:after="0" w:line="236" w:lineRule="auto"/>
        <w:rPr>
          <w:sz w:val="20"/>
          <w:szCs w:val="20"/>
          <w:color w:val="auto"/>
        </w:rPr>
      </w:pPr>
      <w:r>
        <w:rPr>
          <w:rFonts w:ascii="Arial" w:cs="Arial" w:eastAsia="Arial" w:hAnsi="Arial"/>
          <w:sz w:val="14"/>
          <w:szCs w:val="14"/>
          <w:color w:val="auto"/>
        </w:rPr>
        <w:t>Repurchase of Class A common stock</w:t>
      </w:r>
    </w:p>
    <w:p>
      <w:pPr>
        <w:spacing w:after="0" w:line="34" w:lineRule="exact"/>
        <w:rPr>
          <w:sz w:val="20"/>
          <w:szCs w:val="20"/>
          <w:color w:val="auto"/>
        </w:rPr>
      </w:pPr>
    </w:p>
    <w:p>
      <w:pPr>
        <w:ind w:right="480"/>
        <w:spacing w:after="0" w:line="354" w:lineRule="auto"/>
        <w:rPr>
          <w:sz w:val="20"/>
          <w:szCs w:val="20"/>
          <w:color w:val="auto"/>
        </w:rPr>
      </w:pPr>
      <w:r>
        <w:rPr>
          <w:rFonts w:ascii="Arial" w:cs="Arial" w:eastAsia="Arial" w:hAnsi="Arial"/>
          <w:sz w:val="13"/>
          <w:szCs w:val="13"/>
          <w:color w:val="auto"/>
        </w:rPr>
        <w:t>Stock-based compensation Net income</w:t>
      </w:r>
    </w:p>
    <w:p>
      <w:pPr>
        <w:spacing w:after="0"/>
        <w:rPr>
          <w:sz w:val="20"/>
          <w:szCs w:val="20"/>
          <w:color w:val="auto"/>
        </w:rPr>
      </w:pPr>
      <w:r>
        <w:rPr>
          <w:rFonts w:ascii="Arial" w:cs="Arial" w:eastAsia="Arial" w:hAnsi="Arial"/>
          <w:sz w:val="13"/>
          <w:szCs w:val="13"/>
          <w:b w:val="1"/>
          <w:bCs w:val="1"/>
          <w:color w:val="auto"/>
        </w:rPr>
        <w:t>BALANCE - December 31,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Series A</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Redeemable Convertible</w:t>
      </w:r>
    </w:p>
    <w:p>
      <w:pPr>
        <w:spacing w:after="0" w:line="13"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22225</wp:posOffset>
            </wp:positionV>
            <wp:extent cx="10115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60" w:lineRule="exact"/>
        <w:rPr>
          <w:sz w:val="20"/>
          <w:szCs w:val="20"/>
          <w:color w:val="auto"/>
        </w:rPr>
      </w:pPr>
    </w:p>
    <w:p>
      <w:pPr>
        <w:ind w:left="220"/>
        <w:spacing w:after="0"/>
        <w:tabs>
          <w:tab w:leader="none" w:pos="980" w:val="left"/>
        </w:tabs>
        <w:rPr>
          <w:sz w:val="20"/>
          <w:szCs w:val="20"/>
          <w:color w:val="auto"/>
        </w:rPr>
      </w:pPr>
      <w:r>
        <w:rPr>
          <w:rFonts w:ascii="Arial" w:cs="Arial" w:eastAsia="Arial" w:hAnsi="Arial"/>
          <w:sz w:val="13"/>
          <w:szCs w:val="13"/>
          <w:b w:val="1"/>
          <w:bCs w:val="1"/>
          <w:color w:val="auto"/>
        </w:rPr>
        <w:t>Shares</w:t>
      </w:r>
      <w:r>
        <w:rPr>
          <w:sz w:val="20"/>
          <w:szCs w:val="20"/>
          <w:color w:val="auto"/>
        </w:rPr>
        <w:tab/>
      </w:r>
      <w:r>
        <w:rPr>
          <w:rFonts w:ascii="Arial" w:cs="Arial" w:eastAsia="Arial" w:hAnsi="Arial"/>
          <w:sz w:val="13"/>
          <w:szCs w:val="13"/>
          <w:b w:val="1"/>
          <w:bCs w:val="1"/>
          <w:color w:val="auto"/>
        </w:rPr>
        <w:t>Amount</w:t>
      </w:r>
    </w:p>
    <w:p>
      <w:pPr>
        <w:spacing w:after="0" w:line="84" w:lineRule="exact"/>
        <w:rPr>
          <w:sz w:val="20"/>
          <w:szCs w:val="20"/>
          <w:color w:val="auto"/>
        </w:rPr>
      </w:pPr>
    </w:p>
    <w:p>
      <w:pPr>
        <w:ind w:left="140"/>
        <w:spacing w:after="0"/>
        <w:tabs>
          <w:tab w:leader="none" w:pos="940" w:val="left"/>
          <w:tab w:leader="none" w:pos="1240" w:val="left"/>
        </w:tabs>
        <w:rPr>
          <w:sz w:val="20"/>
          <w:szCs w:val="20"/>
          <w:color w:val="auto"/>
        </w:rPr>
      </w:pPr>
      <w:r>
        <w:rPr>
          <w:rFonts w:ascii="Arial" w:cs="Arial" w:eastAsia="Arial" w:hAnsi="Arial"/>
          <w:sz w:val="14"/>
          <w:szCs w:val="14"/>
          <w:color w:val="auto"/>
        </w:rPr>
        <w:t>15,374,664</w:t>
        <w:tab/>
        <w:t>$</w:t>
      </w:r>
      <w:r>
        <w:rPr>
          <w:sz w:val="20"/>
          <w:szCs w:val="20"/>
          <w:color w:val="auto"/>
        </w:rPr>
        <w:tab/>
      </w:r>
      <w:r>
        <w:rPr>
          <w:rFonts w:ascii="Arial" w:cs="Arial" w:eastAsia="Arial" w:hAnsi="Arial"/>
          <w:sz w:val="13"/>
          <w:szCs w:val="13"/>
          <w:color w:val="auto"/>
        </w:rPr>
        <w:t>68.8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40"/>
        <w:spacing w:after="0"/>
        <w:tabs>
          <w:tab w:leader="none" w:pos="940" w:val="left"/>
          <w:tab w:leader="none" w:pos="1240" w:val="left"/>
        </w:tabs>
        <w:rPr>
          <w:sz w:val="20"/>
          <w:szCs w:val="20"/>
          <w:color w:val="auto"/>
        </w:rPr>
      </w:pPr>
      <w:r>
        <w:rPr>
          <w:rFonts w:ascii="Arial" w:cs="Arial" w:eastAsia="Arial" w:hAnsi="Arial"/>
          <w:sz w:val="14"/>
          <w:szCs w:val="14"/>
          <w:color w:val="auto"/>
        </w:rPr>
        <w:t>15,374,664</w:t>
        <w:tab/>
        <w:t>$</w:t>
      </w:r>
      <w:r>
        <w:rPr>
          <w:sz w:val="20"/>
          <w:szCs w:val="20"/>
          <w:color w:val="auto"/>
        </w:rPr>
        <w:tab/>
      </w:r>
      <w:r>
        <w:rPr>
          <w:rFonts w:ascii="Arial" w:cs="Arial" w:eastAsia="Arial" w:hAnsi="Arial"/>
          <w:sz w:val="13"/>
          <w:szCs w:val="13"/>
          <w:color w:val="auto"/>
        </w:rPr>
        <w:t>68.8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5"/>
            <w:vMerge w:val="restart"/>
          </w:tcPr>
          <w:p>
            <w:pPr>
              <w:ind w:left="380"/>
              <w:spacing w:after="0"/>
              <w:rPr>
                <w:sz w:val="20"/>
                <w:szCs w:val="20"/>
                <w:color w:val="auto"/>
              </w:rPr>
            </w:pPr>
            <w:r>
              <w:rPr>
                <w:rFonts w:ascii="Arial" w:cs="Arial" w:eastAsia="Arial" w:hAnsi="Arial"/>
                <w:sz w:val="14"/>
                <w:szCs w:val="14"/>
                <w:b w:val="1"/>
                <w:bCs w:val="1"/>
                <w:color w:val="auto"/>
              </w:rPr>
              <w:t>Treasury Stock</w:t>
            </w:r>
          </w:p>
        </w:tc>
        <w:tc>
          <w:tcPr>
            <w:tcW w:w="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92"/>
        </w:trPr>
        <w:tc>
          <w:tcPr>
            <w:tcW w:w="1340" w:type="dxa"/>
            <w:vAlign w:val="bottom"/>
            <w:gridSpan w:val="3"/>
            <w:vMerge w:val="continue"/>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178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Paid-in</w:t>
            </w:r>
          </w:p>
        </w:tc>
        <w:tc>
          <w:tcPr>
            <w:tcW w:w="11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Comprehensive</w:t>
            </w:r>
          </w:p>
        </w:tc>
        <w:tc>
          <w:tcPr>
            <w:tcW w:w="102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7"/>
              </w:rPr>
              <w:t>Accumulated</w:t>
            </w:r>
          </w:p>
        </w:tc>
        <w:tc>
          <w:tcPr>
            <w:tcW w:w="160" w:type="dxa"/>
            <w:vAlign w:val="bottom"/>
          </w:tcPr>
          <w:p>
            <w:pPr>
              <w:spacing w:after="0"/>
              <w:rPr>
                <w:sz w:val="7"/>
                <w:szCs w:val="7"/>
                <w:color w:val="auto"/>
              </w:rPr>
            </w:pPr>
          </w:p>
        </w:tc>
        <w:tc>
          <w:tcPr>
            <w:tcW w:w="78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6"/>
        </w:trPr>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96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6"/>
                <w:szCs w:val="16"/>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6"/>
                <w:szCs w:val="16"/>
                <w:color w:val="auto"/>
              </w:rPr>
            </w:pPr>
          </w:p>
        </w:tc>
        <w:tc>
          <w:tcPr>
            <w:tcW w:w="78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26"/>
        </w:trPr>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80" w:type="dxa"/>
            <w:vAlign w:val="bottom"/>
          </w:tcPr>
          <w:p>
            <w:pPr>
              <w:jc w:val="right"/>
              <w:spacing w:after="0"/>
              <w:rPr>
                <w:sz w:val="20"/>
                <w:szCs w:val="20"/>
                <w:color w:val="auto"/>
              </w:rPr>
            </w:pPr>
            <w:r>
              <w:rPr>
                <w:rFonts w:ascii="Arial" w:cs="Arial" w:eastAsia="Arial" w:hAnsi="Arial"/>
                <w:sz w:val="14"/>
                <w:szCs w:val="14"/>
                <w:color w:val="auto"/>
              </w:rPr>
              <w:t>84,017,034</w:t>
            </w:r>
          </w:p>
        </w:tc>
        <w:tc>
          <w:tcPr>
            <w:tcW w:w="8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ind w:left="220"/>
              <w:spacing w:after="0"/>
              <w:rPr>
                <w:sz w:val="20"/>
                <w:szCs w:val="20"/>
                <w:color w:val="auto"/>
              </w:rPr>
            </w:pPr>
            <w:r>
              <w:rPr>
                <w:rFonts w:ascii="Arial" w:cs="Arial" w:eastAsia="Arial" w:hAnsi="Arial"/>
                <w:sz w:val="14"/>
                <w:szCs w:val="14"/>
                <w:color w:val="auto"/>
                <w:w w:val="99"/>
              </w:rPr>
              <w:t>1,559,088</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22.8</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(41.4)</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378"/>
        </w:trPr>
        <w:tc>
          <w:tcPr>
            <w:tcW w:w="880" w:type="dxa"/>
            <w:vAlign w:val="bottom"/>
          </w:tcPr>
          <w:p>
            <w:pPr>
              <w:jc w:val="right"/>
              <w:spacing w:after="0"/>
              <w:rPr>
                <w:sz w:val="20"/>
                <w:szCs w:val="20"/>
                <w:color w:val="auto"/>
              </w:rPr>
            </w:pPr>
            <w:r>
              <w:rPr>
                <w:rFonts w:ascii="Arial" w:cs="Arial" w:eastAsia="Arial" w:hAnsi="Arial"/>
                <w:sz w:val="14"/>
                <w:szCs w:val="14"/>
                <w:color w:val="auto"/>
              </w:rPr>
              <w:t>1,250,011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324"/>
        </w:trPr>
        <w:tc>
          <w:tcPr>
            <w:tcW w:w="880" w:type="dxa"/>
            <w:vAlign w:val="bottom"/>
          </w:tcPr>
          <w:p>
            <w:pPr>
              <w:jc w:val="right"/>
              <w:spacing w:after="0"/>
              <w:rPr>
                <w:sz w:val="20"/>
                <w:szCs w:val="20"/>
                <w:color w:val="auto"/>
              </w:rPr>
            </w:pPr>
            <w:r>
              <w:rPr>
                <w:rFonts w:ascii="Arial" w:cs="Arial" w:eastAsia="Arial" w:hAnsi="Arial"/>
                <w:sz w:val="14"/>
                <w:szCs w:val="14"/>
                <w:color w:val="auto"/>
              </w:rPr>
              <w:t>(573)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324"/>
        </w:trPr>
        <w:tc>
          <w:tcPr>
            <w:tcW w:w="880" w:type="dxa"/>
            <w:vAlign w:val="bottom"/>
          </w:tcPr>
          <w:p>
            <w:pPr>
              <w:jc w:val="right"/>
              <w:spacing w:after="0"/>
              <w:rPr>
                <w:sz w:val="20"/>
                <w:szCs w:val="20"/>
                <w:color w:val="auto"/>
              </w:rPr>
            </w:pPr>
            <w:r>
              <w:rPr>
                <w:rFonts w:ascii="Arial" w:cs="Arial" w:eastAsia="Arial" w:hAnsi="Arial"/>
                <w:sz w:val="14"/>
                <w:szCs w:val="14"/>
                <w:color w:val="auto"/>
              </w:rPr>
              <w:t>(650,787)</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26"/>
        </w:trPr>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80" w:type="dxa"/>
            <w:vAlign w:val="bottom"/>
          </w:tcPr>
          <w:p>
            <w:pPr>
              <w:jc w:val="right"/>
              <w:spacing w:after="0"/>
              <w:rPr>
                <w:sz w:val="20"/>
                <w:szCs w:val="20"/>
                <w:color w:val="auto"/>
              </w:rPr>
            </w:pPr>
            <w:r>
              <w:rPr>
                <w:rFonts w:ascii="Arial" w:cs="Arial" w:eastAsia="Arial" w:hAnsi="Arial"/>
                <w:sz w:val="14"/>
                <w:szCs w:val="14"/>
                <w:color w:val="auto"/>
              </w:rPr>
              <w:t>84,615,685</w:t>
            </w:r>
          </w:p>
        </w:tc>
        <w:tc>
          <w:tcPr>
            <w:tcW w:w="8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ind w:left="220"/>
              <w:spacing w:after="0"/>
              <w:rPr>
                <w:sz w:val="20"/>
                <w:szCs w:val="20"/>
                <w:color w:val="auto"/>
              </w:rPr>
            </w:pPr>
            <w:r>
              <w:rPr>
                <w:rFonts w:ascii="Arial" w:cs="Arial" w:eastAsia="Arial" w:hAnsi="Arial"/>
                <w:sz w:val="14"/>
                <w:szCs w:val="14"/>
                <w:color w:val="auto"/>
                <w:w w:val="99"/>
              </w:rPr>
              <w:t>1,559,088</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29.8</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(20.2)</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-1474470</wp:posOffset>
            </wp:positionV>
            <wp:extent cx="7132320" cy="384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384873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3">
            <w:col w:w="2020" w:space="60"/>
            <w:col w:w="1520" w:space="220"/>
            <w:col w:w="7400"/>
          </w:cols>
          <w:pgMar w:left="340" w:top="121" w:right="339" w:bottom="1440" w:gutter="0" w:footer="0" w:header="0"/>
          <w:type w:val="continuous"/>
        </w:sectPr>
      </w:pPr>
    </w:p>
    <w:p>
      <w:pPr>
        <w:ind w:left="160" w:right="1580" w:hanging="161"/>
        <w:spacing w:after="0" w:line="224" w:lineRule="auto"/>
        <w:rPr>
          <w:sz w:val="20"/>
          <w:szCs w:val="20"/>
          <w:color w:val="auto"/>
        </w:rPr>
      </w:pPr>
      <w:r>
        <w:rPr>
          <w:rFonts w:ascii="Arial" w:cs="Arial" w:eastAsia="Arial" w:hAnsi="Arial"/>
          <w:sz w:val="14"/>
          <w:szCs w:val="14"/>
          <w:color w:val="auto"/>
        </w:rPr>
        <w:t>Issuance of Class A common stock in connection with equity offering</w:t>
      </w:r>
    </w:p>
    <w:p>
      <w:pPr>
        <w:spacing w:after="0" w:line="231" w:lineRule="auto"/>
        <w:rPr>
          <w:sz w:val="20"/>
          <w:szCs w:val="20"/>
          <w:color w:val="auto"/>
        </w:rPr>
      </w:pPr>
      <w:r>
        <w:rPr>
          <w:rFonts w:ascii="Arial" w:cs="Arial" w:eastAsia="Arial" w:hAnsi="Arial"/>
          <w:sz w:val="14"/>
          <w:szCs w:val="14"/>
          <w:color w:val="auto"/>
        </w:rPr>
        <w:t>Issuance of Class A common stock</w:t>
      </w:r>
    </w:p>
    <w:tbl>
      <w:tblPr>
        <w:tblLayout w:type="fixed"/>
        <w:tblInd w:w="0" w:type="dxa"/>
        <w:tblCellMar>
          <w:top w:w="0" w:type="dxa"/>
          <w:left w:w="0" w:type="dxa"/>
          <w:bottom w:w="0" w:type="dxa"/>
          <w:right w:w="0" w:type="dxa"/>
        </w:tblCellMar>
      </w:tblPr>
      <w:tr>
        <w:trPr>
          <w:trHeight w:val="177"/>
        </w:trPr>
        <w:tc>
          <w:tcPr>
            <w:tcW w:w="2120" w:type="dxa"/>
            <w:vAlign w:val="bottom"/>
          </w:tcPr>
          <w:p>
            <w:pPr>
              <w:ind w:left="160"/>
              <w:spacing w:after="0"/>
              <w:rPr>
                <w:sz w:val="20"/>
                <w:szCs w:val="20"/>
                <w:color w:val="auto"/>
              </w:rPr>
            </w:pPr>
            <w:r>
              <w:rPr>
                <w:rFonts w:ascii="Arial" w:cs="Arial" w:eastAsia="Arial" w:hAnsi="Arial"/>
                <w:sz w:val="14"/>
                <w:szCs w:val="14"/>
                <w:color w:val="auto"/>
              </w:rPr>
              <w:t>upon exercise of stock options</w:t>
            </w: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40"/>
        </w:trPr>
        <w:tc>
          <w:tcPr>
            <w:tcW w:w="2120" w:type="dxa"/>
            <w:vAlign w:val="bottom"/>
          </w:tcPr>
          <w:p>
            <w:pPr>
              <w:spacing w:after="0" w:line="141" w:lineRule="exact"/>
              <w:rPr>
                <w:sz w:val="20"/>
                <w:szCs w:val="20"/>
                <w:color w:val="auto"/>
              </w:rPr>
            </w:pPr>
            <w:r>
              <w:rPr>
                <w:rFonts w:ascii="Arial" w:cs="Arial" w:eastAsia="Arial" w:hAnsi="Arial"/>
                <w:sz w:val="14"/>
                <w:szCs w:val="14"/>
                <w:color w:val="auto"/>
                <w:w w:val="96"/>
              </w:rPr>
              <w:t>Issuance of Class A common stock</w:t>
            </w: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35"/>
        </w:trPr>
        <w:tc>
          <w:tcPr>
            <w:tcW w:w="2120" w:type="dxa"/>
            <w:vAlign w:val="bottom"/>
          </w:tcPr>
          <w:p>
            <w:pPr>
              <w:ind w:left="160"/>
              <w:spacing w:after="0" w:line="135" w:lineRule="exact"/>
              <w:rPr>
                <w:sz w:val="20"/>
                <w:szCs w:val="20"/>
                <w:color w:val="auto"/>
              </w:rPr>
            </w:pPr>
            <w:r>
              <w:rPr>
                <w:rFonts w:ascii="Arial" w:cs="Arial" w:eastAsia="Arial" w:hAnsi="Arial"/>
                <w:sz w:val="14"/>
                <w:szCs w:val="14"/>
                <w:color w:val="auto"/>
              </w:rPr>
              <w:t>pursuant to settlement of</w:t>
            </w: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82"/>
        </w:trPr>
        <w:tc>
          <w:tcPr>
            <w:tcW w:w="2120" w:type="dxa"/>
            <w:vAlign w:val="bottom"/>
          </w:tcPr>
          <w:p>
            <w:pPr>
              <w:ind w:left="160"/>
              <w:spacing w:after="0"/>
              <w:rPr>
                <w:sz w:val="20"/>
                <w:szCs w:val="20"/>
                <w:color w:val="auto"/>
              </w:rPr>
            </w:pPr>
            <w:r>
              <w:rPr>
                <w:rFonts w:ascii="Arial" w:cs="Arial" w:eastAsia="Arial" w:hAnsi="Arial"/>
                <w:sz w:val="14"/>
                <w:szCs w:val="14"/>
                <w:color w:val="auto"/>
              </w:rPr>
              <w:t>restricted stock units</w:t>
            </w: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42"/>
        </w:trPr>
        <w:tc>
          <w:tcPr>
            <w:tcW w:w="2120" w:type="dxa"/>
            <w:vAlign w:val="bottom"/>
          </w:tcPr>
          <w:p>
            <w:pPr>
              <w:spacing w:after="0" w:line="142" w:lineRule="exact"/>
              <w:rPr>
                <w:sz w:val="20"/>
                <w:szCs w:val="20"/>
                <w:color w:val="auto"/>
              </w:rPr>
            </w:pPr>
            <w:r>
              <w:rPr>
                <w:rFonts w:ascii="Arial" w:cs="Arial" w:eastAsia="Arial" w:hAnsi="Arial"/>
                <w:sz w:val="14"/>
                <w:szCs w:val="14"/>
                <w:color w:val="auto"/>
              </w:rPr>
              <w:t>Class A common stock</w:t>
            </w: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35"/>
        </w:trPr>
        <w:tc>
          <w:tcPr>
            <w:tcW w:w="2120" w:type="dxa"/>
            <w:vAlign w:val="bottom"/>
          </w:tcPr>
          <w:p>
            <w:pPr>
              <w:ind w:left="160"/>
              <w:spacing w:after="0" w:line="135" w:lineRule="exact"/>
              <w:rPr>
                <w:sz w:val="20"/>
                <w:szCs w:val="20"/>
                <w:color w:val="auto"/>
              </w:rPr>
            </w:pPr>
            <w:r>
              <w:rPr>
                <w:rFonts w:ascii="Arial" w:cs="Arial" w:eastAsia="Arial" w:hAnsi="Arial"/>
                <w:sz w:val="14"/>
                <w:szCs w:val="14"/>
                <w:color w:val="auto"/>
              </w:rPr>
              <w:t>surrendered for employees' tax</w:t>
            </w: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35"/>
        </w:trPr>
        <w:tc>
          <w:tcPr>
            <w:tcW w:w="2120" w:type="dxa"/>
            <w:vAlign w:val="bottom"/>
          </w:tcPr>
          <w:p>
            <w:pPr>
              <w:ind w:left="160"/>
              <w:spacing w:after="0" w:line="135" w:lineRule="exact"/>
              <w:rPr>
                <w:sz w:val="20"/>
                <w:szCs w:val="20"/>
                <w:color w:val="auto"/>
              </w:rPr>
            </w:pPr>
            <w:r>
              <w:rPr>
                <w:rFonts w:ascii="Arial" w:cs="Arial" w:eastAsia="Arial" w:hAnsi="Arial"/>
                <w:sz w:val="14"/>
                <w:szCs w:val="14"/>
                <w:color w:val="auto"/>
              </w:rPr>
              <w:t>liability upon settlement of</w:t>
            </w: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82"/>
        </w:trPr>
        <w:tc>
          <w:tcPr>
            <w:tcW w:w="2120" w:type="dxa"/>
            <w:vAlign w:val="bottom"/>
          </w:tcPr>
          <w:p>
            <w:pPr>
              <w:ind w:left="160"/>
              <w:spacing w:after="0"/>
              <w:rPr>
                <w:sz w:val="20"/>
                <w:szCs w:val="20"/>
                <w:color w:val="auto"/>
              </w:rPr>
            </w:pPr>
            <w:r>
              <w:rPr>
                <w:rFonts w:ascii="Arial" w:cs="Arial" w:eastAsia="Arial" w:hAnsi="Arial"/>
                <w:sz w:val="14"/>
                <w:szCs w:val="14"/>
                <w:color w:val="auto"/>
              </w:rPr>
              <w:t>restricted stock units</w:t>
            </w: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97"/>
        </w:trPr>
        <w:tc>
          <w:tcPr>
            <w:tcW w:w="2120" w:type="dxa"/>
            <w:vAlign w:val="bottom"/>
          </w:tcPr>
          <w:p>
            <w:pPr>
              <w:spacing w:after="0"/>
              <w:rPr>
                <w:sz w:val="20"/>
                <w:szCs w:val="20"/>
                <w:color w:val="auto"/>
              </w:rPr>
            </w:pPr>
            <w:r>
              <w:rPr>
                <w:rFonts w:ascii="Arial" w:cs="Arial" w:eastAsia="Arial" w:hAnsi="Arial"/>
                <w:sz w:val="14"/>
                <w:szCs w:val="14"/>
                <w:color w:val="auto"/>
              </w:rPr>
              <w:t>Repurchase of stock options</w:t>
            </w: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60"/>
        </w:trPr>
        <w:tc>
          <w:tcPr>
            <w:tcW w:w="2120" w:type="dxa"/>
            <w:vAlign w:val="bottom"/>
          </w:tcPr>
          <w:p>
            <w:pPr>
              <w:spacing w:after="0"/>
              <w:rPr>
                <w:sz w:val="20"/>
                <w:szCs w:val="20"/>
                <w:color w:val="auto"/>
              </w:rPr>
            </w:pPr>
            <w:r>
              <w:rPr>
                <w:rFonts w:ascii="Arial" w:cs="Arial" w:eastAsia="Arial" w:hAnsi="Arial"/>
                <w:sz w:val="14"/>
                <w:szCs w:val="14"/>
                <w:color w:val="auto"/>
              </w:rPr>
              <w:t>Repurchase of Class A common</w:t>
            </w: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82"/>
        </w:trPr>
        <w:tc>
          <w:tcPr>
            <w:tcW w:w="2120" w:type="dxa"/>
            <w:vAlign w:val="bottom"/>
          </w:tcPr>
          <w:p>
            <w:pPr>
              <w:ind w:left="160"/>
              <w:spacing w:after="0"/>
              <w:rPr>
                <w:sz w:val="20"/>
                <w:szCs w:val="20"/>
                <w:color w:val="auto"/>
              </w:rPr>
            </w:pPr>
            <w:r>
              <w:rPr>
                <w:rFonts w:ascii="Arial" w:cs="Arial" w:eastAsia="Arial" w:hAnsi="Arial"/>
                <w:sz w:val="14"/>
                <w:szCs w:val="14"/>
                <w:color w:val="auto"/>
              </w:rPr>
              <w:t>stock</w:t>
            </w: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42"/>
        </w:trPr>
        <w:tc>
          <w:tcPr>
            <w:tcW w:w="2120" w:type="dxa"/>
            <w:vAlign w:val="bottom"/>
          </w:tcPr>
          <w:p>
            <w:pPr>
              <w:spacing w:after="0" w:line="142" w:lineRule="exact"/>
              <w:rPr>
                <w:sz w:val="20"/>
                <w:szCs w:val="20"/>
                <w:color w:val="auto"/>
              </w:rPr>
            </w:pPr>
            <w:r>
              <w:rPr>
                <w:rFonts w:ascii="Arial" w:cs="Arial" w:eastAsia="Arial" w:hAnsi="Arial"/>
                <w:sz w:val="14"/>
                <w:szCs w:val="14"/>
                <w:color w:val="auto"/>
              </w:rPr>
              <w:t>Constructive retirement of</w:t>
            </w: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82"/>
        </w:trPr>
        <w:tc>
          <w:tcPr>
            <w:tcW w:w="2120" w:type="dxa"/>
            <w:vAlign w:val="bottom"/>
          </w:tcPr>
          <w:p>
            <w:pPr>
              <w:ind w:left="160"/>
              <w:spacing w:after="0"/>
              <w:rPr>
                <w:sz w:val="20"/>
                <w:szCs w:val="20"/>
                <w:color w:val="auto"/>
              </w:rPr>
            </w:pPr>
            <w:r>
              <w:rPr>
                <w:rFonts w:ascii="Arial" w:cs="Arial" w:eastAsia="Arial" w:hAnsi="Arial"/>
                <w:sz w:val="14"/>
                <w:szCs w:val="14"/>
                <w:color w:val="auto"/>
              </w:rPr>
              <w:t>Treasury stock</w:t>
            </w: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211"/>
        </w:trPr>
        <w:tc>
          <w:tcPr>
            <w:tcW w:w="21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147"/>
        </w:trPr>
        <w:tc>
          <w:tcPr>
            <w:tcW w:w="2120" w:type="dxa"/>
            <w:vAlign w:val="bottom"/>
          </w:tcPr>
          <w:p>
            <w:pPr>
              <w:spacing w:after="0" w:line="147" w:lineRule="exact"/>
              <w:rPr>
                <w:sz w:val="20"/>
                <w:szCs w:val="20"/>
                <w:color w:val="auto"/>
              </w:rPr>
            </w:pPr>
            <w:r>
              <w:rPr>
                <w:rFonts w:ascii="Arial" w:cs="Arial" w:eastAsia="Arial" w:hAnsi="Arial"/>
                <w:sz w:val="14"/>
                <w:szCs w:val="14"/>
                <w:color w:val="auto"/>
                <w:w w:val="99"/>
              </w:rPr>
              <w:t>Other comprehensive income, net</w:t>
            </w: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82"/>
        </w:trPr>
        <w:tc>
          <w:tcPr>
            <w:tcW w:w="2120" w:type="dxa"/>
            <w:vAlign w:val="bottom"/>
          </w:tcPr>
          <w:p>
            <w:pPr>
              <w:ind w:left="160"/>
              <w:spacing w:after="0"/>
              <w:rPr>
                <w:sz w:val="20"/>
                <w:szCs w:val="20"/>
                <w:color w:val="auto"/>
              </w:rPr>
            </w:pPr>
            <w:r>
              <w:rPr>
                <w:rFonts w:ascii="Arial" w:cs="Arial" w:eastAsia="Arial" w:hAnsi="Arial"/>
                <w:sz w:val="14"/>
                <w:szCs w:val="14"/>
                <w:color w:val="auto"/>
              </w:rPr>
              <w:t>of tax</w:t>
            </w: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211"/>
        </w:trPr>
        <w:tc>
          <w:tcPr>
            <w:tcW w:w="2120" w:type="dxa"/>
            <w:vAlign w:val="bottom"/>
          </w:tcPr>
          <w:p>
            <w:pPr>
              <w:spacing w:after="0"/>
              <w:rPr>
                <w:sz w:val="20"/>
                <w:szCs w:val="20"/>
                <w:color w:val="auto"/>
              </w:rPr>
            </w:pPr>
            <w:r>
              <w:rPr>
                <w:rFonts w:ascii="Arial" w:cs="Arial" w:eastAsia="Arial" w:hAnsi="Arial"/>
                <w:sz w:val="14"/>
                <w:szCs w:val="14"/>
                <w:color w:val="auto"/>
              </w:rPr>
              <w:t>Net income</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56"/>
        </w:trPr>
        <w:tc>
          <w:tcPr>
            <w:tcW w:w="2120" w:type="dxa"/>
            <w:vAlign w:val="bottom"/>
          </w:tcPr>
          <w:p>
            <w:pPr>
              <w:spacing w:after="0"/>
              <w:rPr>
                <w:sz w:val="20"/>
                <w:szCs w:val="20"/>
                <w:color w:val="auto"/>
              </w:rPr>
            </w:pPr>
            <w:r>
              <w:rPr>
                <w:rFonts w:ascii="Arial" w:cs="Arial" w:eastAsia="Arial" w:hAnsi="Arial"/>
                <w:sz w:val="14"/>
                <w:szCs w:val="14"/>
                <w:b w:val="1"/>
                <w:bCs w:val="1"/>
                <w:color w:val="auto"/>
              </w:rPr>
              <w:t>BALANCE - December 31, 2020</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15,374,664</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68.8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15875</wp:posOffset>
            </wp:positionV>
            <wp:extent cx="10115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880" w:type="dxa"/>
            <w:vAlign w:val="bottom"/>
          </w:tcPr>
          <w:p>
            <w:pPr>
              <w:jc w:val="right"/>
              <w:spacing w:after="0"/>
              <w:rPr>
                <w:sz w:val="20"/>
                <w:szCs w:val="20"/>
                <w:color w:val="auto"/>
              </w:rPr>
            </w:pPr>
            <w:r>
              <w:rPr>
                <w:rFonts w:ascii="Arial" w:cs="Arial" w:eastAsia="Arial" w:hAnsi="Arial"/>
                <w:sz w:val="14"/>
                <w:szCs w:val="14"/>
                <w:color w:val="auto"/>
              </w:rPr>
              <w:t>7,757,141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54.3</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54.3</w:t>
            </w:r>
          </w:p>
        </w:tc>
      </w:tr>
      <w:tr>
        <w:trPr>
          <w:trHeight w:val="324"/>
        </w:trPr>
        <w:tc>
          <w:tcPr>
            <w:tcW w:w="880" w:type="dxa"/>
            <w:vAlign w:val="bottom"/>
          </w:tcPr>
          <w:p>
            <w:pPr>
              <w:jc w:val="right"/>
              <w:spacing w:after="0"/>
              <w:rPr>
                <w:sz w:val="20"/>
                <w:szCs w:val="20"/>
                <w:color w:val="auto"/>
              </w:rPr>
            </w:pPr>
            <w:r>
              <w:rPr>
                <w:rFonts w:ascii="Arial" w:cs="Arial" w:eastAsia="Arial" w:hAnsi="Arial"/>
                <w:sz w:val="14"/>
                <w:szCs w:val="14"/>
                <w:color w:val="auto"/>
              </w:rPr>
              <w:t>5,401,322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8.4</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8.4</w:t>
            </w:r>
          </w:p>
        </w:tc>
      </w:tr>
      <w:tr>
        <w:trPr>
          <w:trHeight w:val="459"/>
        </w:trPr>
        <w:tc>
          <w:tcPr>
            <w:tcW w:w="880" w:type="dxa"/>
            <w:vAlign w:val="bottom"/>
          </w:tcPr>
          <w:p>
            <w:pPr>
              <w:jc w:val="right"/>
              <w:spacing w:after="0"/>
              <w:rPr>
                <w:sz w:val="20"/>
                <w:szCs w:val="20"/>
                <w:color w:val="auto"/>
              </w:rPr>
            </w:pPr>
            <w:r>
              <w:rPr>
                <w:rFonts w:ascii="Arial" w:cs="Arial" w:eastAsia="Arial" w:hAnsi="Arial"/>
                <w:sz w:val="14"/>
                <w:szCs w:val="14"/>
                <w:color w:val="auto"/>
              </w:rPr>
              <w:t>167,832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594"/>
        </w:trPr>
        <w:tc>
          <w:tcPr>
            <w:tcW w:w="880" w:type="dxa"/>
            <w:vAlign w:val="bottom"/>
          </w:tcPr>
          <w:p>
            <w:pPr>
              <w:jc w:val="right"/>
              <w:spacing w:after="0"/>
              <w:rPr>
                <w:sz w:val="20"/>
                <w:szCs w:val="20"/>
                <w:color w:val="auto"/>
              </w:rPr>
            </w:pPr>
            <w:r>
              <w:rPr>
                <w:rFonts w:ascii="Arial" w:cs="Arial" w:eastAsia="Arial" w:hAnsi="Arial"/>
                <w:sz w:val="14"/>
                <w:szCs w:val="14"/>
                <w:color w:val="auto"/>
              </w:rPr>
              <w:t>(50,728)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216"/>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324"/>
        </w:trPr>
        <w:tc>
          <w:tcPr>
            <w:tcW w:w="880" w:type="dxa"/>
            <w:vAlign w:val="bottom"/>
          </w:tcPr>
          <w:p>
            <w:pPr>
              <w:jc w:val="right"/>
              <w:spacing w:after="0"/>
              <w:rPr>
                <w:sz w:val="20"/>
                <w:szCs w:val="20"/>
                <w:color w:val="auto"/>
              </w:rPr>
            </w:pPr>
            <w:r>
              <w:rPr>
                <w:rFonts w:ascii="Arial" w:cs="Arial" w:eastAsia="Arial" w:hAnsi="Arial"/>
                <w:sz w:val="14"/>
                <w:szCs w:val="14"/>
                <w:color w:val="auto"/>
              </w:rPr>
              <w:t>(185,839)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324"/>
        </w:trPr>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(1,559,088)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8.1</w:t>
            </w:r>
          </w:p>
        </w:tc>
      </w:tr>
      <w:tr>
        <w:trPr>
          <w:trHeight w:val="324"/>
        </w:trPr>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216"/>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25"/>
        </w:trPr>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4"/>
        </w:trPr>
        <w:tc>
          <w:tcPr>
            <w:tcW w:w="880" w:type="dxa"/>
            <w:vAlign w:val="bottom"/>
          </w:tcPr>
          <w:p>
            <w:pPr>
              <w:jc w:val="right"/>
              <w:spacing w:after="0"/>
              <w:rPr>
                <w:sz w:val="20"/>
                <w:szCs w:val="20"/>
                <w:color w:val="auto"/>
              </w:rPr>
            </w:pPr>
            <w:r>
              <w:rPr>
                <w:rFonts w:ascii="Arial" w:cs="Arial" w:eastAsia="Arial" w:hAnsi="Arial"/>
                <w:sz w:val="14"/>
                <w:szCs w:val="14"/>
                <w:color w:val="auto"/>
              </w:rPr>
              <w:t>97,705,413</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1240" w:type="dxa"/>
            <w:vAlign w:val="bottom"/>
            <w:gridSpan w:val="3"/>
          </w:tcPr>
          <w:p>
            <w:pPr>
              <w:ind w:left="660"/>
              <w:spacing w:after="0"/>
              <w:rPr>
                <w:sz w:val="20"/>
                <w:szCs w:val="20"/>
                <w:color w:val="auto"/>
              </w:rPr>
            </w:pPr>
            <w:r>
              <w:rPr>
                <w:rFonts w:ascii="Arial" w:cs="Arial" w:eastAsia="Arial" w:hAnsi="Arial"/>
                <w:sz w:val="14"/>
                <w:szCs w:val="14"/>
                <w:color w:val="auto"/>
              </w:rPr>
              <w:t>—  $</w:t>
            </w:r>
          </w:p>
        </w:tc>
        <w:tc>
          <w:tcPr>
            <w:tcW w:w="820" w:type="dxa"/>
            <w:vAlign w:val="bottom"/>
            <w:gridSpan w:val="3"/>
          </w:tcPr>
          <w:p>
            <w:pPr>
              <w:ind w:left="260"/>
              <w:spacing w:after="0"/>
              <w:rPr>
                <w:sz w:val="20"/>
                <w:szCs w:val="20"/>
                <w:color w:val="auto"/>
              </w:rPr>
            </w:pPr>
            <w:r>
              <w:rPr>
                <w:rFonts w:ascii="Arial" w:cs="Arial" w:eastAsia="Arial" w:hAnsi="Arial"/>
                <w:sz w:val="14"/>
                <w:szCs w:val="14"/>
                <w:color w:val="auto"/>
              </w:rPr>
              <w:t>—  $</w:t>
            </w:r>
          </w:p>
        </w:tc>
        <w:tc>
          <w:tcPr>
            <w:tcW w:w="520" w:type="dxa"/>
            <w:vAlign w:val="bottom"/>
          </w:tcPr>
          <w:p>
            <w:pPr>
              <w:jc w:val="right"/>
              <w:spacing w:after="0"/>
              <w:rPr>
                <w:sz w:val="20"/>
                <w:szCs w:val="20"/>
                <w:color w:val="auto"/>
              </w:rPr>
            </w:pPr>
            <w:r>
              <w:rPr>
                <w:rFonts w:ascii="Arial" w:cs="Arial" w:eastAsia="Arial" w:hAnsi="Arial"/>
                <w:sz w:val="14"/>
                <w:szCs w:val="14"/>
                <w:color w:val="auto"/>
              </w:rPr>
              <w:t>99.8</w:t>
            </w:r>
          </w:p>
        </w:tc>
        <w:tc>
          <w:tcPr>
            <w:tcW w:w="80" w:type="dxa"/>
            <w:vAlign w:val="bottom"/>
          </w:tcPr>
          <w:p>
            <w:pPr>
              <w:spacing w:after="0"/>
              <w:rPr>
                <w:sz w:val="16"/>
                <w:szCs w:val="16"/>
                <w:color w:val="auto"/>
              </w:rPr>
            </w:pPr>
          </w:p>
        </w:tc>
        <w:tc>
          <w:tcPr>
            <w:tcW w:w="440" w:type="dxa"/>
            <w:vAlign w:val="bottom"/>
          </w:tcPr>
          <w:p>
            <w:pPr>
              <w:jc w:val="right"/>
              <w:ind w:right="28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(17.7)</w:t>
            </w:r>
          </w:p>
        </w:tc>
        <w:tc>
          <w:tcPr>
            <w:tcW w:w="8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82.7</w:t>
            </w:r>
          </w:p>
        </w:tc>
      </w:tr>
      <w:tr>
        <w:trPr>
          <w:trHeight w:val="25"/>
        </w:trPr>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600" w:space="220"/>
            <w:col w:w="7400"/>
          </w:cols>
          <w:pgMar w:left="340" w:top="121" w:right="33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F-5</w:t>
      </w:r>
    </w:p>
    <w:p>
      <w:pPr>
        <w:sectPr>
          <w:pgSz w:w="11900" w:h="16838" w:orient="portrait"/>
          <w:cols w:equalWidth="0" w:num="1">
            <w:col w:w="11220"/>
          </w:cols>
          <w:pgMar w:left="340" w:top="121" w:right="339" w:bottom="1440" w:gutter="0" w:footer="0" w:header="0"/>
          <w:type w:val="continuous"/>
        </w:sectPr>
      </w:pPr>
    </w:p>
    <w:bookmarkStart w:id="155" w:name="page156"/>
    <w:bookmarkEnd w:id="155"/>
    <w:p>
      <w:pPr>
        <w:ind w:left="3860"/>
        <w:spacing w:after="0"/>
        <w:rPr>
          <w:sz w:val="20"/>
          <w:szCs w:val="20"/>
          <w:color w:val="auto"/>
        </w:rPr>
      </w:pPr>
      <w:r>
        <w:rPr>
          <w:rFonts w:ascii="Arial" w:cs="Arial" w:eastAsia="Arial" w:hAnsi="Arial"/>
          <w:sz w:val="18"/>
          <w:szCs w:val="18"/>
          <w:b w:val="1"/>
          <w:bCs w:val="1"/>
          <w:color w:val="auto"/>
        </w:rPr>
        <w:t>NERDWALLET, INC. AND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amounts)</w:t>
      </w:r>
    </w:p>
    <w:p>
      <w:pPr>
        <w:sectPr>
          <w:pgSz w:w="11900" w:h="16838" w:orient="portrait"/>
          <w:cols w:equalWidth="0" w:num="1">
            <w:col w:w="11220"/>
          </w:cols>
          <w:pgMar w:left="34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BALANCE - December 31, 2019</w:t>
      </w:r>
    </w:p>
    <w:p>
      <w:pPr>
        <w:spacing w:after="0" w:line="44" w:lineRule="exact"/>
        <w:rPr>
          <w:sz w:val="20"/>
          <w:szCs w:val="20"/>
          <w:color w:val="auto"/>
        </w:rPr>
      </w:pPr>
    </w:p>
    <w:p>
      <w:pPr>
        <w:ind w:left="160" w:right="40" w:hanging="161"/>
        <w:spacing w:after="0" w:line="224" w:lineRule="auto"/>
        <w:rPr>
          <w:sz w:val="20"/>
          <w:szCs w:val="20"/>
          <w:color w:val="auto"/>
        </w:rPr>
      </w:pPr>
      <w:r>
        <w:rPr>
          <w:rFonts w:ascii="Arial" w:cs="Arial" w:eastAsia="Arial" w:hAnsi="Arial"/>
          <w:sz w:val="14"/>
          <w:szCs w:val="14"/>
          <w:color w:val="auto"/>
        </w:rPr>
        <w:t>Issuance of Class A common stock upon exercise of stock options (unaudited)</w:t>
      </w:r>
    </w:p>
    <w:p>
      <w:pPr>
        <w:spacing w:after="0" w:line="8" w:lineRule="exact"/>
        <w:rPr>
          <w:sz w:val="20"/>
          <w:szCs w:val="20"/>
          <w:color w:val="auto"/>
        </w:rPr>
      </w:pPr>
    </w:p>
    <w:p>
      <w:pPr>
        <w:ind w:left="160" w:hanging="161"/>
        <w:spacing w:after="0" w:line="243" w:lineRule="auto"/>
        <w:rPr>
          <w:sz w:val="20"/>
          <w:szCs w:val="20"/>
          <w:color w:val="auto"/>
        </w:rPr>
      </w:pPr>
      <w:r>
        <w:rPr>
          <w:rFonts w:ascii="Arial" w:cs="Arial" w:eastAsia="Arial" w:hAnsi="Arial"/>
          <w:sz w:val="13"/>
          <w:szCs w:val="13"/>
          <w:color w:val="auto"/>
        </w:rPr>
        <w:t>Issuance of Class A common stock pursuant to settlement of restricted stock units (unaudited)</w:t>
      </w:r>
    </w:p>
    <w:p>
      <w:pPr>
        <w:spacing w:after="0" w:line="5" w:lineRule="exact"/>
        <w:rPr>
          <w:sz w:val="20"/>
          <w:szCs w:val="20"/>
          <w:color w:val="auto"/>
        </w:rPr>
      </w:pPr>
    </w:p>
    <w:p>
      <w:pPr>
        <w:spacing w:after="0" w:line="218" w:lineRule="auto"/>
        <w:rPr>
          <w:sz w:val="20"/>
          <w:szCs w:val="20"/>
          <w:color w:val="auto"/>
        </w:rPr>
      </w:pPr>
      <w:r>
        <w:rPr>
          <w:rFonts w:ascii="Arial" w:cs="Arial" w:eastAsia="Arial" w:hAnsi="Arial"/>
          <w:sz w:val="14"/>
          <w:szCs w:val="14"/>
          <w:color w:val="auto"/>
        </w:rPr>
        <w:t>Class A common stock surrendered for employees' tax liability upon settlement of restricted stock units (unaudited)</w:t>
      </w:r>
    </w:p>
    <w:p>
      <w:pPr>
        <w:spacing w:after="0" w:line="9" w:lineRule="exact"/>
        <w:rPr>
          <w:sz w:val="20"/>
          <w:szCs w:val="20"/>
          <w:color w:val="auto"/>
        </w:rPr>
      </w:pPr>
    </w:p>
    <w:p>
      <w:pPr>
        <w:ind w:right="420"/>
        <w:spacing w:after="0" w:line="236" w:lineRule="auto"/>
        <w:rPr>
          <w:sz w:val="20"/>
          <w:szCs w:val="20"/>
          <w:color w:val="auto"/>
        </w:rPr>
      </w:pPr>
      <w:r>
        <w:rPr>
          <w:rFonts w:ascii="Arial" w:cs="Arial" w:eastAsia="Arial" w:hAnsi="Arial"/>
          <w:sz w:val="14"/>
          <w:szCs w:val="14"/>
          <w:color w:val="auto"/>
        </w:rPr>
        <w:t>Repurchase of stock options (unaudited)</w:t>
      </w:r>
    </w:p>
    <w:p>
      <w:pPr>
        <w:spacing w:after="0" w:line="7" w:lineRule="exact"/>
        <w:rPr>
          <w:sz w:val="20"/>
          <w:szCs w:val="20"/>
          <w:color w:val="auto"/>
        </w:rPr>
      </w:pPr>
    </w:p>
    <w:p>
      <w:pPr>
        <w:ind w:right="520"/>
        <w:spacing w:after="0" w:line="269" w:lineRule="auto"/>
        <w:rPr>
          <w:sz w:val="20"/>
          <w:szCs w:val="20"/>
          <w:color w:val="auto"/>
        </w:rPr>
      </w:pPr>
      <w:r>
        <w:rPr>
          <w:rFonts w:ascii="Arial" w:cs="Arial" w:eastAsia="Arial" w:hAnsi="Arial"/>
          <w:sz w:val="13"/>
          <w:szCs w:val="13"/>
          <w:color w:val="auto"/>
        </w:rPr>
        <w:t>Stock-based compensation (unaudited)</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Net income (unaudited)</w:t>
      </w:r>
    </w:p>
    <w:p>
      <w:pPr>
        <w:spacing w:after="0" w:line="24" w:lineRule="exact"/>
        <w:rPr>
          <w:sz w:val="20"/>
          <w:szCs w:val="20"/>
          <w:color w:val="auto"/>
        </w:rPr>
      </w:pPr>
    </w:p>
    <w:p>
      <w:pPr>
        <w:ind w:left="160" w:right="400" w:hanging="161"/>
        <w:spacing w:after="0" w:line="239" w:lineRule="auto"/>
        <w:rPr>
          <w:sz w:val="20"/>
          <w:szCs w:val="20"/>
          <w:color w:val="auto"/>
        </w:rPr>
      </w:pPr>
      <w:r>
        <w:rPr>
          <w:rFonts w:ascii="Arial" w:cs="Arial" w:eastAsia="Arial" w:hAnsi="Arial"/>
          <w:sz w:val="14"/>
          <w:szCs w:val="14"/>
          <w:b w:val="1"/>
          <w:bCs w:val="1"/>
          <w:color w:val="auto"/>
        </w:rPr>
        <w:t>BALANCE - June 30, 2020 (unaudited)</w:t>
      </w: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BALANCE - December 31,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Series A Redeemable</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41275</wp:posOffset>
            </wp:positionV>
            <wp:extent cx="10198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67" w:lineRule="exact"/>
        <w:rPr>
          <w:sz w:val="20"/>
          <w:szCs w:val="20"/>
          <w:color w:val="auto"/>
        </w:rPr>
      </w:pPr>
    </w:p>
    <w:p>
      <w:pPr>
        <w:ind w:left="220"/>
        <w:spacing w:after="0"/>
        <w:tabs>
          <w:tab w:leader="none" w:pos="1000" w:val="left"/>
        </w:tabs>
        <w:rPr>
          <w:sz w:val="20"/>
          <w:szCs w:val="20"/>
          <w:color w:val="auto"/>
        </w:rPr>
      </w:pPr>
      <w:r>
        <w:rPr>
          <w:rFonts w:ascii="Arial" w:cs="Arial" w:eastAsia="Arial" w:hAnsi="Arial"/>
          <w:sz w:val="13"/>
          <w:szCs w:val="13"/>
          <w:b w:val="1"/>
          <w:bCs w:val="1"/>
          <w:color w:val="auto"/>
        </w:rPr>
        <w:t>Shares</w:t>
      </w:r>
      <w:r>
        <w:rPr>
          <w:sz w:val="20"/>
          <w:szCs w:val="20"/>
          <w:color w:val="auto"/>
        </w:rPr>
        <w:tab/>
      </w:r>
      <w:r>
        <w:rPr>
          <w:rFonts w:ascii="Arial" w:cs="Arial" w:eastAsia="Arial" w:hAnsi="Arial"/>
          <w:sz w:val="13"/>
          <w:szCs w:val="13"/>
          <w:b w:val="1"/>
          <w:bCs w:val="1"/>
          <w:color w:val="auto"/>
        </w:rPr>
        <w:t>Amount</w:t>
      </w:r>
    </w:p>
    <w:p>
      <w:pPr>
        <w:spacing w:after="0" w:line="66" w:lineRule="exact"/>
        <w:rPr>
          <w:sz w:val="20"/>
          <w:szCs w:val="20"/>
          <w:color w:val="auto"/>
        </w:rPr>
      </w:pPr>
    </w:p>
    <w:p>
      <w:pPr>
        <w:ind w:left="120"/>
        <w:spacing w:after="0"/>
        <w:tabs>
          <w:tab w:leader="none" w:pos="920" w:val="left"/>
          <w:tab w:leader="none" w:pos="1240" w:val="left"/>
        </w:tabs>
        <w:rPr>
          <w:sz w:val="20"/>
          <w:szCs w:val="20"/>
          <w:color w:val="auto"/>
        </w:rPr>
      </w:pPr>
      <w:r>
        <w:rPr>
          <w:rFonts w:ascii="Arial" w:cs="Arial" w:eastAsia="Arial" w:hAnsi="Arial"/>
          <w:sz w:val="14"/>
          <w:szCs w:val="14"/>
          <w:color w:val="auto"/>
        </w:rPr>
        <w:t>15,374,664</w:t>
        <w:tab/>
        <w:t>$</w:t>
      </w:r>
      <w:r>
        <w:rPr>
          <w:sz w:val="20"/>
          <w:szCs w:val="20"/>
          <w:color w:val="auto"/>
        </w:rPr>
        <w:tab/>
      </w:r>
      <w:r>
        <w:rPr>
          <w:rFonts w:ascii="Arial" w:cs="Arial" w:eastAsia="Arial" w:hAnsi="Arial"/>
          <w:sz w:val="12"/>
          <w:szCs w:val="12"/>
          <w:color w:val="auto"/>
        </w:rPr>
        <w:t>68.8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0"/>
        <w:spacing w:after="0"/>
        <w:tabs>
          <w:tab w:leader="none" w:pos="920" w:val="left"/>
          <w:tab w:leader="none" w:pos="1240" w:val="left"/>
        </w:tabs>
        <w:rPr>
          <w:sz w:val="20"/>
          <w:szCs w:val="20"/>
          <w:color w:val="auto"/>
        </w:rPr>
      </w:pPr>
      <w:r>
        <w:rPr>
          <w:rFonts w:ascii="Arial" w:cs="Arial" w:eastAsia="Arial" w:hAnsi="Arial"/>
          <w:sz w:val="14"/>
          <w:szCs w:val="14"/>
          <w:color w:val="auto"/>
        </w:rPr>
        <w:t>15,374,664</w:t>
        <w:tab/>
        <w:t>$</w:t>
      </w:r>
      <w:r>
        <w:rPr>
          <w:sz w:val="20"/>
          <w:szCs w:val="20"/>
          <w:color w:val="auto"/>
        </w:rPr>
        <w:tab/>
      </w:r>
      <w:r>
        <w:rPr>
          <w:rFonts w:ascii="Arial" w:cs="Arial" w:eastAsia="Arial" w:hAnsi="Arial"/>
          <w:sz w:val="12"/>
          <w:szCs w:val="12"/>
          <w:color w:val="auto"/>
        </w:rPr>
        <w:t>68.8</w:t>
      </w:r>
    </w:p>
    <w:p>
      <w:pPr>
        <w:spacing w:after="0" w:line="298" w:lineRule="exact"/>
        <w:rPr>
          <w:sz w:val="20"/>
          <w:szCs w:val="20"/>
          <w:color w:val="auto"/>
        </w:rPr>
      </w:pPr>
    </w:p>
    <w:p>
      <w:pPr>
        <w:ind w:left="120"/>
        <w:spacing w:after="0"/>
        <w:tabs>
          <w:tab w:leader="none" w:pos="920" w:val="left"/>
          <w:tab w:leader="none" w:pos="1240" w:val="left"/>
        </w:tabs>
        <w:rPr>
          <w:sz w:val="20"/>
          <w:szCs w:val="20"/>
          <w:color w:val="auto"/>
        </w:rPr>
      </w:pPr>
      <w:r>
        <w:rPr>
          <w:rFonts w:ascii="Arial" w:cs="Arial" w:eastAsia="Arial" w:hAnsi="Arial"/>
          <w:sz w:val="14"/>
          <w:szCs w:val="14"/>
          <w:color w:val="auto"/>
        </w:rPr>
        <w:t>15,374,664</w:t>
        <w:tab/>
        <w:t>$</w:t>
      </w:r>
      <w:r>
        <w:rPr>
          <w:sz w:val="20"/>
          <w:szCs w:val="20"/>
          <w:color w:val="auto"/>
        </w:rPr>
        <w:tab/>
      </w:r>
      <w:r>
        <w:rPr>
          <w:rFonts w:ascii="Arial" w:cs="Arial" w:eastAsia="Arial" w:hAnsi="Arial"/>
          <w:sz w:val="12"/>
          <w:szCs w:val="12"/>
          <w:color w:val="auto"/>
        </w:rPr>
        <w:t>68.8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27940</wp:posOffset>
            </wp:positionV>
            <wp:extent cx="10033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47" w:lineRule="exact"/>
        <w:rPr>
          <w:sz w:val="20"/>
          <w:szCs w:val="20"/>
          <w:color w:val="auto"/>
        </w:rPr>
      </w:pPr>
    </w:p>
    <w:p>
      <w:pPr>
        <w:ind w:left="80"/>
        <w:spacing w:after="0"/>
        <w:tabs>
          <w:tab w:leader="none" w:pos="860" w:val="left"/>
        </w:tabs>
        <w:rPr>
          <w:sz w:val="20"/>
          <w:szCs w:val="20"/>
          <w:color w:val="auto"/>
        </w:rPr>
      </w:pPr>
      <w:r>
        <w:rPr>
          <w:rFonts w:ascii="Arial" w:cs="Arial" w:eastAsia="Arial" w:hAnsi="Arial"/>
          <w:sz w:val="12"/>
          <w:szCs w:val="12"/>
          <w:b w:val="1"/>
          <w:bCs w:val="1"/>
          <w:color w:val="auto"/>
        </w:rPr>
        <w:t>Shares</w:t>
      </w:r>
      <w:r>
        <w:rPr>
          <w:sz w:val="20"/>
          <w:szCs w:val="20"/>
          <w:color w:val="auto"/>
        </w:rPr>
        <w:tab/>
      </w:r>
      <w:r>
        <w:rPr>
          <w:rFonts w:ascii="Arial" w:cs="Arial" w:eastAsia="Arial" w:hAnsi="Arial"/>
          <w:sz w:val="12"/>
          <w:szCs w:val="12"/>
          <w:b w:val="1"/>
          <w:bCs w:val="1"/>
          <w:color w:val="auto"/>
        </w:rPr>
        <w:t>Amount</w:t>
      </w:r>
    </w:p>
    <w:p>
      <w:pPr>
        <w:spacing w:after="0" w:line="78" w:lineRule="exact"/>
        <w:rPr>
          <w:sz w:val="20"/>
          <w:szCs w:val="20"/>
          <w:color w:val="auto"/>
        </w:rPr>
      </w:pPr>
    </w:p>
    <w:p>
      <w:pPr>
        <w:spacing w:after="0"/>
        <w:tabs>
          <w:tab w:leader="none" w:pos="780" w:val="left"/>
          <w:tab w:leader="none" w:pos="1180" w:val="left"/>
        </w:tabs>
        <w:rPr>
          <w:sz w:val="20"/>
          <w:szCs w:val="20"/>
          <w:color w:val="auto"/>
        </w:rPr>
      </w:pPr>
      <w:r>
        <w:rPr>
          <w:rFonts w:ascii="Arial" w:cs="Arial" w:eastAsia="Arial" w:hAnsi="Arial"/>
          <w:sz w:val="14"/>
          <w:szCs w:val="14"/>
          <w:color w:val="auto"/>
        </w:rPr>
        <w:t>84,615,685</w:t>
        <w:tab/>
        <w:t>$</w:t>
      </w:r>
      <w:r>
        <w:rPr>
          <w:sz w:val="20"/>
          <w:szCs w:val="20"/>
          <w:color w:val="auto"/>
        </w:rPr>
        <w:tab/>
      </w:r>
      <w:r>
        <w:rPr>
          <w:rFonts w:ascii="Arial" w:cs="Arial" w:eastAsia="Arial" w:hAnsi="Arial"/>
          <w:sz w:val="14"/>
          <w:szCs w:val="14"/>
          <w:color w:val="auto"/>
        </w:rPr>
        <w:t>—</w:t>
      </w:r>
    </w:p>
    <w:p>
      <w:pPr>
        <w:spacing w:after="0" w:line="298" w:lineRule="exact"/>
        <w:rPr>
          <w:sz w:val="20"/>
          <w:szCs w:val="20"/>
          <w:color w:val="auto"/>
        </w:rPr>
      </w:pPr>
    </w:p>
    <w:p>
      <w:pPr>
        <w:ind w:left="60"/>
        <w:spacing w:after="0"/>
        <w:tabs>
          <w:tab w:leader="none" w:pos="1180" w:val="left"/>
        </w:tabs>
        <w:rPr>
          <w:sz w:val="20"/>
          <w:szCs w:val="20"/>
          <w:color w:val="auto"/>
        </w:rPr>
      </w:pPr>
      <w:r>
        <w:rPr>
          <w:rFonts w:ascii="Arial" w:cs="Arial" w:eastAsia="Arial" w:hAnsi="Arial"/>
          <w:sz w:val="14"/>
          <w:szCs w:val="14"/>
          <w:color w:val="auto"/>
        </w:rPr>
        <w:t>2,892,532</w:t>
      </w:r>
      <w:r>
        <w:rPr>
          <w:sz w:val="20"/>
          <w:szCs w:val="20"/>
          <w:color w:val="auto"/>
        </w:rPr>
        <w:tab/>
      </w:r>
      <w:r>
        <w:rPr>
          <w:rFonts w:ascii="Arial" w:cs="Arial" w:eastAsia="Arial" w:hAnsi="Arial"/>
          <w:sz w:val="14"/>
          <w:szCs w:val="14"/>
          <w:color w:val="auto"/>
        </w:rPr>
        <w:t>—</w:t>
      </w:r>
    </w:p>
    <w:p>
      <w:pPr>
        <w:spacing w:after="0" w:line="298" w:lineRule="exact"/>
        <w:rPr>
          <w:sz w:val="20"/>
          <w:szCs w:val="20"/>
          <w:color w:val="auto"/>
        </w:rPr>
      </w:pPr>
    </w:p>
    <w:p>
      <w:pPr>
        <w:jc w:val="both"/>
        <w:ind w:left="240"/>
        <w:spacing w:after="0"/>
        <w:tabs>
          <w:tab w:leader="none" w:pos="780" w:val="left"/>
          <w:tab w:leader="none" w:pos="1180" w:val="left"/>
        </w:tabs>
        <w:rPr>
          <w:sz w:val="20"/>
          <w:szCs w:val="20"/>
          <w:color w:val="auto"/>
        </w:rPr>
      </w:pPr>
      <w:r>
        <w:rPr>
          <w:rFonts w:ascii="Arial" w:cs="Arial" w:eastAsia="Arial" w:hAnsi="Arial"/>
          <w:sz w:val="14"/>
          <w:szCs w:val="14"/>
          <w:color w:val="auto"/>
        </w:rPr>
        <w:t>40,173</w:t>
        <w:tab/>
        <w:t>$</w:t>
      </w:r>
      <w:r>
        <w:rPr>
          <w:sz w:val="20"/>
          <w:szCs w:val="20"/>
          <w:color w:val="auto"/>
        </w:rPr>
        <w:tab/>
      </w:r>
      <w:r>
        <w:rPr>
          <w:rFonts w:ascii="Arial" w:cs="Arial" w:eastAsia="Arial" w:hAnsi="Arial"/>
          <w:sz w:val="14"/>
          <w:szCs w:val="14"/>
          <w:color w:val="auto"/>
        </w:rPr>
        <w:t>—</w:t>
      </w:r>
    </w:p>
    <w:p>
      <w:pPr>
        <w:spacing w:after="0" w:line="200" w:lineRule="exact"/>
        <w:rPr>
          <w:sz w:val="20"/>
          <w:szCs w:val="20"/>
          <w:color w:val="auto"/>
        </w:rPr>
      </w:pPr>
    </w:p>
    <w:p>
      <w:pPr>
        <w:spacing w:after="0" w:line="233" w:lineRule="exact"/>
        <w:rPr>
          <w:sz w:val="20"/>
          <w:szCs w:val="20"/>
          <w:color w:val="auto"/>
        </w:rPr>
      </w:pPr>
    </w:p>
    <w:p>
      <w:pPr>
        <w:jc w:val="right"/>
        <w:spacing w:after="0"/>
        <w:tabs>
          <w:tab w:leader="none" w:pos="520" w:val="left"/>
          <w:tab w:leader="none" w:pos="120" w:val="left"/>
        </w:tabs>
        <w:rPr>
          <w:sz w:val="20"/>
          <w:szCs w:val="20"/>
          <w:color w:val="auto"/>
        </w:rPr>
      </w:pPr>
      <w:r>
        <w:rPr>
          <w:rFonts w:ascii="Arial" w:cs="Arial" w:eastAsia="Arial" w:hAnsi="Arial"/>
          <w:sz w:val="14"/>
          <w:szCs w:val="14"/>
          <w:color w:val="auto"/>
        </w:rPr>
        <w:t>(12,677)</w:t>
        <w:tab/>
        <w:t>$</w:t>
      </w:r>
      <w:r>
        <w:rPr>
          <w:sz w:val="20"/>
          <w:szCs w:val="20"/>
          <w:color w:val="auto"/>
        </w:rPr>
        <w:tab/>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tabs>
          <w:tab w:leader="none" w:pos="780" w:val="left"/>
          <w:tab w:leader="none" w:pos="1180" w:val="left"/>
        </w:tabs>
        <w:rPr>
          <w:sz w:val="20"/>
          <w:szCs w:val="20"/>
          <w:color w:val="auto"/>
        </w:rPr>
      </w:pPr>
      <w:r>
        <w:rPr>
          <w:rFonts w:ascii="Arial" w:cs="Arial" w:eastAsia="Arial" w:hAnsi="Arial"/>
          <w:sz w:val="14"/>
          <w:szCs w:val="14"/>
          <w:color w:val="auto"/>
        </w:rPr>
        <w:t>87,535,713</w:t>
        <w:tab/>
        <w:t>$</w:t>
      </w:r>
      <w:r>
        <w:rPr>
          <w:sz w:val="20"/>
          <w:szCs w:val="20"/>
          <w:color w:val="auto"/>
        </w:rPr>
        <w:tab/>
      </w:r>
      <w:r>
        <w:rPr>
          <w:rFonts w:ascii="Arial" w:cs="Arial" w:eastAsia="Arial" w:hAnsi="Arial"/>
          <w:sz w:val="14"/>
          <w:szCs w:val="14"/>
          <w:color w:val="auto"/>
        </w:rPr>
        <w:t>—</w:t>
      </w:r>
    </w:p>
    <w:p>
      <w:pPr>
        <w:spacing w:after="0" w:line="298" w:lineRule="exact"/>
        <w:rPr>
          <w:sz w:val="20"/>
          <w:szCs w:val="20"/>
          <w:color w:val="auto"/>
        </w:rPr>
      </w:pPr>
    </w:p>
    <w:p>
      <w:pPr>
        <w:spacing w:after="0"/>
        <w:tabs>
          <w:tab w:leader="none" w:pos="780" w:val="left"/>
          <w:tab w:leader="none" w:pos="1180" w:val="left"/>
        </w:tabs>
        <w:rPr>
          <w:sz w:val="20"/>
          <w:szCs w:val="20"/>
          <w:color w:val="auto"/>
        </w:rPr>
      </w:pPr>
      <w:r>
        <w:rPr>
          <w:rFonts w:ascii="Arial" w:cs="Arial" w:eastAsia="Arial" w:hAnsi="Arial"/>
          <w:sz w:val="14"/>
          <w:szCs w:val="14"/>
          <w:color w:val="auto"/>
        </w:rPr>
        <w:t>97,705,413</w:t>
        <w:tab/>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00" w:type="dxa"/>
            <w:vAlign w:val="bottom"/>
            <w:gridSpan w:val="5"/>
            <w:vMerge w:val="restart"/>
          </w:tcPr>
          <w:p>
            <w:pPr>
              <w:ind w:left="460"/>
              <w:spacing w:after="0"/>
              <w:rPr>
                <w:sz w:val="20"/>
                <w:szCs w:val="20"/>
                <w:color w:val="auto"/>
              </w:rPr>
            </w:pPr>
            <w:r>
              <w:rPr>
                <w:rFonts w:ascii="Arial" w:cs="Arial" w:eastAsia="Arial" w:hAnsi="Arial"/>
                <w:sz w:val="13"/>
                <w:szCs w:val="13"/>
                <w:b w:val="1"/>
                <w:bCs w:val="1"/>
                <w:color w:val="auto"/>
              </w:rPr>
              <w:t>Treasury Stock</w:t>
            </w:r>
          </w:p>
        </w:tc>
        <w:tc>
          <w:tcPr>
            <w:tcW w:w="80" w:type="dxa"/>
            <w:vAlign w:val="bottom"/>
          </w:tcPr>
          <w:p>
            <w:pPr>
              <w:spacing w:after="0"/>
              <w:rPr>
                <w:sz w:val="12"/>
                <w:szCs w:val="12"/>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12"/>
                <w:szCs w:val="12"/>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180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vMerge w:val="restart"/>
          </w:tcPr>
          <w:p>
            <w:pPr>
              <w:jc w:val="center"/>
              <w:ind w:right="180"/>
              <w:spacing w:after="0" w:line="106" w:lineRule="exact"/>
              <w:rPr>
                <w:sz w:val="20"/>
                <w:szCs w:val="20"/>
                <w:color w:val="auto"/>
              </w:rPr>
            </w:pPr>
            <w:r>
              <w:rPr>
                <w:rFonts w:ascii="Arial" w:cs="Arial" w:eastAsia="Arial" w:hAnsi="Arial"/>
                <w:sz w:val="12"/>
                <w:szCs w:val="12"/>
                <w:b w:val="1"/>
                <w:bCs w:val="1"/>
                <w:color w:val="auto"/>
                <w:w w:val="99"/>
              </w:rPr>
              <w:t>Paid-in</w:t>
            </w:r>
          </w:p>
        </w:tc>
        <w:tc>
          <w:tcPr>
            <w:tcW w:w="80" w:type="dxa"/>
            <w:vAlign w:val="bottom"/>
          </w:tcPr>
          <w:p>
            <w:pPr>
              <w:spacing w:after="0"/>
              <w:rPr>
                <w:sz w:val="8"/>
                <w:szCs w:val="8"/>
                <w:color w:val="auto"/>
              </w:rPr>
            </w:pPr>
          </w:p>
        </w:tc>
        <w:tc>
          <w:tcPr>
            <w:tcW w:w="1000" w:type="dxa"/>
            <w:vAlign w:val="bottom"/>
            <w:gridSpan w:val="2"/>
            <w:vMerge w:val="restart"/>
          </w:tcPr>
          <w:p>
            <w:pPr>
              <w:jc w:val="center"/>
              <w:ind w:right="160"/>
              <w:spacing w:after="0" w:line="106" w:lineRule="exact"/>
              <w:rPr>
                <w:sz w:val="20"/>
                <w:szCs w:val="20"/>
                <w:color w:val="auto"/>
              </w:rPr>
            </w:pPr>
            <w:r>
              <w:rPr>
                <w:rFonts w:ascii="Arial" w:cs="Arial" w:eastAsia="Arial" w:hAnsi="Arial"/>
                <w:sz w:val="12"/>
                <w:szCs w:val="12"/>
                <w:b w:val="1"/>
                <w:bCs w:val="1"/>
                <w:color w:val="auto"/>
                <w:w w:val="93"/>
              </w:rPr>
              <w:t>Comprehensive</w:t>
            </w:r>
          </w:p>
        </w:tc>
        <w:tc>
          <w:tcPr>
            <w:tcW w:w="100" w:type="dxa"/>
            <w:vAlign w:val="bottom"/>
          </w:tcPr>
          <w:p>
            <w:pPr>
              <w:spacing w:after="0"/>
              <w:rPr>
                <w:sz w:val="8"/>
                <w:szCs w:val="8"/>
                <w:color w:val="auto"/>
              </w:rPr>
            </w:pPr>
          </w:p>
        </w:tc>
        <w:tc>
          <w:tcPr>
            <w:tcW w:w="920" w:type="dxa"/>
            <w:vAlign w:val="bottom"/>
            <w:gridSpan w:val="2"/>
            <w:vMerge w:val="restart"/>
          </w:tcPr>
          <w:p>
            <w:pPr>
              <w:jc w:val="center"/>
              <w:ind w:right="160"/>
              <w:spacing w:after="0" w:line="106" w:lineRule="exact"/>
              <w:rPr>
                <w:sz w:val="20"/>
                <w:szCs w:val="20"/>
                <w:color w:val="auto"/>
              </w:rPr>
            </w:pPr>
            <w:r>
              <w:rPr>
                <w:rFonts w:ascii="Arial" w:cs="Arial" w:eastAsia="Arial" w:hAnsi="Arial"/>
                <w:sz w:val="12"/>
                <w:szCs w:val="12"/>
                <w:b w:val="1"/>
                <w:bCs w:val="1"/>
                <w:color w:val="auto"/>
                <w:w w:val="95"/>
              </w:rPr>
              <w:t>Accumulated</w:t>
            </w:r>
          </w:p>
        </w:tc>
        <w:tc>
          <w:tcPr>
            <w:tcW w:w="100" w:type="dxa"/>
            <w:vAlign w:val="bottom"/>
          </w:tcPr>
          <w:p>
            <w:pPr>
              <w:spacing w:after="0"/>
              <w:rPr>
                <w:sz w:val="8"/>
                <w:szCs w:val="8"/>
                <w:color w:val="auto"/>
              </w:rPr>
            </w:pPr>
          </w:p>
        </w:tc>
        <w:tc>
          <w:tcPr>
            <w:tcW w:w="820" w:type="dxa"/>
            <w:vAlign w:val="bottom"/>
            <w:vMerge w:val="restart"/>
          </w:tcPr>
          <w:p>
            <w:pPr>
              <w:jc w:val="right"/>
              <w:ind w:right="9"/>
              <w:spacing w:after="0" w:line="106" w:lineRule="exact"/>
              <w:rPr>
                <w:sz w:val="20"/>
                <w:szCs w:val="20"/>
                <w:color w:val="auto"/>
              </w:rPr>
            </w:pPr>
            <w:r>
              <w:rPr>
                <w:rFonts w:ascii="Arial" w:cs="Arial" w:eastAsia="Arial" w:hAnsi="Arial"/>
                <w:sz w:val="12"/>
                <w:szCs w:val="12"/>
                <w:b w:val="1"/>
                <w:bCs w:val="1"/>
                <w:color w:val="auto"/>
                <w:w w:val="90"/>
              </w:rPr>
              <w:t>Stockholders’</w:t>
            </w:r>
          </w:p>
        </w:tc>
        <w:tc>
          <w:tcPr>
            <w:tcW w:w="0" w:type="dxa"/>
            <w:vAlign w:val="bottom"/>
          </w:tcPr>
          <w:p>
            <w:pPr>
              <w:spacing w:after="0"/>
              <w:rPr>
                <w:sz w:val="1"/>
                <w:szCs w:val="1"/>
                <w:color w:val="auto"/>
              </w:rPr>
            </w:pPr>
          </w:p>
        </w:tc>
      </w:tr>
      <w:tr>
        <w:trPr>
          <w:trHeight w:val="29"/>
        </w:trPr>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960" w:type="dxa"/>
            <w:vAlign w:val="bottom"/>
            <w:gridSpan w:val="2"/>
          </w:tcPr>
          <w:p>
            <w:pPr>
              <w:ind w:left="2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Capital</w:t>
            </w:r>
          </w:p>
        </w:tc>
        <w:tc>
          <w:tcPr>
            <w:tcW w:w="8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Income</w:t>
            </w:r>
          </w:p>
        </w:tc>
        <w:tc>
          <w:tcPr>
            <w:tcW w:w="10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Deficit</w:t>
            </w:r>
          </w:p>
        </w:tc>
        <w:tc>
          <w:tcPr>
            <w:tcW w:w="920" w:type="dxa"/>
            <w:vAlign w:val="bottom"/>
            <w:gridSpan w:val="2"/>
          </w:tcPr>
          <w:p>
            <w:pPr>
              <w:jc w:val="right"/>
              <w:spacing w:after="0"/>
              <w:rPr>
                <w:sz w:val="20"/>
                <w:szCs w:val="20"/>
                <w:color w:val="auto"/>
              </w:rPr>
            </w:pPr>
            <w:r>
              <w:rPr>
                <w:rFonts w:ascii="Arial" w:cs="Arial" w:eastAsia="Arial" w:hAnsi="Arial"/>
                <w:sz w:val="13"/>
                <w:szCs w:val="13"/>
                <w:b w:val="1"/>
                <w:bCs w:val="1"/>
                <w:color w:val="auto"/>
                <w:w w:val="93"/>
              </w:rPr>
              <w:t>Equity (Deficit)</w:t>
            </w:r>
          </w:p>
        </w:tc>
        <w:tc>
          <w:tcPr>
            <w:tcW w:w="0" w:type="dxa"/>
            <w:vAlign w:val="bottom"/>
          </w:tcPr>
          <w:p>
            <w:pPr>
              <w:spacing w:after="0"/>
              <w:rPr>
                <w:sz w:val="1"/>
                <w:szCs w:val="1"/>
                <w:color w:val="auto"/>
              </w:rPr>
            </w:pPr>
          </w:p>
        </w:tc>
      </w:tr>
      <w:tr>
        <w:trPr>
          <w:trHeight w:val="29"/>
        </w:trPr>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80" w:type="dxa"/>
            <w:vAlign w:val="bottom"/>
          </w:tcPr>
          <w:p>
            <w:pPr>
              <w:jc w:val="right"/>
              <w:spacing w:after="0"/>
              <w:rPr>
                <w:sz w:val="20"/>
                <w:szCs w:val="20"/>
                <w:color w:val="auto"/>
              </w:rPr>
            </w:pPr>
            <w:r>
              <w:rPr>
                <w:rFonts w:ascii="Arial" w:cs="Arial" w:eastAsia="Arial" w:hAnsi="Arial"/>
                <w:sz w:val="14"/>
                <w:szCs w:val="14"/>
                <w:color w:val="auto"/>
              </w:rPr>
              <w:t>1,559,088</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29.8</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(20.2)</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459"/>
        </w:trPr>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459"/>
        </w:trPr>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94"/>
        </w:trPr>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324"/>
        </w:trPr>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324"/>
        </w:trPr>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6"/>
        </w:trPr>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880" w:type="dxa"/>
            <w:vAlign w:val="bottom"/>
          </w:tcPr>
          <w:p>
            <w:pPr>
              <w:jc w:val="right"/>
              <w:spacing w:after="0"/>
              <w:rPr>
                <w:sz w:val="20"/>
                <w:szCs w:val="20"/>
                <w:color w:val="auto"/>
              </w:rPr>
            </w:pPr>
            <w:r>
              <w:rPr>
                <w:rFonts w:ascii="Arial" w:cs="Arial" w:eastAsia="Arial" w:hAnsi="Arial"/>
                <w:sz w:val="14"/>
                <w:szCs w:val="14"/>
                <w:color w:val="auto"/>
              </w:rPr>
              <w:t>1,559,088</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38.2</w:t>
            </w:r>
          </w:p>
        </w:tc>
        <w:tc>
          <w:tcPr>
            <w:tcW w:w="8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(17.1)</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26"/>
        </w:trPr>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3"/>
        </w:trPr>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99.8</w:t>
            </w:r>
          </w:p>
        </w:tc>
        <w:tc>
          <w:tcPr>
            <w:tcW w:w="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(17.7)</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-2117725</wp:posOffset>
            </wp:positionV>
            <wp:extent cx="7132320" cy="47574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475742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4">
            <w:col w:w="2060" w:space="100"/>
            <w:col w:w="1520" w:space="380"/>
            <w:col w:w="1340" w:space="140"/>
            <w:col w:w="5680"/>
          </w:cols>
          <w:pgMar w:left="340" w:top="121" w:right="339" w:bottom="1440" w:gutter="0" w:footer="0" w:header="0"/>
          <w:type w:val="continuous"/>
        </w:sectPr>
      </w:pPr>
    </w:p>
    <w:p>
      <w:pPr>
        <w:ind w:left="160" w:right="80" w:hanging="161"/>
        <w:spacing w:after="0" w:line="224" w:lineRule="auto"/>
        <w:rPr>
          <w:sz w:val="20"/>
          <w:szCs w:val="20"/>
          <w:color w:val="auto"/>
        </w:rPr>
      </w:pPr>
      <w:r>
        <w:rPr>
          <w:rFonts w:ascii="Arial" w:cs="Arial" w:eastAsia="Arial" w:hAnsi="Arial"/>
          <w:sz w:val="14"/>
          <w:szCs w:val="14"/>
          <w:color w:val="auto"/>
        </w:rPr>
        <w:t>Issuance of Class A common stock upon exercise of stock options (unaudited)</w:t>
      </w:r>
    </w:p>
    <w:p>
      <w:pPr>
        <w:spacing w:after="0" w:line="8" w:lineRule="exact"/>
        <w:rPr>
          <w:sz w:val="20"/>
          <w:szCs w:val="20"/>
          <w:color w:val="auto"/>
        </w:rPr>
      </w:pPr>
    </w:p>
    <w:p>
      <w:pPr>
        <w:ind w:left="160" w:right="40" w:hanging="161"/>
        <w:spacing w:after="0" w:line="243" w:lineRule="auto"/>
        <w:rPr>
          <w:sz w:val="20"/>
          <w:szCs w:val="20"/>
          <w:color w:val="auto"/>
        </w:rPr>
      </w:pPr>
      <w:r>
        <w:rPr>
          <w:rFonts w:ascii="Arial" w:cs="Arial" w:eastAsia="Arial" w:hAnsi="Arial"/>
          <w:sz w:val="13"/>
          <w:szCs w:val="13"/>
          <w:color w:val="auto"/>
        </w:rPr>
        <w:t>Issuance of Class A common stock pursuant to settlement of restricted stock units (unaudited)</w:t>
      </w:r>
    </w:p>
    <w:p>
      <w:pPr>
        <w:spacing w:after="0" w:line="5" w:lineRule="exact"/>
        <w:rPr>
          <w:sz w:val="20"/>
          <w:szCs w:val="20"/>
          <w:color w:val="auto"/>
        </w:rPr>
      </w:pPr>
    </w:p>
    <w:p>
      <w:pPr>
        <w:ind w:left="160" w:right="40" w:hanging="161"/>
        <w:spacing w:after="0" w:line="235" w:lineRule="auto"/>
        <w:rPr>
          <w:sz w:val="20"/>
          <w:szCs w:val="20"/>
          <w:color w:val="auto"/>
        </w:rPr>
      </w:pPr>
      <w:r>
        <w:rPr>
          <w:rFonts w:ascii="Arial" w:cs="Arial" w:eastAsia="Arial" w:hAnsi="Arial"/>
          <w:sz w:val="13"/>
          <w:szCs w:val="13"/>
          <w:color w:val="auto"/>
        </w:rPr>
        <w:t>Class A common stock surrendered for employees' tax liability upon settlement of restricted stock units (unaudited)</w:t>
      </w:r>
    </w:p>
    <w:p>
      <w:pPr>
        <w:spacing w:after="0" w:line="8" w:lineRule="exact"/>
        <w:rPr>
          <w:sz w:val="20"/>
          <w:szCs w:val="20"/>
          <w:color w:val="auto"/>
        </w:rPr>
      </w:pPr>
    </w:p>
    <w:p>
      <w:pPr>
        <w:ind w:left="160" w:right="460" w:hanging="161"/>
        <w:spacing w:after="0" w:line="236" w:lineRule="auto"/>
        <w:rPr>
          <w:sz w:val="20"/>
          <w:szCs w:val="20"/>
          <w:color w:val="auto"/>
        </w:rPr>
      </w:pPr>
      <w:r>
        <w:rPr>
          <w:rFonts w:ascii="Arial" w:cs="Arial" w:eastAsia="Arial" w:hAnsi="Arial"/>
          <w:sz w:val="14"/>
          <w:szCs w:val="14"/>
          <w:color w:val="auto"/>
        </w:rPr>
        <w:t>Repurchase of stock options (unaudited)</w:t>
      </w:r>
    </w:p>
    <w:p>
      <w:pPr>
        <w:spacing w:after="0" w:line="7" w:lineRule="exact"/>
        <w:rPr>
          <w:sz w:val="20"/>
          <w:szCs w:val="20"/>
          <w:color w:val="auto"/>
        </w:rPr>
      </w:pPr>
    </w:p>
    <w:p>
      <w:pPr>
        <w:ind w:left="160" w:right="40" w:hanging="161"/>
        <w:spacing w:after="0" w:line="224" w:lineRule="auto"/>
        <w:rPr>
          <w:sz w:val="20"/>
          <w:szCs w:val="20"/>
          <w:color w:val="auto"/>
        </w:rPr>
      </w:pPr>
      <w:r>
        <w:rPr>
          <w:rFonts w:ascii="Arial" w:cs="Arial" w:eastAsia="Arial" w:hAnsi="Arial"/>
          <w:sz w:val="14"/>
          <w:szCs w:val="14"/>
          <w:color w:val="auto"/>
        </w:rPr>
        <w:t>Repurchase of Series A redeemable convertible preferred stock (unaudited)</w:t>
      </w:r>
    </w:p>
    <w:p>
      <w:pPr>
        <w:spacing w:after="0" w:line="8" w:lineRule="exact"/>
        <w:rPr>
          <w:sz w:val="20"/>
          <w:szCs w:val="20"/>
          <w:color w:val="auto"/>
        </w:rPr>
      </w:pPr>
    </w:p>
    <w:p>
      <w:pPr>
        <w:ind w:left="160" w:right="240" w:hanging="161"/>
        <w:spacing w:after="0" w:line="236" w:lineRule="auto"/>
        <w:rPr>
          <w:sz w:val="20"/>
          <w:szCs w:val="20"/>
          <w:color w:val="auto"/>
        </w:rPr>
      </w:pPr>
      <w:r>
        <w:rPr>
          <w:rFonts w:ascii="Arial" w:cs="Arial" w:eastAsia="Arial" w:hAnsi="Arial"/>
          <w:sz w:val="14"/>
          <w:szCs w:val="14"/>
          <w:color w:val="auto"/>
        </w:rPr>
        <w:t>Repurchase of Class A common stock (unaudited)</w:t>
      </w:r>
    </w:p>
    <w:p>
      <w:pPr>
        <w:spacing w:after="0" w:line="7" w:lineRule="exact"/>
        <w:rPr>
          <w:sz w:val="20"/>
          <w:szCs w:val="20"/>
          <w:color w:val="auto"/>
        </w:rPr>
      </w:pPr>
    </w:p>
    <w:p>
      <w:pPr>
        <w:ind w:left="160" w:right="260" w:hanging="161"/>
        <w:spacing w:after="0" w:line="236" w:lineRule="auto"/>
        <w:rPr>
          <w:sz w:val="20"/>
          <w:szCs w:val="20"/>
          <w:color w:val="auto"/>
        </w:rPr>
      </w:pPr>
      <w:r>
        <w:rPr>
          <w:rFonts w:ascii="Arial" w:cs="Arial" w:eastAsia="Arial" w:hAnsi="Arial"/>
          <w:sz w:val="14"/>
          <w:szCs w:val="14"/>
          <w:color w:val="auto"/>
        </w:rPr>
        <w:t>Repurchase of Class F common stock (unaudited)</w:t>
      </w:r>
    </w:p>
    <w:p>
      <w:pPr>
        <w:spacing w:after="0" w:line="7" w:lineRule="exact"/>
        <w:rPr>
          <w:sz w:val="20"/>
          <w:szCs w:val="20"/>
          <w:color w:val="auto"/>
        </w:rPr>
      </w:pPr>
    </w:p>
    <w:p>
      <w:pPr>
        <w:ind w:right="560"/>
        <w:spacing w:after="0" w:line="260" w:lineRule="auto"/>
        <w:rPr>
          <w:sz w:val="20"/>
          <w:szCs w:val="20"/>
          <w:color w:val="auto"/>
        </w:rPr>
      </w:pPr>
      <w:r>
        <w:rPr>
          <w:rFonts w:ascii="Arial" w:cs="Arial" w:eastAsia="Arial" w:hAnsi="Arial"/>
          <w:sz w:val="13"/>
          <w:szCs w:val="13"/>
          <w:color w:val="auto"/>
        </w:rPr>
        <w:t>Stock-based compensation (unaudited)</w:t>
      </w:r>
    </w:p>
    <w:p>
      <w:pPr>
        <w:ind w:left="160" w:hanging="161"/>
        <w:spacing w:after="0" w:line="236" w:lineRule="auto"/>
        <w:rPr>
          <w:sz w:val="20"/>
          <w:szCs w:val="20"/>
          <w:color w:val="auto"/>
        </w:rPr>
      </w:pPr>
      <w:r>
        <w:rPr>
          <w:rFonts w:ascii="Arial" w:cs="Arial" w:eastAsia="Arial" w:hAnsi="Arial"/>
          <w:sz w:val="14"/>
          <w:szCs w:val="14"/>
          <w:color w:val="auto"/>
        </w:rPr>
        <w:t>Other comprehensive income, net of tax (unaudited)</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Net loss (unaudited)</w:t>
      </w:r>
    </w:p>
    <w:p>
      <w:pPr>
        <w:spacing w:after="0" w:line="24" w:lineRule="exact"/>
        <w:rPr>
          <w:sz w:val="20"/>
          <w:szCs w:val="20"/>
          <w:color w:val="auto"/>
        </w:rPr>
      </w:pPr>
    </w:p>
    <w:p>
      <w:pPr>
        <w:ind w:left="160" w:right="440" w:hanging="161"/>
        <w:spacing w:after="0" w:line="239" w:lineRule="auto"/>
        <w:rPr>
          <w:sz w:val="20"/>
          <w:szCs w:val="20"/>
          <w:color w:val="auto"/>
        </w:rPr>
      </w:pPr>
      <w:r>
        <w:rPr>
          <w:rFonts w:ascii="Arial" w:cs="Arial" w:eastAsia="Arial" w:hAnsi="Arial"/>
          <w:sz w:val="14"/>
          <w:szCs w:val="14"/>
          <w:b w:val="1"/>
          <w:bCs w:val="1"/>
          <w:color w:val="auto"/>
        </w:rPr>
        <w:t>BALANCE - June 30, 2021 (unaudited)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13"/>
          <w:szCs w:val="13"/>
          <w:color w:val="auto"/>
        </w:rPr>
        <w:t>(205,000)</w:t>
      </w:r>
      <w:r>
        <w:rPr>
          <w:sz w:val="20"/>
          <w:szCs w:val="20"/>
          <w:color w:val="auto"/>
        </w:rPr>
        <w:tab/>
      </w:r>
      <w:r>
        <w:rPr>
          <w:rFonts w:ascii="Arial" w:cs="Arial" w:eastAsia="Arial" w:hAnsi="Arial"/>
          <w:sz w:val="13"/>
          <w:szCs w:val="13"/>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800" w:val="left"/>
          <w:tab w:leader="none" w:pos="1120" w:val="left"/>
        </w:tabs>
        <w:rPr>
          <w:sz w:val="20"/>
          <w:szCs w:val="20"/>
          <w:color w:val="auto"/>
        </w:rPr>
      </w:pPr>
      <w:r>
        <w:rPr>
          <w:rFonts w:ascii="Arial" w:cs="Arial" w:eastAsia="Arial" w:hAnsi="Arial"/>
          <w:sz w:val="14"/>
          <w:szCs w:val="14"/>
          <w:color w:val="auto"/>
        </w:rPr>
        <w:t>15,169,664</w:t>
        <w:tab/>
        <w:t>$</w:t>
      </w:r>
      <w:r>
        <w:rPr>
          <w:sz w:val="20"/>
          <w:szCs w:val="20"/>
          <w:color w:val="auto"/>
        </w:rPr>
        <w:tab/>
      </w:r>
      <w:r>
        <w:rPr>
          <w:rFonts w:ascii="Arial" w:cs="Arial" w:eastAsia="Arial" w:hAnsi="Arial"/>
          <w:sz w:val="12"/>
          <w:szCs w:val="12"/>
          <w:color w:val="auto"/>
        </w:rPr>
        <w:t>66.7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55245</wp:posOffset>
            </wp:positionV>
            <wp:extent cx="10198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ind w:left="60"/>
        <w:spacing w:after="0"/>
        <w:tabs>
          <w:tab w:leader="none" w:pos="1180" w:val="left"/>
        </w:tabs>
        <w:rPr>
          <w:sz w:val="20"/>
          <w:szCs w:val="20"/>
          <w:color w:val="auto"/>
        </w:rPr>
      </w:pPr>
      <w:r>
        <w:rPr>
          <w:rFonts w:ascii="Arial" w:cs="Arial" w:eastAsia="Arial" w:hAnsi="Arial"/>
          <w:sz w:val="14"/>
          <w:szCs w:val="14"/>
          <w:color w:val="auto"/>
        </w:rPr>
        <w:t>3,024,302</w:t>
      </w:r>
      <w:r>
        <w:rPr>
          <w:sz w:val="20"/>
          <w:szCs w:val="20"/>
          <w:color w:val="auto"/>
        </w:rPr>
        <w:tab/>
      </w:r>
      <w:r>
        <w:rPr>
          <w:rFonts w:ascii="Arial" w:cs="Arial" w:eastAsia="Arial" w:hAnsi="Arial"/>
          <w:sz w:val="14"/>
          <w:szCs w:val="14"/>
          <w:color w:val="auto"/>
        </w:rPr>
        <w:t>—</w:t>
      </w:r>
    </w:p>
    <w:p>
      <w:pPr>
        <w:spacing w:after="0" w:line="298" w:lineRule="exact"/>
        <w:rPr>
          <w:sz w:val="20"/>
          <w:szCs w:val="20"/>
          <w:color w:val="auto"/>
        </w:rPr>
      </w:pPr>
    </w:p>
    <w:p>
      <w:pPr>
        <w:jc w:val="both"/>
        <w:ind w:left="180"/>
        <w:spacing w:after="0"/>
        <w:tabs>
          <w:tab w:leader="none" w:pos="1180" w:val="left"/>
        </w:tabs>
        <w:rPr>
          <w:sz w:val="20"/>
          <w:szCs w:val="20"/>
          <w:color w:val="auto"/>
        </w:rPr>
      </w:pPr>
      <w:r>
        <w:rPr>
          <w:rFonts w:ascii="Arial" w:cs="Arial" w:eastAsia="Arial" w:hAnsi="Arial"/>
          <w:sz w:val="14"/>
          <w:szCs w:val="14"/>
          <w:color w:val="auto"/>
        </w:rPr>
        <w:t>431,185</w:t>
      </w:r>
      <w:r>
        <w:rPr>
          <w:sz w:val="20"/>
          <w:szCs w:val="20"/>
          <w:color w:val="auto"/>
        </w:rPr>
        <w:tab/>
      </w:r>
      <w:r>
        <w:rPr>
          <w:rFonts w:ascii="Arial" w:cs="Arial" w:eastAsia="Arial" w:hAnsi="Arial"/>
          <w:sz w:val="14"/>
          <w:szCs w:val="14"/>
          <w:color w:val="auto"/>
        </w:rPr>
        <w:t>—</w:t>
      </w:r>
    </w:p>
    <w:p>
      <w:pPr>
        <w:spacing w:after="0" w:line="200" w:lineRule="exact"/>
        <w:rPr>
          <w:sz w:val="20"/>
          <w:szCs w:val="20"/>
          <w:color w:val="auto"/>
        </w:rPr>
      </w:pPr>
    </w:p>
    <w:p>
      <w:pPr>
        <w:spacing w:after="0" w:line="233"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4"/>
          <w:szCs w:val="14"/>
          <w:color w:val="auto"/>
        </w:rPr>
        <w:t>(109,446)</w:t>
      </w:r>
      <w:r>
        <w:rPr>
          <w:sz w:val="20"/>
          <w:szCs w:val="20"/>
          <w:color w:val="auto"/>
        </w:rPr>
        <w:tab/>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left="180"/>
        <w:spacing w:after="0"/>
        <w:tabs>
          <w:tab w:leader="none" w:pos="1180" w:val="left"/>
        </w:tabs>
        <w:rPr>
          <w:sz w:val="20"/>
          <w:szCs w:val="20"/>
          <w:color w:val="auto"/>
        </w:rPr>
      </w:pPr>
      <w:r>
        <w:rPr>
          <w:rFonts w:ascii="Arial" w:cs="Arial" w:eastAsia="Arial" w:hAnsi="Arial"/>
          <w:sz w:val="14"/>
          <w:szCs w:val="14"/>
          <w:color w:val="auto"/>
        </w:rPr>
        <w:t>(81,300)</w:t>
      </w:r>
      <w:r>
        <w:rPr>
          <w:sz w:val="20"/>
          <w:szCs w:val="20"/>
          <w:color w:val="auto"/>
        </w:rPr>
        <w:tab/>
      </w:r>
      <w:r>
        <w:rPr>
          <w:rFonts w:ascii="Arial" w:cs="Arial" w:eastAsia="Arial" w:hAnsi="Arial"/>
          <w:sz w:val="14"/>
          <w:szCs w:val="14"/>
          <w:color w:val="auto"/>
        </w:rPr>
        <w:t>—</w:t>
      </w:r>
    </w:p>
    <w:p>
      <w:pPr>
        <w:spacing w:after="0" w:line="163"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color w:val="auto"/>
        </w:rPr>
        <w:t>(1,765,634)</w:t>
      </w:r>
      <w:r>
        <w:rPr>
          <w:sz w:val="20"/>
          <w:szCs w:val="20"/>
          <w:color w:val="auto"/>
        </w:rPr>
        <w:tab/>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tabs>
          <w:tab w:leader="none" w:pos="780" w:val="left"/>
          <w:tab w:leader="none" w:pos="1180" w:val="left"/>
        </w:tabs>
        <w:rPr>
          <w:sz w:val="20"/>
          <w:szCs w:val="20"/>
          <w:color w:val="auto"/>
        </w:rPr>
      </w:pPr>
      <w:r>
        <w:rPr>
          <w:rFonts w:ascii="Arial" w:cs="Arial" w:eastAsia="Arial" w:hAnsi="Arial"/>
          <w:sz w:val="14"/>
          <w:szCs w:val="14"/>
          <w:color w:val="auto"/>
        </w:rPr>
        <w:t>99,204,520</w:t>
        <w:tab/>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55245</wp:posOffset>
            </wp:positionV>
            <wp:extent cx="10033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459"/>
        </w:trPr>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608"/>
        </w:trPr>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310"/>
        </w:trPr>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459"/>
        </w:trPr>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24"/>
        </w:trPr>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324"/>
        </w:trPr>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(12.4)</w:t>
            </w:r>
          </w:p>
        </w:tc>
      </w:tr>
      <w:tr>
        <w:trPr>
          <w:trHeight w:val="324"/>
        </w:trPr>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7.9</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7.9</w:t>
            </w:r>
          </w:p>
        </w:tc>
      </w:tr>
      <w:tr>
        <w:trPr>
          <w:trHeight w:val="324"/>
        </w:trPr>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16"/>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(26.8)</w:t>
            </w:r>
          </w:p>
        </w:tc>
      </w:tr>
      <w:tr>
        <w:trPr>
          <w:trHeight w:val="25"/>
        </w:trPr>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2"/>
        </w:trPr>
        <w:tc>
          <w:tcPr>
            <w:tcW w:w="1280" w:type="dxa"/>
            <w:vAlign w:val="bottom"/>
            <w:gridSpan w:val="3"/>
          </w:tcPr>
          <w:p>
            <w:pPr>
              <w:ind w:left="660"/>
              <w:spacing w:after="0"/>
              <w:rPr>
                <w:sz w:val="20"/>
                <w:szCs w:val="20"/>
                <w:color w:val="auto"/>
              </w:rPr>
            </w:pPr>
            <w:r>
              <w:rPr>
                <w:rFonts w:ascii="Arial" w:cs="Arial" w:eastAsia="Arial" w:hAnsi="Arial"/>
                <w:sz w:val="14"/>
                <w:szCs w:val="14"/>
                <w:color w:val="auto"/>
              </w:rPr>
              <w:t>—  $</w:t>
            </w:r>
          </w:p>
        </w:tc>
        <w:tc>
          <w:tcPr>
            <w:tcW w:w="760" w:type="dxa"/>
            <w:vAlign w:val="bottom"/>
            <w:gridSpan w:val="3"/>
          </w:tcPr>
          <w:p>
            <w:pPr>
              <w:ind w:left="220"/>
              <w:spacing w:after="0"/>
              <w:rPr>
                <w:sz w:val="20"/>
                <w:szCs w:val="20"/>
                <w:color w:val="auto"/>
              </w:rPr>
            </w:pPr>
            <w:r>
              <w:rPr>
                <w:rFonts w:ascii="Arial" w:cs="Arial" w:eastAsia="Arial" w:hAnsi="Arial"/>
                <w:sz w:val="14"/>
                <w:szCs w:val="14"/>
                <w:color w:val="auto"/>
              </w:rPr>
              <w:t>—  $</w:t>
            </w:r>
          </w:p>
        </w:tc>
        <w:tc>
          <w:tcPr>
            <w:tcW w:w="540" w:type="dxa"/>
            <w:vAlign w:val="bottom"/>
          </w:tcPr>
          <w:p>
            <w:pPr>
              <w:jc w:val="right"/>
              <w:spacing w:after="0"/>
              <w:rPr>
                <w:sz w:val="20"/>
                <w:szCs w:val="20"/>
                <w:color w:val="auto"/>
              </w:rPr>
            </w:pPr>
            <w:r>
              <w:rPr>
                <w:rFonts w:ascii="Arial" w:cs="Arial" w:eastAsia="Arial" w:hAnsi="Arial"/>
                <w:sz w:val="14"/>
                <w:szCs w:val="14"/>
                <w:color w:val="auto"/>
              </w:rPr>
              <w:t>112.5</w:t>
            </w:r>
          </w:p>
        </w:tc>
        <w:tc>
          <w:tcPr>
            <w:tcW w:w="80" w:type="dxa"/>
            <w:vAlign w:val="bottom"/>
          </w:tcPr>
          <w:p>
            <w:pPr>
              <w:spacing w:after="0"/>
              <w:rPr>
                <w:sz w:val="21"/>
                <w:szCs w:val="21"/>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(58.8)</w:t>
            </w:r>
          </w:p>
        </w:tc>
        <w:tc>
          <w:tcPr>
            <w:tcW w:w="8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54.5</w:t>
            </w:r>
          </w:p>
        </w:tc>
      </w:tr>
      <w:tr>
        <w:trPr>
          <w:trHeight w:val="25"/>
        </w:trPr>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4">
            <w:col w:w="2100" w:space="180"/>
            <w:col w:w="1420" w:space="360"/>
            <w:col w:w="1340" w:space="140"/>
            <w:col w:w="5680"/>
          </w:cols>
          <w:pgMar w:left="340" w:top="121" w:right="33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F-6</w:t>
      </w:r>
    </w:p>
    <w:p>
      <w:pPr>
        <w:sectPr>
          <w:pgSz w:w="11900" w:h="16838" w:orient="portrait"/>
          <w:cols w:equalWidth="0" w:num="1">
            <w:col w:w="11220"/>
          </w:cols>
          <w:pgMar w:left="340" w:top="121" w:right="339" w:bottom="1440" w:gutter="0" w:footer="0" w:header="0"/>
          <w:type w:val="continuous"/>
        </w:sectPr>
      </w:pPr>
    </w:p>
    <w:bookmarkStart w:id="156" w:name="page157"/>
    <w:bookmarkEnd w:id="156"/>
    <w:p>
      <w:pPr>
        <w:ind w:left="3880"/>
        <w:spacing w:after="0"/>
        <w:rPr>
          <w:sz w:val="20"/>
          <w:szCs w:val="20"/>
          <w:color w:val="auto"/>
        </w:rPr>
      </w:pPr>
      <w:r>
        <w:rPr>
          <w:rFonts w:ascii="Arial" w:cs="Arial" w:eastAsia="Arial" w:hAnsi="Arial"/>
          <w:sz w:val="18"/>
          <w:szCs w:val="18"/>
          <w:b w:val="1"/>
          <w:bCs w:val="1"/>
          <w:color w:val="auto"/>
        </w:rPr>
        <w:t>NERDWALLET, INC. AND SUBSIDIARIES</w:t>
      </w:r>
    </w:p>
    <w:p>
      <w:pPr>
        <w:spacing w:after="0" w:line="171"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left="580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33020</wp:posOffset>
            </wp:positionV>
            <wp:extent cx="17227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60" w:lineRule="exact"/>
        <w:rPr>
          <w:sz w:val="20"/>
          <w:szCs w:val="20"/>
          <w:color w:val="auto"/>
        </w:rPr>
      </w:pPr>
    </w:p>
    <w:p>
      <w:pPr>
        <w:ind w:left="6220"/>
        <w:spacing w:after="0"/>
        <w:tabs>
          <w:tab w:leader="none" w:pos="7600" w:val="left"/>
        </w:tabs>
        <w:rPr>
          <w:sz w:val="20"/>
          <w:szCs w:val="20"/>
          <w:color w:val="auto"/>
        </w:rPr>
      </w:pPr>
      <w:r>
        <w:rPr>
          <w:rFonts w:ascii="Arial" w:cs="Arial" w:eastAsia="Arial" w:hAnsi="Arial"/>
          <w:sz w:val="11"/>
          <w:szCs w:val="11"/>
          <w:b w:val="1"/>
          <w:bCs w:val="1"/>
          <w:color w:val="auto"/>
        </w:rPr>
        <w:t>2019</w:t>
      </w:r>
      <w:r>
        <w:rPr>
          <w:sz w:val="20"/>
          <w:szCs w:val="20"/>
          <w:color w:val="auto"/>
        </w:rPr>
        <w:tab/>
      </w:r>
      <w:r>
        <w:rPr>
          <w:rFonts w:ascii="Arial" w:cs="Arial" w:eastAsia="Arial" w:hAnsi="Arial"/>
          <w:sz w:val="11"/>
          <w:szCs w:val="11"/>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47625</wp:posOffset>
            </wp:positionV>
            <wp:extent cx="17227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jc w:val="center"/>
        <w:ind w:right="52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33020</wp:posOffset>
            </wp:positionV>
            <wp:extent cx="17399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60" w:lineRule="exact"/>
        <w:rPr>
          <w:sz w:val="20"/>
          <w:szCs w:val="20"/>
          <w:color w:val="auto"/>
        </w:rPr>
      </w:pPr>
    </w:p>
    <w:p>
      <w:pPr>
        <w:spacing w:after="0"/>
        <w:tabs>
          <w:tab w:leader="none" w:pos="1400" w:val="left"/>
        </w:tabs>
        <w:rPr>
          <w:sz w:val="20"/>
          <w:szCs w:val="20"/>
          <w:color w:val="auto"/>
        </w:rPr>
      </w:pPr>
      <w:r>
        <w:rPr>
          <w:rFonts w:ascii="Arial" w:cs="Arial" w:eastAsia="Arial" w:hAnsi="Arial"/>
          <w:sz w:val="12"/>
          <w:szCs w:val="12"/>
          <w:b w:val="1"/>
          <w:bCs w:val="1"/>
          <w:color w:val="auto"/>
        </w:rPr>
        <w:t>2020</w:t>
      </w:r>
      <w:r>
        <w:rPr>
          <w:sz w:val="20"/>
          <w:szCs w:val="20"/>
          <w:color w:val="auto"/>
        </w:rPr>
        <w:tab/>
      </w:r>
      <w:r>
        <w:rPr>
          <w:rFonts w:ascii="Arial" w:cs="Arial" w:eastAsia="Arial" w:hAnsi="Arial"/>
          <w:sz w:val="12"/>
          <w:szCs w:val="12"/>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40640</wp:posOffset>
            </wp:positionV>
            <wp:extent cx="17399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(unaudited)</w:t>
      </w:r>
    </w:p>
    <w:p>
      <w:pPr>
        <w:spacing w:after="0" w:line="52" w:lineRule="exact"/>
        <w:rPr>
          <w:sz w:val="20"/>
          <w:szCs w:val="20"/>
          <w:color w:val="auto"/>
        </w:rPr>
      </w:pPr>
    </w:p>
    <w:p>
      <w:pPr>
        <w:sectPr>
          <w:pgSz w:w="11900" w:h="16838" w:orient="portrait"/>
          <w:cols w:equalWidth="0" w:num="2">
            <w:col w:w="8300" w:space="720"/>
            <w:col w:w="222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5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7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6"/>
                <w:szCs w:val="16"/>
                <w:color w:val="auto"/>
              </w:rPr>
            </w:pP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6"/>
                <w:szCs w:val="16"/>
                <w:color w:val="auto"/>
              </w:rPr>
            </w:pPr>
          </w:p>
        </w:tc>
        <w:tc>
          <w:tcPr>
            <w:tcW w:w="540" w:type="dxa"/>
            <w:vAlign w:val="bottom"/>
          </w:tcPr>
          <w:p>
            <w:pPr>
              <w:jc w:val="right"/>
              <w:ind w:right="38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520" w:type="dxa"/>
            <w:vAlign w:val="bottom"/>
          </w:tcPr>
          <w:p>
            <w:pPr>
              <w:jc w:val="right"/>
              <w:ind w:right="36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26"/>
        </w:trPr>
        <w:tc>
          <w:tcPr>
            <w:tcW w:w="5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5"/>
              </w:rPr>
              <w:t>Adjustments to reconcile net income (loss) to net cash provided by (used in) operating activities:</w:t>
            </w:r>
          </w:p>
        </w:tc>
        <w:tc>
          <w:tcPr>
            <w:tcW w:w="5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7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6"/>
        </w:trPr>
        <w:tc>
          <w:tcPr>
            <w:tcW w:w="5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on disposal of assets</w:t>
            </w:r>
          </w:p>
        </w:tc>
        <w:tc>
          <w:tcPr>
            <w:tcW w:w="5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5700" w:type="dxa"/>
            <w:vAlign w:val="bottom"/>
          </w:tcPr>
          <w:p>
            <w:pPr>
              <w:ind w:left="20"/>
              <w:spacing w:after="0"/>
              <w:rPr>
                <w:sz w:val="20"/>
                <w:szCs w:val="20"/>
                <w:color w:val="auto"/>
              </w:rPr>
            </w:pPr>
            <w:r>
              <w:rPr>
                <w:rFonts w:ascii="Arial" w:cs="Arial" w:eastAsia="Arial" w:hAnsi="Arial"/>
                <w:sz w:val="14"/>
                <w:szCs w:val="14"/>
                <w:color w:val="auto"/>
              </w:rPr>
              <w:t>Impairment of capitalized website and software development costs</w:t>
            </w: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6"/>
        </w:trPr>
        <w:tc>
          <w:tcPr>
            <w:tcW w:w="5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Non-cash amortization of debt premium</w:t>
            </w:r>
          </w:p>
        </w:tc>
        <w:tc>
          <w:tcPr>
            <w:tcW w:w="5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w w:val="97"/>
              </w:rPr>
              <w:t>(0.2)</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90"/>
        </w:trPr>
        <w:tc>
          <w:tcPr>
            <w:tcW w:w="5700" w:type="dxa"/>
            <w:vAlign w:val="bottom"/>
          </w:tcPr>
          <w:p>
            <w:pPr>
              <w:ind w:left="20"/>
              <w:spacing w:after="0"/>
              <w:rPr>
                <w:sz w:val="20"/>
                <w:szCs w:val="20"/>
                <w:color w:val="auto"/>
              </w:rPr>
            </w:pPr>
            <w:r>
              <w:rPr>
                <w:rFonts w:ascii="Arial" w:cs="Arial" w:eastAsia="Arial" w:hAnsi="Arial"/>
                <w:sz w:val="14"/>
                <w:szCs w:val="14"/>
                <w:color w:val="auto"/>
              </w:rPr>
              <w:t>Other (gains) losses, net</w:t>
            </w: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6"/>
        </w:trPr>
        <w:tc>
          <w:tcPr>
            <w:tcW w:w="5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5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90"/>
        </w:trPr>
        <w:tc>
          <w:tcPr>
            <w:tcW w:w="5700" w:type="dxa"/>
            <w:vAlign w:val="bottom"/>
          </w:tcPr>
          <w:p>
            <w:pPr>
              <w:ind w:left="20"/>
              <w:spacing w:after="0"/>
              <w:rPr>
                <w:sz w:val="20"/>
                <w:szCs w:val="20"/>
                <w:color w:val="auto"/>
              </w:rPr>
            </w:pPr>
            <w:r>
              <w:rPr>
                <w:rFonts w:ascii="Arial" w:cs="Arial" w:eastAsia="Arial" w:hAnsi="Arial"/>
                <w:sz w:val="14"/>
                <w:szCs w:val="14"/>
                <w:color w:val="auto"/>
              </w:rPr>
              <w:t>Change in fair value of contingent consideration related to earnouts</w:t>
            </w:r>
          </w:p>
        </w:tc>
        <w:tc>
          <w:tcPr>
            <w:tcW w:w="5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6"/>
        </w:trPr>
        <w:tc>
          <w:tcPr>
            <w:tcW w:w="5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taxes</w:t>
            </w:r>
          </w:p>
        </w:tc>
        <w:tc>
          <w:tcPr>
            <w:tcW w:w="5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w w:val="97"/>
              </w:rPr>
              <w:t>(0.7)</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91"/>
        </w:trPr>
        <w:tc>
          <w:tcPr>
            <w:tcW w:w="5700" w:type="dxa"/>
            <w:vAlign w:val="bottom"/>
          </w:tcPr>
          <w:p>
            <w:pPr>
              <w:ind w:left="20"/>
              <w:spacing w:after="0"/>
              <w:rPr>
                <w:sz w:val="20"/>
                <w:szCs w:val="20"/>
                <w:color w:val="auto"/>
              </w:rPr>
            </w:pPr>
            <w:r>
              <w:rPr>
                <w:rFonts w:ascii="Arial" w:cs="Arial" w:eastAsia="Arial" w:hAnsi="Arial"/>
                <w:sz w:val="14"/>
                <w:szCs w:val="14"/>
                <w:color w:val="auto"/>
              </w:rPr>
              <w:t>Non-cash lease costs</w:t>
            </w: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6"/>
        </w:trPr>
        <w:tc>
          <w:tcPr>
            <w:tcW w:w="5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Changes in operating assets and liabilities, net of business combinations:</w:t>
            </w:r>
          </w:p>
        </w:tc>
        <w:tc>
          <w:tcPr>
            <w:tcW w:w="5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700" w:type="dxa"/>
            <w:vAlign w:val="bottom"/>
          </w:tcPr>
          <w:p>
            <w:pPr>
              <w:ind w:left="20"/>
              <w:spacing w:after="0"/>
              <w:rPr>
                <w:sz w:val="20"/>
                <w:szCs w:val="20"/>
                <w:color w:val="auto"/>
              </w:rPr>
            </w:pPr>
            <w:r>
              <w:rPr>
                <w:rFonts w:ascii="Arial" w:cs="Arial" w:eastAsia="Arial" w:hAnsi="Arial"/>
                <w:sz w:val="14"/>
                <w:szCs w:val="14"/>
                <w:color w:val="auto"/>
              </w:rPr>
              <w:t>Accounts receivable</w:t>
            </w: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26"/>
        </w:trPr>
        <w:tc>
          <w:tcPr>
            <w:tcW w:w="5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Prepaid expenses and other assets</w:t>
            </w:r>
          </w:p>
        </w:tc>
        <w:tc>
          <w:tcPr>
            <w:tcW w:w="5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w w:val="97"/>
              </w:rPr>
              <w:t>(1.0)</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90"/>
        </w:trPr>
        <w:tc>
          <w:tcPr>
            <w:tcW w:w="5700" w:type="dxa"/>
            <w:vAlign w:val="bottom"/>
          </w:tcPr>
          <w:p>
            <w:pPr>
              <w:ind w:left="20"/>
              <w:spacing w:after="0"/>
              <w:rPr>
                <w:sz w:val="20"/>
                <w:szCs w:val="20"/>
                <w:color w:val="auto"/>
              </w:rPr>
            </w:pPr>
            <w:r>
              <w:rPr>
                <w:rFonts w:ascii="Arial" w:cs="Arial" w:eastAsia="Arial" w:hAnsi="Arial"/>
                <w:sz w:val="14"/>
                <w:szCs w:val="14"/>
                <w:color w:val="auto"/>
              </w:rPr>
              <w:t>Accounts payable</w:t>
            </w: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6"/>
        </w:trPr>
        <w:tc>
          <w:tcPr>
            <w:tcW w:w="5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and other current liabilities</w:t>
            </w:r>
          </w:p>
        </w:tc>
        <w:tc>
          <w:tcPr>
            <w:tcW w:w="5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w w:val="97"/>
              </w:rPr>
              <w:t>(3.5)</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90"/>
        </w:trPr>
        <w:tc>
          <w:tcPr>
            <w:tcW w:w="5700" w:type="dxa"/>
            <w:vAlign w:val="bottom"/>
          </w:tcPr>
          <w:p>
            <w:pPr>
              <w:ind w:left="20"/>
              <w:spacing w:after="0"/>
              <w:rPr>
                <w:sz w:val="20"/>
                <w:szCs w:val="20"/>
                <w:color w:val="auto"/>
              </w:rPr>
            </w:pPr>
            <w:r>
              <w:rPr>
                <w:rFonts w:ascii="Arial" w:cs="Arial" w:eastAsia="Arial" w:hAnsi="Arial"/>
                <w:sz w:val="14"/>
                <w:szCs w:val="14"/>
                <w:color w:val="auto"/>
              </w:rPr>
              <w:t>Operating lease liabilities</w:t>
            </w: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ind w:left="480"/>
              <w:spacing w:after="0"/>
              <w:rPr>
                <w:sz w:val="20"/>
                <w:szCs w:val="20"/>
                <w:color w:val="auto"/>
              </w:rPr>
            </w:pPr>
            <w:r>
              <w:rPr>
                <w:rFonts w:ascii="Arial" w:cs="Arial" w:eastAsia="Arial" w:hAnsi="Arial"/>
                <w:sz w:val="14"/>
                <w:szCs w:val="14"/>
                <w:color w:val="auto"/>
                <w:w w:val="97"/>
              </w:rPr>
              <w:t>(3.5)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6"/>
        </w:trPr>
        <w:tc>
          <w:tcPr>
            <w:tcW w:w="5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5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w w:val="97"/>
              </w:rPr>
              <w:t>(2.3)</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84"/>
        </w:trPr>
        <w:tc>
          <w:tcPr>
            <w:tcW w:w="5700" w:type="dxa"/>
            <w:vAlign w:val="bottom"/>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5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25"/>
        </w:trPr>
        <w:tc>
          <w:tcPr>
            <w:tcW w:w="57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5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700" w:type="dxa"/>
            <w:vAlign w:val="bottom"/>
          </w:tcPr>
          <w:p>
            <w:pPr>
              <w:ind w:left="20"/>
              <w:spacing w:after="0"/>
              <w:rPr>
                <w:sz w:val="20"/>
                <w:szCs w:val="20"/>
                <w:color w:val="auto"/>
              </w:rPr>
            </w:pPr>
            <w:r>
              <w:rPr>
                <w:rFonts w:ascii="Arial" w:cs="Arial" w:eastAsia="Arial" w:hAnsi="Arial"/>
                <w:sz w:val="14"/>
                <w:szCs w:val="14"/>
                <w:color w:val="auto"/>
              </w:rPr>
              <w:t>Capitalized website and software development costs</w:t>
            </w: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ind w:left="480"/>
              <w:spacing w:after="0"/>
              <w:rPr>
                <w:sz w:val="20"/>
                <w:szCs w:val="20"/>
                <w:color w:val="auto"/>
              </w:rPr>
            </w:pPr>
            <w:r>
              <w:rPr>
                <w:rFonts w:ascii="Arial" w:cs="Arial" w:eastAsia="Arial" w:hAnsi="Arial"/>
                <w:sz w:val="14"/>
                <w:szCs w:val="14"/>
                <w:color w:val="auto"/>
                <w:w w:val="97"/>
              </w:rPr>
              <w:t>(8.6)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5"/>
        </w:trPr>
        <w:tc>
          <w:tcPr>
            <w:tcW w:w="5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 of property and equipment</w:t>
            </w:r>
          </w:p>
        </w:tc>
        <w:tc>
          <w:tcPr>
            <w:tcW w:w="5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w w:val="97"/>
              </w:rPr>
              <w:t>(0.9)</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90"/>
        </w:trPr>
        <w:tc>
          <w:tcPr>
            <w:tcW w:w="5700" w:type="dxa"/>
            <w:vAlign w:val="bottom"/>
          </w:tcPr>
          <w:p>
            <w:pPr>
              <w:ind w:left="20"/>
              <w:spacing w:after="0"/>
              <w:rPr>
                <w:sz w:val="20"/>
                <w:szCs w:val="20"/>
                <w:color w:val="auto"/>
              </w:rPr>
            </w:pPr>
            <w:r>
              <w:rPr>
                <w:rFonts w:ascii="Arial" w:cs="Arial" w:eastAsia="Arial" w:hAnsi="Arial"/>
                <w:sz w:val="14"/>
                <w:szCs w:val="14"/>
                <w:color w:val="auto"/>
              </w:rPr>
              <w:t>Business combinations, net of cash acquired</w:t>
            </w:r>
          </w:p>
        </w:tc>
        <w:tc>
          <w:tcPr>
            <w:tcW w:w="5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(36.7)</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57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5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w w:val="97"/>
              </w:rPr>
              <w:t>(9.5)</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68"/>
        </w:trPr>
        <w:tc>
          <w:tcPr>
            <w:tcW w:w="5700" w:type="dxa"/>
            <w:vAlign w:val="bottom"/>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5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5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Issuance of Class A common stock</w:t>
            </w:r>
          </w:p>
        </w:tc>
        <w:tc>
          <w:tcPr>
            <w:tcW w:w="5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5700" w:type="dxa"/>
            <w:vAlign w:val="bottom"/>
          </w:tcPr>
          <w:p>
            <w:pPr>
              <w:ind w:left="20"/>
              <w:spacing w:after="0"/>
              <w:rPr>
                <w:sz w:val="20"/>
                <w:szCs w:val="20"/>
                <w:color w:val="auto"/>
              </w:rPr>
            </w:pPr>
            <w:r>
              <w:rPr>
                <w:rFonts w:ascii="Arial" w:cs="Arial" w:eastAsia="Arial" w:hAnsi="Arial"/>
                <w:sz w:val="14"/>
                <w:szCs w:val="14"/>
                <w:color w:val="auto"/>
              </w:rPr>
              <w:t>Repurchase of Class A common stock</w:t>
            </w: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5"/>
        </w:trPr>
        <w:tc>
          <w:tcPr>
            <w:tcW w:w="5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Repurchase of Class F common stock</w:t>
            </w:r>
          </w:p>
        </w:tc>
        <w:tc>
          <w:tcPr>
            <w:tcW w:w="5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91"/>
        </w:trPr>
        <w:tc>
          <w:tcPr>
            <w:tcW w:w="5700" w:type="dxa"/>
            <w:vAlign w:val="bottom"/>
          </w:tcPr>
          <w:p>
            <w:pPr>
              <w:ind w:left="20"/>
              <w:spacing w:after="0"/>
              <w:rPr>
                <w:sz w:val="20"/>
                <w:szCs w:val="20"/>
                <w:color w:val="auto"/>
              </w:rPr>
            </w:pPr>
            <w:r>
              <w:rPr>
                <w:rFonts w:ascii="Arial" w:cs="Arial" w:eastAsia="Arial" w:hAnsi="Arial"/>
                <w:sz w:val="14"/>
                <w:szCs w:val="14"/>
                <w:color w:val="auto"/>
              </w:rPr>
              <w:t>Repurchase of stock options</w:t>
            </w: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ind w:left="480"/>
              <w:spacing w:after="0"/>
              <w:rPr>
                <w:sz w:val="20"/>
                <w:szCs w:val="20"/>
                <w:color w:val="auto"/>
              </w:rPr>
            </w:pPr>
            <w:r>
              <w:rPr>
                <w:rFonts w:ascii="Arial" w:cs="Arial" w:eastAsia="Arial" w:hAnsi="Arial"/>
                <w:sz w:val="14"/>
                <w:szCs w:val="14"/>
                <w:color w:val="auto"/>
                <w:w w:val="97"/>
              </w:rPr>
              <w:t>(0.4)</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5"/>
        </w:trPr>
        <w:tc>
          <w:tcPr>
            <w:tcW w:w="5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Repurchase of Series A redeemable convertible preferred stock</w:t>
            </w:r>
          </w:p>
        </w:tc>
        <w:tc>
          <w:tcPr>
            <w:tcW w:w="5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0"/>
        </w:trPr>
        <w:tc>
          <w:tcPr>
            <w:tcW w:w="5700" w:type="dxa"/>
            <w:vAlign w:val="bottom"/>
          </w:tcPr>
          <w:p>
            <w:pPr>
              <w:ind w:left="20"/>
              <w:spacing w:after="0"/>
              <w:rPr>
                <w:sz w:val="20"/>
                <w:szCs w:val="20"/>
                <w:color w:val="auto"/>
              </w:rPr>
            </w:pPr>
            <w:r>
              <w:rPr>
                <w:rFonts w:ascii="Arial" w:cs="Arial" w:eastAsia="Arial" w:hAnsi="Arial"/>
                <w:sz w:val="14"/>
                <w:szCs w:val="14"/>
                <w:color w:val="auto"/>
              </w:rPr>
              <w:t>Tax payments related to net-share settlements on restricted stock units</w:t>
            </w:r>
          </w:p>
        </w:tc>
        <w:tc>
          <w:tcPr>
            <w:tcW w:w="5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ind w:left="480"/>
              <w:spacing w:after="0"/>
              <w:rPr>
                <w:sz w:val="20"/>
                <w:szCs w:val="20"/>
                <w:color w:val="auto"/>
              </w:rPr>
            </w:pPr>
            <w:r>
              <w:rPr>
                <w:rFonts w:ascii="Arial" w:cs="Arial" w:eastAsia="Arial" w:hAnsi="Arial"/>
                <w:sz w:val="14"/>
                <w:szCs w:val="14"/>
                <w:color w:val="auto"/>
                <w:w w:val="97"/>
              </w:rPr>
              <w:t>(0.1)</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5"/>
        </w:trPr>
        <w:tc>
          <w:tcPr>
            <w:tcW w:w="5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90"/>
        </w:trPr>
        <w:tc>
          <w:tcPr>
            <w:tcW w:w="5700" w:type="dxa"/>
            <w:vAlign w:val="bottom"/>
          </w:tcPr>
          <w:p>
            <w:pPr>
              <w:ind w:left="20"/>
              <w:spacing w:after="0"/>
              <w:rPr>
                <w:sz w:val="20"/>
                <w:szCs w:val="20"/>
                <w:color w:val="auto"/>
              </w:rPr>
            </w:pPr>
            <w:r>
              <w:rPr>
                <w:rFonts w:ascii="Arial" w:cs="Arial" w:eastAsia="Arial" w:hAnsi="Arial"/>
                <w:sz w:val="14"/>
                <w:szCs w:val="14"/>
                <w:color w:val="auto"/>
              </w:rPr>
              <w:t>Proceeds from early exercise of stock options</w:t>
            </w:r>
          </w:p>
        </w:tc>
        <w:tc>
          <w:tcPr>
            <w:tcW w:w="5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5"/>
        </w:trPr>
        <w:tc>
          <w:tcPr>
            <w:tcW w:w="5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line of credit</w:t>
            </w:r>
          </w:p>
        </w:tc>
        <w:tc>
          <w:tcPr>
            <w:tcW w:w="5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5700" w:type="dxa"/>
            <w:vAlign w:val="bottom"/>
          </w:tcPr>
          <w:p>
            <w:pPr>
              <w:ind w:left="20"/>
              <w:spacing w:after="0"/>
              <w:rPr>
                <w:sz w:val="20"/>
                <w:szCs w:val="20"/>
                <w:color w:val="auto"/>
              </w:rPr>
            </w:pPr>
            <w:r>
              <w:rPr>
                <w:rFonts w:ascii="Arial" w:cs="Arial" w:eastAsia="Arial" w:hAnsi="Arial"/>
                <w:sz w:val="14"/>
                <w:szCs w:val="14"/>
                <w:color w:val="auto"/>
              </w:rPr>
              <w:t>Payments on line of credit</w:t>
            </w:r>
          </w:p>
        </w:tc>
        <w:tc>
          <w:tcPr>
            <w:tcW w:w="5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5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Payment of deferred offering costs related to initial public offering</w:t>
            </w:r>
          </w:p>
        </w:tc>
        <w:tc>
          <w:tcPr>
            <w:tcW w:w="5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4"/>
        </w:trPr>
        <w:tc>
          <w:tcPr>
            <w:tcW w:w="5700" w:type="dxa"/>
            <w:vAlign w:val="bottom"/>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5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55.7</w:t>
            </w:r>
          </w:p>
        </w:tc>
        <w:tc>
          <w:tcPr>
            <w:tcW w:w="10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5"/>
        </w:trPr>
        <w:tc>
          <w:tcPr>
            <w:tcW w:w="57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5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4"/>
        </w:trPr>
        <w:tc>
          <w:tcPr>
            <w:tcW w:w="5700" w:type="dxa"/>
            <w:vAlign w:val="bottom"/>
          </w:tcPr>
          <w:p>
            <w:pPr>
              <w:ind w:left="20"/>
              <w:spacing w:after="0"/>
              <w:rPr>
                <w:sz w:val="20"/>
                <w:szCs w:val="20"/>
                <w:color w:val="auto"/>
              </w:rPr>
            </w:pPr>
            <w:r>
              <w:rPr>
                <w:rFonts w:ascii="Arial" w:cs="Arial" w:eastAsia="Arial" w:hAnsi="Arial"/>
                <w:sz w:val="13"/>
                <w:szCs w:val="13"/>
                <w:b w:val="1"/>
                <w:bCs w:val="1"/>
                <w:color w:val="auto"/>
              </w:rPr>
              <w:t>NET INCREASE (DECREASE) IN CASH AND CASH EQUIVALENTS</w:t>
            </w:r>
          </w:p>
        </w:tc>
        <w:tc>
          <w:tcPr>
            <w:tcW w:w="5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25"/>
        </w:trPr>
        <w:tc>
          <w:tcPr>
            <w:tcW w:w="5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AND CASH EQUIVALENTS:</w:t>
            </w:r>
          </w:p>
        </w:tc>
        <w:tc>
          <w:tcPr>
            <w:tcW w:w="5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700" w:type="dxa"/>
            <w:vAlign w:val="bottom"/>
          </w:tcPr>
          <w:p>
            <w:pPr>
              <w:ind w:left="20"/>
              <w:spacing w:after="0"/>
              <w:rPr>
                <w:sz w:val="20"/>
                <w:szCs w:val="20"/>
                <w:color w:val="auto"/>
              </w:rPr>
            </w:pPr>
            <w:r>
              <w:rPr>
                <w:rFonts w:ascii="Arial" w:cs="Arial" w:eastAsia="Arial" w:hAnsi="Arial"/>
                <w:sz w:val="14"/>
                <w:szCs w:val="14"/>
                <w:color w:val="auto"/>
              </w:rPr>
              <w:t>Beginning of period</w:t>
            </w: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67.6</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83.4</w:t>
            </w:r>
          </w:p>
        </w:tc>
        <w:tc>
          <w:tcPr>
            <w:tcW w:w="0" w:type="dxa"/>
            <w:vAlign w:val="bottom"/>
          </w:tcPr>
          <w:p>
            <w:pPr>
              <w:spacing w:after="0"/>
              <w:rPr>
                <w:sz w:val="1"/>
                <w:szCs w:val="1"/>
                <w:color w:val="auto"/>
              </w:rPr>
            </w:pPr>
          </w:p>
        </w:tc>
      </w:tr>
      <w:tr>
        <w:trPr>
          <w:trHeight w:val="25"/>
        </w:trPr>
        <w:tc>
          <w:tcPr>
            <w:tcW w:w="57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 of period</w:t>
            </w:r>
          </w:p>
        </w:tc>
        <w:tc>
          <w:tcPr>
            <w:tcW w:w="5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67.6</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83.4</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71.3</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SUPPLEMENTAL NON-CASH FINANCING ACTIVITIES DISCLOSURE:</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70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5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offering costs related to initial public offering not yet paid</w:t>
            </w:r>
          </w:p>
        </w:tc>
        <w:tc>
          <w:tcPr>
            <w:tcW w:w="50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3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88"/>
        </w:trPr>
        <w:tc>
          <w:tcPr>
            <w:tcW w:w="5700" w:type="dxa"/>
            <w:vAlign w:val="bottom"/>
          </w:tcPr>
          <w:p>
            <w:pPr>
              <w:ind w:left="20"/>
              <w:spacing w:after="0"/>
              <w:rPr>
                <w:sz w:val="20"/>
                <w:szCs w:val="20"/>
                <w:color w:val="auto"/>
              </w:rPr>
            </w:pPr>
            <w:r>
              <w:rPr>
                <w:rFonts w:ascii="Arial" w:cs="Arial" w:eastAsia="Arial" w:hAnsi="Arial"/>
                <w:sz w:val="13"/>
                <w:szCs w:val="13"/>
                <w:color w:val="auto"/>
              </w:rPr>
              <w:t>SUPPLEMENTAL CASH FLOW DISCLOSURE:</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5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payments</w:t>
            </w:r>
          </w:p>
        </w:tc>
        <w:tc>
          <w:tcPr>
            <w:tcW w:w="50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8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91"/>
        </w:trPr>
        <w:tc>
          <w:tcPr>
            <w:tcW w:w="5700" w:type="dxa"/>
            <w:vAlign w:val="bottom"/>
          </w:tcPr>
          <w:p>
            <w:pPr>
              <w:ind w:left="20"/>
              <w:spacing w:after="0"/>
              <w:rPr>
                <w:sz w:val="20"/>
                <w:szCs w:val="20"/>
                <w:color w:val="auto"/>
              </w:rPr>
            </w:pPr>
            <w:r>
              <w:rPr>
                <w:rFonts w:ascii="Arial" w:cs="Arial" w:eastAsia="Arial" w:hAnsi="Arial"/>
                <w:sz w:val="14"/>
                <w:szCs w:val="14"/>
                <w:color w:val="auto"/>
              </w:rPr>
              <w:t>Income tax refunds</w:t>
            </w: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388"/>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6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5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paid for interest</w:t>
            </w:r>
          </w:p>
        </w:tc>
        <w:tc>
          <w:tcPr>
            <w:tcW w:w="50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8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9"/>
        </w:trPr>
        <w:tc>
          <w:tcPr>
            <w:tcW w:w="5700" w:type="dxa"/>
            <w:vAlign w:val="bottom"/>
          </w:tcPr>
          <w:p>
            <w:pPr>
              <w:ind w:left="20"/>
              <w:spacing w:after="0"/>
              <w:rPr>
                <w:sz w:val="20"/>
                <w:szCs w:val="20"/>
                <w:color w:val="auto"/>
              </w:rPr>
            </w:pPr>
            <w:r>
              <w:rPr>
                <w:rFonts w:ascii="Arial" w:cs="Arial" w:eastAsia="Arial" w:hAnsi="Arial"/>
                <w:sz w:val="13"/>
                <w:szCs w:val="13"/>
                <w:color w:val="auto"/>
              </w:rPr>
              <w:t>SUPPLEMENTAL CASH FLOW DISCLOSURE RELATED TO OPERATING LEASES:</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5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50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8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91"/>
        </w:trPr>
        <w:tc>
          <w:tcPr>
            <w:tcW w:w="5700" w:type="dxa"/>
            <w:vAlign w:val="bottom"/>
          </w:tcPr>
          <w:p>
            <w:pPr>
              <w:ind w:left="20"/>
              <w:spacing w:after="0"/>
              <w:rPr>
                <w:sz w:val="20"/>
                <w:szCs w:val="20"/>
                <w:color w:val="auto"/>
              </w:rPr>
            </w:pPr>
            <w:r>
              <w:rPr>
                <w:rFonts w:ascii="Arial" w:cs="Arial" w:eastAsia="Arial" w:hAnsi="Arial"/>
                <w:sz w:val="14"/>
                <w:szCs w:val="14"/>
                <w:color w:val="auto"/>
              </w:rPr>
              <w:t>Lease liabilities arising from obtaining right-of-use assets</w:t>
            </w: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6"/>
                <w:szCs w:val="16"/>
                <w:color w:val="auto"/>
              </w:rPr>
            </w:pP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388"/>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6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F-7</w:t>
      </w:r>
    </w:p>
    <w:p>
      <w:pPr>
        <w:sectPr>
          <w:pgSz w:w="11900" w:h="16838" w:orient="portrait"/>
          <w:cols w:equalWidth="0" w:num="1">
            <w:col w:w="11240"/>
          </w:cols>
          <w:pgMar w:left="320" w:top="337" w:right="339" w:bottom="1440" w:gutter="0" w:footer="0" w:header="0"/>
          <w:type w:val="continuous"/>
        </w:sectPr>
      </w:pPr>
    </w:p>
    <w:bookmarkStart w:id="157" w:name="page158"/>
    <w:bookmarkEnd w:id="157"/>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hanging="652"/>
        <w:spacing w:after="0"/>
        <w:tabs>
          <w:tab w:leader="none" w:pos="6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 AND ITS SIGNIFICANT ACCOUNTING POLICIES</w:t>
      </w:r>
    </w:p>
    <w:p>
      <w:pPr>
        <w:spacing w:after="0" w:line="17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Organization—</w:t>
      </w:r>
      <w:r>
        <w:rPr>
          <w:rFonts w:ascii="Arial" w:cs="Arial" w:eastAsia="Arial" w:hAnsi="Arial"/>
          <w:sz w:val="18"/>
          <w:szCs w:val="18"/>
          <w:color w:val="auto"/>
        </w:rPr>
        <w:t>NerdWallet, Inc. (the “Company”), a Delaware corporation, and its subsidiaries is a privately held company formed on December 29,</w:t>
      </w:r>
      <w:r>
        <w:rPr>
          <w:rFonts w:ascii="Arial" w:cs="Arial" w:eastAsia="Arial" w:hAnsi="Arial"/>
          <w:sz w:val="18"/>
          <w:szCs w:val="18"/>
          <w:b w:val="1"/>
          <w:bCs w:val="1"/>
          <w:color w:val="auto"/>
        </w:rPr>
        <w:t xml:space="preserve"> </w:t>
      </w:r>
      <w:r>
        <w:rPr>
          <w:rFonts w:ascii="Arial" w:cs="Arial" w:eastAsia="Arial" w:hAnsi="Arial"/>
          <w:sz w:val="18"/>
          <w:szCs w:val="18"/>
          <w:color w:val="auto"/>
        </w:rPr>
        <w:t>2011, and headquartered in San Francisco, California. The Company provides consumer-driven advice about personal finance through its platform by connecting individuals and small and mid-sized businesses (“SMBs”) with providers of financial products.</w:t>
      </w:r>
    </w:p>
    <w:p>
      <w:pPr>
        <w:spacing w:after="0" w:line="12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b w:val="1"/>
          <w:bCs w:val="1"/>
          <w:color w:val="auto"/>
        </w:rPr>
        <w:t>Basis of Consolidation and Presentation—</w:t>
      </w:r>
      <w:r>
        <w:rPr>
          <w:rFonts w:ascii="Arial" w:cs="Arial" w:eastAsia="Arial" w:hAnsi="Arial"/>
          <w:sz w:val="17"/>
          <w:szCs w:val="17"/>
          <w:color w:val="auto"/>
        </w:rPr>
        <w:t>The accompanying consolidated financial statements have been prepared in accordance with accounting</w:t>
      </w:r>
      <w:r>
        <w:rPr>
          <w:rFonts w:ascii="Arial" w:cs="Arial" w:eastAsia="Arial" w:hAnsi="Arial"/>
          <w:sz w:val="17"/>
          <w:szCs w:val="17"/>
          <w:b w:val="1"/>
          <w:bCs w:val="1"/>
          <w:color w:val="auto"/>
        </w:rPr>
        <w:t xml:space="preserve"> </w:t>
      </w:r>
      <w:r>
        <w:rPr>
          <w:rFonts w:ascii="Arial" w:cs="Arial" w:eastAsia="Arial" w:hAnsi="Arial"/>
          <w:sz w:val="17"/>
          <w:szCs w:val="17"/>
          <w:color w:val="auto"/>
        </w:rPr>
        <w:t>principles generally accepted in the United States of America (“GAAP”). The consolidated financial statements include the accounts of the Company and its wholly-owned subsidiaries. All intercompany transactions and balances have been eliminated in consolidation.</w:t>
      </w:r>
    </w:p>
    <w:p>
      <w:pPr>
        <w:spacing w:after="0" w:line="10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b w:val="1"/>
          <w:bCs w:val="1"/>
          <w:color w:val="auto"/>
        </w:rPr>
        <w:t>Unaudited Interim Consolidated Financial Information—</w:t>
      </w:r>
      <w:r>
        <w:rPr>
          <w:rFonts w:ascii="Arial" w:cs="Arial" w:eastAsia="Arial" w:hAnsi="Arial"/>
          <w:sz w:val="17"/>
          <w:szCs w:val="17"/>
          <w:color w:val="auto"/>
        </w:rPr>
        <w:t>The accompanying interim consolidated balance sheet as of June 30, 2021 and</w:t>
      </w:r>
      <w:r>
        <w:rPr>
          <w:rFonts w:ascii="Arial" w:cs="Arial" w:eastAsia="Arial" w:hAnsi="Arial"/>
          <w:sz w:val="17"/>
          <w:szCs w:val="17"/>
          <w:b w:val="1"/>
          <w:bCs w:val="1"/>
          <w:color w:val="auto"/>
        </w:rPr>
        <w:t xml:space="preserve"> </w:t>
      </w:r>
      <w:r>
        <w:rPr>
          <w:rFonts w:ascii="Arial" w:cs="Arial" w:eastAsia="Arial" w:hAnsi="Arial"/>
          <w:sz w:val="17"/>
          <w:szCs w:val="17"/>
          <w:color w:val="auto"/>
        </w:rPr>
        <w:t>consolidated statements of operations and comprehensive income (loss), redeemable convertible preferred stock and stockholders’ equity (deficit), and cash flows for the six months ended June 30, 2020 and 2021, and the related notes to such interim consolidated financial statements are unaudited. These unaudited interim consolidated financial statements are presented in accordance with the rules and regulations of the U.S. Securities and Exchange Commission and do not include all disclosures normally required in annual consolidated financial statements prepared in accordance with GAAP. In management’s opinion, the unaudited interim consolidated financial statements have been prepared on the same basis as the annual financial statements and reflect all adjustments necessary to state fairly the Company’s financial position as of June 30, 2021 and the Company’s results of operations and cash flows for the six months ended June 30, 2020 and 2021. The results for the six months ended June 30, 2021 are not necessarily indicative of the results expected for the full year ending December 31, 2021 or any future period.</w:t>
      </w:r>
    </w:p>
    <w:p>
      <w:pPr>
        <w:spacing w:after="0" w:line="120"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b w:val="1"/>
          <w:bCs w:val="1"/>
          <w:color w:val="auto"/>
        </w:rPr>
        <w:t>Segments—</w:t>
      </w:r>
      <w:r>
        <w:rPr>
          <w:rFonts w:ascii="Arial" w:cs="Arial" w:eastAsia="Arial" w:hAnsi="Arial"/>
          <w:sz w:val="16"/>
          <w:szCs w:val="16"/>
          <w:color w:val="auto"/>
        </w:rPr>
        <w:t>Operating segments are defined as components of an enterprise for which discrete financial information is available that is reviewed</w:t>
      </w:r>
      <w:r>
        <w:rPr>
          <w:rFonts w:ascii="Arial" w:cs="Arial" w:eastAsia="Arial" w:hAnsi="Arial"/>
          <w:sz w:val="16"/>
          <w:szCs w:val="16"/>
          <w:b w:val="1"/>
          <w:bCs w:val="1"/>
          <w:color w:val="auto"/>
        </w:rPr>
        <w:t xml:space="preserve"> </w:t>
      </w:r>
      <w:r>
        <w:rPr>
          <w:rFonts w:ascii="Arial" w:cs="Arial" w:eastAsia="Arial" w:hAnsi="Arial"/>
          <w:sz w:val="16"/>
          <w:szCs w:val="16"/>
          <w:color w:val="auto"/>
        </w:rPr>
        <w:t>regularly by the Chief Operating Decision Maker (“CODM”) in deciding how to allocate resources and in assessing performance. The Company’s CODM is its Chief Executive Officer, who reviews financial information presented on a consolidated basis for purposes of allocating resources and evaluating financial performance. As a result, the Company has concluded that it has one operating segment. During the years ended December 31, 2020 and 2019 and the six months ended June 30, 2021 (unaudited), significantly all of the Company’s revenue was from customers located in the United States.</w:t>
      </w:r>
    </w:p>
    <w:p>
      <w:pPr>
        <w:spacing w:after="0" w:line="100"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b w:val="1"/>
          <w:bCs w:val="1"/>
          <w:color w:val="auto"/>
        </w:rPr>
        <w:t>Use of Estimates—</w:t>
      </w:r>
      <w:r>
        <w:rPr>
          <w:rFonts w:ascii="Arial" w:cs="Arial" w:eastAsia="Arial" w:hAnsi="Arial"/>
          <w:sz w:val="16"/>
          <w:szCs w:val="16"/>
          <w:color w:val="auto"/>
        </w:rPr>
        <w:t>The preparation of consolidated financial statements in conformity with GAAP requires management to make estimates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assumptions that affect the amounts reported in the consolidated financial statements and accompanying notes. Significant estimates and assumptions made by management include determination of stock-based compensation, valuation of embedded derivative, capitalization of software development costs, valuation of contingent consideration, valuation of goodwill and intangible assets, determination of associated useful lives of intangible assets and valuation of deferred tax assets. Management bases its estimates on historical experience and also on assumptions that it believes are reasonable.</w:t>
      </w:r>
    </w:p>
    <w:p>
      <w:pPr>
        <w:spacing w:after="0" w:line="10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March 2020, the World Health Organization declared the outbreak of the novel coronavirus disease (“COVID–19”) a pandemic. As a result, the Company experienced lower growth in 2020 as compared to 2019, particularly in the second half of the year. While the Company may continue to experience an adverse impact on certain parts of its business, the Company’s results of operations, cash flows, and financial condition have not been significantly adversely impacted to date. The global impact of COVID-19 continues to rapidly evolve, and the Company will continue to monitor the situation and the effects on its business and operations closely. The Company does not yet know the full extent of potential impacts on its business or operations or on the global economy as a whole, particularly if the COVID-19 pandemic continues and persists for an extended period of time. As of the date of issuance of the consolidated financial statements, the Company is not aware of any specific event or circumstance that would require it to update its estimates, judgments or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F-8</w:t>
      </w:r>
    </w:p>
    <w:p>
      <w:pPr>
        <w:sectPr>
          <w:pgSz w:w="11900" w:h="16838" w:orient="portrait"/>
          <w:cols w:equalWidth="0" w:num="1">
            <w:col w:w="11240"/>
          </w:cols>
          <w:pgMar w:left="320" w:top="175" w:right="339" w:bottom="1440" w:gutter="0" w:footer="0" w:header="0"/>
        </w:sectPr>
      </w:pPr>
    </w:p>
    <w:bookmarkStart w:id="158" w:name="page159"/>
    <w:bookmarkEnd w:id="158"/>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Concentrations of Credit Risk—</w:t>
      </w:r>
      <w:r>
        <w:rPr>
          <w:rFonts w:ascii="Arial" w:cs="Arial" w:eastAsia="Arial" w:hAnsi="Arial"/>
          <w:sz w:val="17"/>
          <w:szCs w:val="17"/>
          <w:color w:val="auto"/>
        </w:rPr>
        <w:t>Financial instruments that potentially subject the Company to concentrations of credit risk consist primarily of cash</w:t>
      </w:r>
      <w:r>
        <w:rPr>
          <w:rFonts w:ascii="Arial" w:cs="Arial" w:eastAsia="Arial" w:hAnsi="Arial"/>
          <w:sz w:val="17"/>
          <w:szCs w:val="17"/>
          <w:b w:val="1"/>
          <w:bCs w:val="1"/>
          <w:color w:val="auto"/>
        </w:rPr>
        <w:t xml:space="preserve"> </w:t>
      </w:r>
      <w:r>
        <w:rPr>
          <w:rFonts w:ascii="Arial" w:cs="Arial" w:eastAsia="Arial" w:hAnsi="Arial"/>
          <w:sz w:val="17"/>
          <w:szCs w:val="17"/>
          <w:color w:val="auto"/>
        </w:rPr>
        <w:t>and cash equivalents and accounts receivable. The Company deposits cash with high credit quality financial institutions. All noninterest-bearing accounts are fully insured regardless of the balance of the account. This coverage is available at all FDIC member institutions. The Company uses Silicon Valley Bank, which is an FDIC insured institution. Based on these facts, collectability of bank balances appears to be adequately assured.</w:t>
      </w:r>
    </w:p>
    <w:p>
      <w:pPr>
        <w:spacing w:after="0" w:line="11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generally does not require collateral or other security in support of accounts receivable. Allowances will be provided for individual accounts receivable when the Company becomes aware of a customer’s inability to meet its financial obligations, such as in the case of bankruptcy, deterioration in the customer’s operating results, or change in financial position. If circumstances related to customers change, estimates of the recoverability of receivables would be further adjusted. The Company also considers broader factors in evaluating the sufficiency or necessity of an allowance for doubtful accounts, including the length of time receivables are past due, significant onetime events, and historical experience.</w:t>
      </w:r>
    </w:p>
    <w:p>
      <w:pPr>
        <w:spacing w:after="0" w:line="12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As of December 31, 2019, the Company had two customers which accounted for 13% and 12% of total accounts receivable, and three customers which accounted for 18%, 11%, and 10% of revenue during the year ended December 31, 2019. As of December 31, 2020, the Company had one customer which accounted for 12% of total accounts receivable, and no customers accounted for more than 10% of revenue during the year ended December 31, 2020. As of June 30, 2020 (unaudited), the Company had four customers which accounted for 13%, 12%, 10%, and 10% of total accounts receivable, and one customer which accounted for 11% of revenue during the six months ended June 30, 2020 (unaudited). As of June 30, 2021 (unaudited), the Company had two customers which each accounted for 14% and 11% of total accounts receivable, and one customer which accounted for 10% of revenue during the six months ended June 30, 2021 (unaudited). Under Financial Accounting Standards Board (“FASB”) Accounting Standards Codification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the Company’s customers are considered to be banks, credit card issuers, lenders, investment brokers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entities for which the Company posts links on its website for agreed-upon commissionable programs.</w:t>
      </w:r>
    </w:p>
    <w:p>
      <w:pPr>
        <w:spacing w:after="0" w:line="10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color w:val="auto"/>
        </w:rPr>
        <w:t xml:space="preserve">Foreign Currency Transactions </w:t>
      </w:r>
      <w:r>
        <w:rPr>
          <w:rFonts w:ascii="Arial" w:cs="Arial" w:eastAsia="Arial" w:hAnsi="Arial"/>
          <w:sz w:val="17"/>
          <w:szCs w:val="17"/>
          <w:color w:val="auto"/>
        </w:rPr>
        <w:t>- The functional currency of the Company’s foreign subsidiaries is the respective local currency. All assets and</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accounts of the Company’s foreign subsidiaries are translated into U.S. dollars using the exchange rate on the balance sheet date. Equity transactions are translated using historical exchange rates. Revenues and expenses are translated at average rates prevailing throughout the period. Translation adjustments are included as a separate component on the consolidated statements of operations and comprehensive income (loss), and in the “Effect of exchange rate changes on cash and cash equivalents,” on the consolidated statements of cash flows. Transaction gains and losses including intercompany transactions denominated in a currency other than the functional currency of the entity involved are included in “Other gains (losses), net” on our consolidated statements of operations and comprehensive income (loss) and were immaterial for all periods presented.</w:t>
      </w:r>
    </w:p>
    <w:p>
      <w:pPr>
        <w:spacing w:after="0" w:line="118"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color w:val="auto"/>
        </w:rPr>
        <w:t>Cash and cash equivalents include on demand deposits and money market funds with banks that have remaining</w:t>
      </w:r>
      <w:r>
        <w:rPr>
          <w:rFonts w:ascii="Arial" w:cs="Arial" w:eastAsia="Arial" w:hAnsi="Arial"/>
          <w:sz w:val="18"/>
          <w:szCs w:val="18"/>
          <w:b w:val="1"/>
          <w:bCs w:val="1"/>
          <w:color w:val="auto"/>
        </w:rPr>
        <w:t xml:space="preserve"> </w:t>
      </w:r>
      <w:r>
        <w:rPr>
          <w:rFonts w:ascii="Arial" w:cs="Arial" w:eastAsia="Arial" w:hAnsi="Arial"/>
          <w:sz w:val="18"/>
          <w:szCs w:val="18"/>
          <w:color w:val="auto"/>
        </w:rPr>
        <w:t>maturities at the date of purchase of less than 90 days.</w:t>
      </w:r>
    </w:p>
    <w:p>
      <w:pPr>
        <w:spacing w:after="0" w:line="10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b w:val="1"/>
          <w:bCs w:val="1"/>
          <w:color w:val="auto"/>
        </w:rPr>
        <w:t>Fair Value Measurements—</w:t>
      </w:r>
      <w:r>
        <w:rPr>
          <w:rFonts w:ascii="Arial" w:cs="Arial" w:eastAsia="Arial" w:hAnsi="Arial"/>
          <w:sz w:val="17"/>
          <w:szCs w:val="17"/>
          <w:color w:val="auto"/>
        </w:rPr>
        <w:t>The Company determines fair value based upon the exit price that would be received to sell an asset or paid to transfer a</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liability in an orderly transaction between market participants, as determined by either the principal market or the most advantageous market. Inputs used in the valuation techniques to derive fair values are classified based on a three-level hierarchy. These levels are:</w:t>
      </w:r>
    </w:p>
    <w:p>
      <w:pPr>
        <w:spacing w:after="0" w:line="1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Level 1</w:t>
      </w:r>
      <w:r>
        <w:rPr>
          <w:rFonts w:ascii="Arial" w:cs="Arial" w:eastAsia="Arial" w:hAnsi="Arial"/>
          <w:sz w:val="18"/>
          <w:szCs w:val="18"/>
          <w:color w:val="auto"/>
        </w:rPr>
        <w:t>—Quoted prices (unadjusted) in active markets that are accessible at the measurement date for identical assets or liabilities. The 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hierarchy gives the highest priority to Level 1 inputs.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Level 2</w:t>
      </w:r>
      <w:r>
        <w:rPr>
          <w:rFonts w:ascii="Arial" w:cs="Arial" w:eastAsia="Arial" w:hAnsi="Arial"/>
          <w:sz w:val="18"/>
          <w:szCs w:val="18"/>
          <w:color w:val="auto"/>
        </w:rPr>
        <w:t>—Observable inputs other than quoted prices included within Level 1, including quoted prices for similar assets or liabilities in active markets;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quoted prices for identical or similar assets or liabilities in markets that are not active; and inputs other than quoted prices that are observable or are derived principally from, or corroborated by, observable market data by correlation or other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F-9</w:t>
      </w:r>
    </w:p>
    <w:p>
      <w:pPr>
        <w:sectPr>
          <w:pgSz w:w="11900" w:h="16838" w:orient="portrait"/>
          <w:cols w:equalWidth="0" w:num="1">
            <w:col w:w="11240"/>
          </w:cols>
          <w:pgMar w:left="320" w:top="162" w:right="339" w:bottom="1440" w:gutter="0" w:footer="0" w:header="0"/>
        </w:sectPr>
      </w:pPr>
    </w:p>
    <w:bookmarkStart w:id="159" w:name="page160"/>
    <w:bookmarkEnd w:id="159"/>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Level 3</w:t>
      </w:r>
      <w:r>
        <w:rPr>
          <w:rFonts w:ascii="Arial" w:cs="Arial" w:eastAsia="Arial" w:hAnsi="Arial"/>
          <w:sz w:val="16"/>
          <w:szCs w:val="16"/>
          <w:color w:val="auto"/>
        </w:rPr>
        <w:t>—Unobservable inputs are used when little or no market data is available. The fair value hierarchy gives the lowest priority to Level 3 inputs.</w:t>
      </w:r>
    </w:p>
    <w:p>
      <w:pPr>
        <w:spacing w:after="0" w:line="19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Trade Accounts Receivable</w:t>
      </w:r>
      <w:r>
        <w:rPr>
          <w:rFonts w:ascii="Arial" w:cs="Arial" w:eastAsia="Arial" w:hAnsi="Arial"/>
          <w:sz w:val="18"/>
          <w:szCs w:val="18"/>
          <w:color w:val="auto"/>
        </w:rPr>
        <w:t>—Trade accounts receivable are recorded at the invoiced amount or amounts due from customers via affiliate</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relationships at the end of each month. Invoiced amounts do not bear interest. The Company determines the allowance for doubtful accounts by considering a number of factors, including the length of time accounts receivable are past due, previous loss history and the specific customer’s current ability to pay its obligation. Accounts receivable is past due when they are outstanding longer than the contractual payment terms. The allowance for doubtful accounts was not material as of December 31, 2019 and 2020 and June 30, 2021 (unaudited). The Company does not have any off-balance-sheet credit exposure related to its customers.</w:t>
      </w:r>
    </w:p>
    <w:p>
      <w:pPr>
        <w:spacing w:after="0" w:line="133"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b w:val="1"/>
          <w:bCs w:val="1"/>
          <w:color w:val="auto"/>
        </w:rPr>
        <w:t>Property, Equipment, and Software, Net</w:t>
      </w:r>
      <w:r>
        <w:rPr>
          <w:rFonts w:ascii="Arial" w:cs="Arial" w:eastAsia="Arial" w:hAnsi="Arial"/>
          <w:sz w:val="16"/>
          <w:szCs w:val="16"/>
          <w:color w:val="auto"/>
        </w:rPr>
        <w:t>—Property, equipment, and software are stated at cost, less accumulated depreciation and amortization.</w:t>
      </w:r>
      <w:r>
        <w:rPr>
          <w:rFonts w:ascii="Arial" w:cs="Arial" w:eastAsia="Arial" w:hAnsi="Arial"/>
          <w:sz w:val="16"/>
          <w:szCs w:val="16"/>
          <w:b w:val="1"/>
          <w:bCs w:val="1"/>
          <w:color w:val="auto"/>
        </w:rPr>
        <w:t xml:space="preserve"> </w:t>
      </w:r>
      <w:r>
        <w:rPr>
          <w:rFonts w:ascii="Arial" w:cs="Arial" w:eastAsia="Arial" w:hAnsi="Arial"/>
          <w:sz w:val="16"/>
          <w:szCs w:val="16"/>
          <w:color w:val="auto"/>
        </w:rPr>
        <w:t>Depreciation is computed using the straight-line method over the estimated useful lives of the respective assets, which are generally three years for computers and equipment, three years for software, and five years for furniture and fixtures. Leasehold improvements are amortized using the straight-line method over the shorter of the estimated useful lives of the assets or the term of the related lease. Expenditures for repairs and maintenance are charged to expense as incurred. Upon disposition or retirement, the cost and related accumulated depreciation are removed from the accounts and the resulting gain or loss, if any, is reflected as operating expenses in the consolidated statements of operations and comprehensive income (loss).</w:t>
      </w:r>
    </w:p>
    <w:p>
      <w:pPr>
        <w:spacing w:after="0" w:line="106"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b w:val="1"/>
          <w:bCs w:val="1"/>
          <w:color w:val="auto"/>
        </w:rPr>
        <w:t>Deferred Offering Costs</w:t>
      </w:r>
      <w:r>
        <w:rPr>
          <w:rFonts w:ascii="Arial" w:cs="Arial" w:eastAsia="Arial" w:hAnsi="Arial"/>
          <w:sz w:val="16"/>
          <w:szCs w:val="16"/>
          <w:color w:val="auto"/>
        </w:rPr>
        <w:t>—The Company capitalizes certain legal, professional accounting and other third-party fees that are directly associated with</w:t>
      </w:r>
      <w:r>
        <w:rPr>
          <w:rFonts w:ascii="Arial" w:cs="Arial" w:eastAsia="Arial" w:hAnsi="Arial"/>
          <w:sz w:val="16"/>
          <w:szCs w:val="16"/>
          <w:b w:val="1"/>
          <w:bCs w:val="1"/>
          <w:color w:val="auto"/>
        </w:rPr>
        <w:t xml:space="preserve"> </w:t>
      </w:r>
      <w:r>
        <w:rPr>
          <w:rFonts w:ascii="Arial" w:cs="Arial" w:eastAsia="Arial" w:hAnsi="Arial"/>
          <w:sz w:val="16"/>
          <w:szCs w:val="16"/>
          <w:color w:val="auto"/>
        </w:rPr>
        <w:t>in-process equity financings as deferred offering costs until such financing is consummated. After consummation of the financing, these costs are recorded in stockholders’ equity as a reduction of the proceeds received as a result of the offering. Should a planned equity financing be abandoned, the deferred offering costs will be expensed immediately as a charge to operating expenses in the statements of operations. The Company recorded deferred offering costs of $2.8 million as of June 30, 2021 (unaudited), which is a noncurrent asset included in other assets in the consolidated balance sheet. There were no deferred offering costs capitalized as of December 31, 2019, and immaterial deferred offering costs capitalized as of December 31, 2020.</w:t>
      </w:r>
    </w:p>
    <w:p>
      <w:pPr>
        <w:spacing w:after="0" w:line="10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Capitalized Software Development Costs</w:t>
      </w:r>
      <w:r>
        <w:rPr>
          <w:rFonts w:ascii="Arial" w:cs="Arial" w:eastAsia="Arial" w:hAnsi="Arial"/>
          <w:sz w:val="18"/>
          <w:szCs w:val="18"/>
          <w:color w:val="auto"/>
        </w:rPr>
        <w:t>—The costs incurred in the preliminary stages of website and software development are expensed as</w:t>
      </w:r>
      <w:r>
        <w:rPr>
          <w:rFonts w:ascii="Arial" w:cs="Arial" w:eastAsia="Arial" w:hAnsi="Arial"/>
          <w:sz w:val="18"/>
          <w:szCs w:val="18"/>
          <w:b w:val="1"/>
          <w:bCs w:val="1"/>
          <w:color w:val="auto"/>
        </w:rPr>
        <w:t xml:space="preserve"> </w:t>
      </w:r>
      <w:r>
        <w:rPr>
          <w:rFonts w:ascii="Arial" w:cs="Arial" w:eastAsia="Arial" w:hAnsi="Arial"/>
          <w:sz w:val="18"/>
          <w:szCs w:val="18"/>
          <w:color w:val="auto"/>
        </w:rPr>
        <w:t>incurred. Once an application has reached the development stage, internal and external costs, if direct and incremental and deemed by management to be significant, are capitalized in property and equipment and amortized on a straight-line basis over their estimated useful lives. Maintenance, training and enhancement costs, including those costs in the post-implementation stages, are typically expensed as incurred, unless such costs relate to substantial upgrades and enhancements to the website or software that result in added functionality, in which case the costs are capitalized and amortized on a straight-line basis over the estimated useful lives.</w:t>
      </w:r>
    </w:p>
    <w:p>
      <w:pPr>
        <w:spacing w:after="0" w:line="13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Capitalized development activities placed in service are amortized over the expected useful lives of those releases, currently estimated at one to five years. The estimated useful lives of website and software development activities are reviewed frequently and adjusted as appropriate to reflect upcoming development activities that may include significant upgrades and/or enhancements to the existing functionality.</w:t>
      </w:r>
    </w:p>
    <w:p>
      <w:pPr>
        <w:spacing w:after="0" w:line="11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capitalized $15.2 million and $19.2 million of software development costs, and recorded amortization expense of $8.2 million and $12.5 million, during the years ended December 31, 2019 and 2020, respectively. The Company capitalized $9.5 million and $11.9 million of software development costs, and recorded amortization expense of $5.8 million and $7.8 million, during the six months ended June 30, 2020 and 2021 (unaudited), respectively. Amortization expense is included within cost of revenue in the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F-10</w:t>
      </w:r>
    </w:p>
    <w:p>
      <w:pPr>
        <w:sectPr>
          <w:pgSz w:w="11900" w:h="16838" w:orient="portrait"/>
          <w:cols w:equalWidth="0" w:num="1">
            <w:col w:w="11240"/>
          </w:cols>
          <w:pgMar w:left="320" w:top="162" w:right="339" w:bottom="1440" w:gutter="0" w:footer="0" w:header="0"/>
        </w:sectPr>
      </w:pPr>
    </w:p>
    <w:bookmarkStart w:id="160" w:name="page161"/>
    <w:bookmarkEnd w:id="160"/>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b w:val="1"/>
          <w:bCs w:val="1"/>
          <w:color w:val="auto"/>
        </w:rPr>
        <w:t xml:space="preserve">Business Combinations </w:t>
      </w:r>
      <w:r>
        <w:rPr>
          <w:rFonts w:ascii="Arial" w:cs="Arial" w:eastAsia="Arial" w:hAnsi="Arial"/>
          <w:sz w:val="16"/>
          <w:szCs w:val="16"/>
          <w:color w:val="auto"/>
        </w:rPr>
        <w:t>— The Company recognizes identifiable assets acquired and liabilities assumed at their acquisition date fair value. Goodwill</w:t>
      </w:r>
      <w:r>
        <w:rPr>
          <w:rFonts w:ascii="Arial" w:cs="Arial" w:eastAsia="Arial" w:hAnsi="Arial"/>
          <w:sz w:val="16"/>
          <w:szCs w:val="16"/>
          <w:b w:val="1"/>
          <w:bCs w:val="1"/>
          <w:color w:val="auto"/>
        </w:rPr>
        <w:t xml:space="preserve"> </w:t>
      </w:r>
      <w:r>
        <w:rPr>
          <w:rFonts w:ascii="Arial" w:cs="Arial" w:eastAsia="Arial" w:hAnsi="Arial"/>
          <w:sz w:val="16"/>
          <w:szCs w:val="16"/>
          <w:color w:val="auto"/>
        </w:rPr>
        <w:t>as of the acquisition date is measured as the excess of consideration transferred over the net of the acquisition date fair values of the assets acquired and the liabilities assumed. While the Company uses its best estimates and assumptions as a part of the purchase price allocation process to accurately value assets acquired and liabilities assumed at the acquisition date, its estimates are inherently uncertain and subject to refinement. As a result, during the measurement period, which may be up to one year from the acquisition date, the Company records adjustments to the assets acquired and liabilities assumed, with the corresponding offset to goodwill to the extent that the Company identifies adjustments to the preliminary purchase price allocation. Upon the conclusion of the measurement period or final determination of the values of assets acquired or liabilities assumed, whichever comes first, any subsequent adjustments are recorded to the Company’s consolidated statements of operations and comprehensive income (loss). As of December 31, 2020 and June 30, 2021 (unaudited), the Company has not recorded material measurement period adjustments in connection with its business combinations.</w:t>
      </w:r>
    </w:p>
    <w:p>
      <w:pPr>
        <w:spacing w:after="0" w:line="11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 xml:space="preserve">Contingent Consideration </w:t>
      </w:r>
      <w:r>
        <w:rPr>
          <w:rFonts w:ascii="Arial" w:cs="Arial" w:eastAsia="Arial" w:hAnsi="Arial"/>
          <w:sz w:val="18"/>
          <w:szCs w:val="18"/>
          <w:color w:val="auto"/>
        </w:rPr>
        <w:t>— The fair value measurements of contingent consideration liabilities established in connection with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combinations are determined as of the acquisition date based on significant unobservable inputs, including forecasted revenues and costs of the acquired companies, the probability of meeting certain revenue or earnings targets defined in the merger agreements, and the discount rate. Contingent consideration liabilities are remeasured to fair value at each subsequent reporting date until the related contingency is resolved. Changes to the fair value of the contingent consideration liabilities can result from changes to one or a number of inputs, including discount rates, the probabilities of achieving the milestones, the time required to achieve the milestones and estimated future sales. Significant judgment is employed in determining the appropriateness of these inputs. Changes to the inputs described above could have a material impact on the Company’s financial position and results of operations in any given period.</w:t>
      </w:r>
    </w:p>
    <w:p>
      <w:pPr>
        <w:spacing w:after="0" w:line="13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color w:val="auto"/>
        </w:rPr>
        <w:t>Goodwill</w:t>
      </w:r>
      <w:r>
        <w:rPr>
          <w:rFonts w:ascii="Arial" w:cs="Arial" w:eastAsia="Arial" w:hAnsi="Arial"/>
          <w:sz w:val="17"/>
          <w:szCs w:val="17"/>
          <w:color w:val="auto"/>
        </w:rPr>
        <w:t>—The Company evaluates goodwill for impairment annually or more frequently when an event occurs or circumstances change that indicate</w:t>
      </w:r>
      <w:r>
        <w:rPr>
          <w:rFonts w:ascii="Arial" w:cs="Arial" w:eastAsia="Arial" w:hAnsi="Arial"/>
          <w:sz w:val="17"/>
          <w:szCs w:val="17"/>
          <w:b w:val="1"/>
          <w:bCs w:val="1"/>
          <w:color w:val="auto"/>
        </w:rPr>
        <w:t xml:space="preserve"> </w:t>
      </w:r>
      <w:r>
        <w:rPr>
          <w:rFonts w:ascii="Arial" w:cs="Arial" w:eastAsia="Arial" w:hAnsi="Arial"/>
          <w:sz w:val="17"/>
          <w:szCs w:val="17"/>
          <w:color w:val="auto"/>
        </w:rPr>
        <w:t>the carrying value may not be recoverable. The Company may elect to utilize a qualitative assessment to evaluate whether it is more likely than not that the fair value of a reporting unit is less than its carrying value and if so, the quantitative test is performed. The Company compares the carrying value of each reporting unit to its estimated fair value and if the fair value is determined to be less than the carrying value, we recognize an impairment loss for the difference. In accordance with accounting standards, for its annual impairment test for 2019 and 2020, the Company performed a qualitative assessment to determine whether it was necessary to test goodwill for impairment by performing the quantitative first step of the goodwill impairment process. Qualitative factors considered in this assessment include industry and market considerations, overall financial performance and other relevant events and factors affecting its single reporting unit. Based on the qualitative assessment in 2019 and 2020, the Company determined it was not more likely than not that the fair value of its single reporting unit was less than its carrying amount, and therefore no further analysis was needed. During the six months ended June 30, 2021 (unaudited), there were no events or circumstances that would indicate that goodwill was impaired, and thus no interim goodwill impairment test was deemed necessary.</w:t>
      </w:r>
    </w:p>
    <w:p>
      <w:pPr>
        <w:spacing w:after="0" w:line="12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Intangible Assets</w:t>
      </w:r>
      <w:r>
        <w:rPr>
          <w:rFonts w:ascii="Arial" w:cs="Arial" w:eastAsia="Arial" w:hAnsi="Arial"/>
          <w:sz w:val="18"/>
          <w:szCs w:val="18"/>
          <w:color w:val="auto"/>
        </w:rPr>
        <w:t>—Intangible assets include acquired intangible assets identified through business combinations, which are carried at the estimated</w:t>
      </w:r>
      <w:r>
        <w:rPr>
          <w:rFonts w:ascii="Arial" w:cs="Arial" w:eastAsia="Arial" w:hAnsi="Arial"/>
          <w:sz w:val="18"/>
          <w:szCs w:val="18"/>
          <w:b w:val="1"/>
          <w:bCs w:val="1"/>
          <w:color w:val="auto"/>
        </w:rPr>
        <w:t xml:space="preserve"> </w:t>
      </w:r>
      <w:r>
        <w:rPr>
          <w:rFonts w:ascii="Arial" w:cs="Arial" w:eastAsia="Arial" w:hAnsi="Arial"/>
          <w:sz w:val="18"/>
          <w:szCs w:val="18"/>
          <w:color w:val="auto"/>
        </w:rPr>
        <w:t>fair value recorded upon acquisition less accumulated amortization, and purchased intangible assets, which are carried at cost less accumulated amortization. Intangible assets are amortized on a straight-line basis over their estimated useful lives. Amortization costs for developed technology is included in cost of revenue and amortization for customer relationships, trade names and user base are included in sales and marketing within the consolidated statements of operations and comprehensive income (loss). Intangible assets are reviewed for impairment whenever events or changes in circumstances indicate that the carrying amount of the asset may not be recoverable. There was no impairment of intangible assets recorded for the years ended December 31, 2019 and 2020, or for the six months ended June 30, 2021 (unaudited). Refer to Note 6 – Goodwill and Intangible Assets for useful lives.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F-11</w:t>
      </w:r>
    </w:p>
    <w:p>
      <w:pPr>
        <w:sectPr>
          <w:pgSz w:w="11900" w:h="16838" w:orient="portrait"/>
          <w:cols w:equalWidth="0" w:num="1">
            <w:col w:w="11240"/>
          </w:cols>
          <w:pgMar w:left="320" w:top="162" w:right="339" w:bottom="1440" w:gutter="0" w:footer="0" w:header="0"/>
        </w:sectPr>
      </w:pPr>
    </w:p>
    <w:bookmarkStart w:id="161" w:name="page162"/>
    <w:bookmarkEnd w:id="161"/>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color w:val="auto"/>
        </w:rPr>
        <w:t>Impairment of Long-Lived Assets</w:t>
      </w:r>
      <w:r>
        <w:rPr>
          <w:rFonts w:ascii="Arial" w:cs="Arial" w:eastAsia="Arial" w:hAnsi="Arial"/>
          <w:sz w:val="17"/>
          <w:szCs w:val="17"/>
          <w:color w:val="auto"/>
        </w:rPr>
        <w:t>—The Company reviews long-lived assets, including property and equipment, capitalized software development</w:t>
      </w:r>
      <w:r>
        <w:rPr>
          <w:rFonts w:ascii="Arial" w:cs="Arial" w:eastAsia="Arial" w:hAnsi="Arial"/>
          <w:sz w:val="17"/>
          <w:szCs w:val="17"/>
          <w:b w:val="1"/>
          <w:bCs w:val="1"/>
          <w:color w:val="auto"/>
        </w:rPr>
        <w:t xml:space="preserve"> </w:t>
      </w:r>
      <w:r>
        <w:rPr>
          <w:rFonts w:ascii="Arial" w:cs="Arial" w:eastAsia="Arial" w:hAnsi="Arial"/>
          <w:sz w:val="17"/>
          <w:szCs w:val="17"/>
          <w:color w:val="auto"/>
        </w:rPr>
        <w:t>costs, and intangible assets, for impairment whenever events or changes in circumstances indicate that the carrying amount of an asset or asset group may not be recoverable. Recoverability of assets or asset groups to be held and used is measured first by a comparison of the carrying amount of an asset or asset group to future undiscounted net cash flows expected to be generated by the asset or asset group. If such assets or asset group are considered to be impaired, an impairment loss would be recognized based on the excess of the carrying amount of the asset above the fair value of the asset or asset group. The Company recorded $1.1 million and $0.2 million of impairment charges related to internal use software development for the years ended December 31, 2019 and 2020, respectively. The Company recorded $0.1 million and $0.3 million of impairment charges related to internal use software development for the six months ended June 30, 2020 and 2021 (unaudited), respectively.</w:t>
      </w:r>
    </w:p>
    <w:p>
      <w:pPr>
        <w:spacing w:after="0" w:line="11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—The Company generates substantially all its revenue through fees paid by our financial services partners in the form of either</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per action, revenue per click, revenue per lead, and revenue per funded loan arrangements. For these revenue arrangements, in which a partner pays only when a consumer satisfies the criteria set forth within the arrangement, revenue is recognized generally when the Company matches the consumer with the financial services partner. For some of the Company’s arrangements, the transaction price is considered variable and an estimate of the transaction price is recorded when the match occurs.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recognizes revenue in accordance with ASC 606, Revenue from Contracts with Customers. Revenue is recognized when performance obligations under the terms of a contract with a customer are satisfied and promised goods and services have transferred to the customer, in an amount that reflects the consideration we expect to be entitled to in exchange for those goods or services.</w:t>
      </w:r>
    </w:p>
    <w:p>
      <w:pPr>
        <w:spacing w:after="0" w:line="13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For revenue generated from revenue per action or revenue per funded loan arrangements in which fees are earned from customers for approved actions such as when credit cards are issued to consumers or when loans to consumers are funded, the Company’s contractual right to fees is not contemporaneous with the satisfaction of the performance obligation to match the consumer with the customer. As such, the Company records a contract asset at each reporting period-end related to the estimated variable consideration on fees for which the Company has satisfied the related performance obligation but are still pending the financial product approval before the Company has a contractual right to payment. This estimate is based on the Company's historical closing rates and historical time between when a consumer request for a financial product is delivered to the customer and when the financial product is approved by the customer. The time between satisfaction of the Company’s performance obligation and when the Company's right to consideration becomes unconditional is generally less than 90 days and no significant judgment is required in determining whether the estimate of variable consideration should be constrained.</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revenue generated from revenue per lead or revenue per click in which fees are earned from customers when a consumer clicks on a tagged link to the customer’s website or lead is delivered to the customer, the Company’s contractual right to fees is contemporaneous with the satisfaction of the performance obligation to match the consumer with the customer. The Company’s services are generally transferred to the customer at a point in time, when the performance obligation is met.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payment terms vary by customer and verticals. The term between invoicing and when payment is due is generally 30 days or less.</w:t>
      </w:r>
    </w:p>
    <w:p>
      <w:pPr>
        <w:spacing w:after="0" w:line="167"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Cost of Revenue</w:t>
      </w:r>
      <w:r>
        <w:rPr>
          <w:rFonts w:ascii="Arial" w:cs="Arial" w:eastAsia="Arial" w:hAnsi="Arial"/>
          <w:sz w:val="18"/>
          <w:szCs w:val="18"/>
          <w:color w:val="auto"/>
        </w:rPr>
        <w:t>—Cost of revenue consists primarily of amortization expense and impairment charges associated with capitalized software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costs and developed technology, credit scoring fees and account linking fees</w:t>
      </w:r>
      <w:r>
        <w:rPr>
          <w:rFonts w:ascii="Arial" w:cs="Arial" w:eastAsia="Arial" w:hAnsi="Arial"/>
          <w:sz w:val="18"/>
          <w:szCs w:val="18"/>
          <w:b w:val="1"/>
          <w:bCs w:val="1"/>
          <w:color w:val="auto"/>
        </w:rPr>
        <w:t>,</w:t>
      </w:r>
      <w:r>
        <w:rPr>
          <w:rFonts w:ascii="Arial" w:cs="Arial" w:eastAsia="Arial" w:hAnsi="Arial"/>
          <w:sz w:val="18"/>
          <w:szCs w:val="18"/>
          <w:color w:val="auto"/>
        </w:rPr>
        <w:t xml:space="preserve"> and third-party data center costs.</w:t>
      </w:r>
    </w:p>
    <w:p>
      <w:pPr>
        <w:spacing w:after="0" w:line="108"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Research and Development</w:t>
      </w:r>
      <w:r>
        <w:rPr>
          <w:rFonts w:ascii="Arial" w:cs="Arial" w:eastAsia="Arial" w:hAnsi="Arial"/>
          <w:sz w:val="18"/>
          <w:szCs w:val="18"/>
          <w:color w:val="auto"/>
        </w:rPr>
        <w:t>—Research and development expenses primarily consist of personnel related costs, technology and facility-related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and contractor expense for our engineering, product management, data and other personnel engaged in maintaining and enhancing the functionality of our platform. Research and development costs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F-12</w:t>
      </w:r>
    </w:p>
    <w:p>
      <w:pPr>
        <w:sectPr>
          <w:pgSz w:w="11900" w:h="16838" w:orient="portrait"/>
          <w:cols w:equalWidth="0" w:num="1">
            <w:col w:w="11240"/>
          </w:cols>
          <w:pgMar w:left="320" w:top="162" w:right="339" w:bottom="1440" w:gutter="0" w:footer="0" w:header="0"/>
        </w:sectPr>
      </w:pPr>
    </w:p>
    <w:bookmarkStart w:id="162" w:name="page163"/>
    <w:bookmarkEnd w:id="162"/>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Sales and Marketing</w:t>
      </w:r>
      <w:r>
        <w:rPr>
          <w:rFonts w:ascii="Arial" w:cs="Arial" w:eastAsia="Arial" w:hAnsi="Arial"/>
          <w:sz w:val="18"/>
          <w:szCs w:val="18"/>
          <w:color w:val="auto"/>
        </w:rPr>
        <w:t>—Sales and marketing expenses include advertising and promotion costs, costs related to brand campaign fees, marketing,</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operations team, and editorial personnel and related costs, including stock-based compensation.</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Leases</w:t>
      </w:r>
      <w:r>
        <w:rPr>
          <w:rFonts w:ascii="Arial" w:cs="Arial" w:eastAsia="Arial" w:hAnsi="Arial"/>
          <w:sz w:val="17"/>
          <w:szCs w:val="17"/>
          <w:color w:val="auto"/>
        </w:rPr>
        <w:t>—The Company leases real estate facilities and general office equipment under operating leases expiring at various dates through 2029.</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February 2016, the FASB issued Accounting Standards Update (“ASU”) No. 2016-02, Leases (“Topic 842”), which supersedes previous lease accounting guidance (“Topic 840”). The new guidance requires lessees to recognize certain leases as operating lease right-of-use (“ROU”) assets, with corresponding lease liabilities on the balance sheet.</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 adopted Topic 842 on January 1, 2019. For leases that commenced prior to January 1, 2019, the Company elected a package of practical expedients and has carried forward historical lease classification and assessment of whether expired or current contracts contain leases. The Company also elected the practical expedient to combine lease and nonlease components, and to keep leases with an initial term of 12 months or less off the balance sheet.</w:t>
      </w:r>
    </w:p>
    <w:p>
      <w:pPr>
        <w:spacing w:after="0" w:line="9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Company’s ROU assets and lease liabilities are recognized at commencement date based on the present value of remaining lease payments over the lease term, which may include options to extend or terminate the lease when it is reasonably certain the Company will exercise such options. At inception of the lease, the Company is not reasonably certain that any available lease extensions or renewal terms will be exercised. For this purpose, the Company considered lease term and only payments that are fixed and determinable at the time of commencement. As most of the Company’s leases do not provide an implicit rate, the Company used the incremental borrowing rate based on the information available at commencement date in determining the present value of lease payments. When determining the incremental borrowing rates, the Company considered information including, but not limited to, the lease term, the Company’s credit rating and interest rates of similar debt instruments with comparable credit ratings. The Company’s lease agreements may contain variable costs such as common area maintenance, insurance, real estate taxes or other costs. Variable lease costs are expensed as incurred in the consolidated statements of operations and comprehensive income (loss).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Nonlease components that are not fixed are expensed as incurred as variable lease payments. The Company’s lease agreements generally do not contain any residual guarantees or restrictive covenants.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Operating and finance leases are included in other assets, accrued and other current liabilities, and other liabilities-noncurrent in the consolidated balance sheets.</w:t>
      </w:r>
    </w:p>
    <w:p>
      <w:pPr>
        <w:spacing w:after="0" w:line="11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b w:val="1"/>
          <w:bCs w:val="1"/>
          <w:color w:val="auto"/>
        </w:rPr>
        <w:t>Advertising Expenses</w:t>
      </w:r>
      <w:r>
        <w:rPr>
          <w:rFonts w:ascii="Arial" w:cs="Arial" w:eastAsia="Arial" w:hAnsi="Arial"/>
          <w:sz w:val="17"/>
          <w:szCs w:val="17"/>
          <w:color w:val="auto"/>
        </w:rPr>
        <w:t>—Advertising is expensed as incurred. Advertising expense was $86.7 million and $106.8 million for the years ended</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31, 2019 and 2020, respectively, and $71.3 million and $117.2 million for the six months ended June 30, 2020 and 2021 (unaudited), respectively, and has been recorded in sales and marketing within the consolidated statements of operations and comprehensive income (loss).</w:t>
      </w:r>
    </w:p>
    <w:p>
      <w:pPr>
        <w:spacing w:after="0" w:line="104"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b w:val="1"/>
          <w:bCs w:val="1"/>
          <w:color w:val="auto"/>
        </w:rPr>
        <w:t>Stock-Based Compensation</w:t>
      </w:r>
      <w:r>
        <w:rPr>
          <w:rFonts w:ascii="Arial" w:cs="Arial" w:eastAsia="Arial" w:hAnsi="Arial"/>
          <w:sz w:val="17"/>
          <w:szCs w:val="17"/>
          <w:color w:val="auto"/>
        </w:rPr>
        <w:t>— The Company measures compensation expense for all stock-based payment awards granted to employees,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and nonemployees, including restricted stock units (“RSUs”) and stock options, based on the estimated fair value of the awards on the date of grant. For RSUs, fair value is based on the fair value of our common stock on the grant date. For stock options, fair value is estimated using the Black-Scholes-Merton option pricing model. Stock-based compensation is recognized on a straight-line basis over the requisite service period. The requisite service period of the awards is generally the same as the vesting period. The Company recognizes forfeitures as they occur for equity awards with only a service condition, rather than estimate expected forfeitures, as permitted by ASU 2016-09.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F-13</w:t>
      </w:r>
    </w:p>
    <w:p>
      <w:pPr>
        <w:sectPr>
          <w:pgSz w:w="11900" w:h="16838" w:orient="portrait"/>
          <w:cols w:equalWidth="0" w:num="1">
            <w:col w:w="11240"/>
          </w:cols>
          <w:pgMar w:left="320" w:top="162" w:right="339" w:bottom="1440" w:gutter="0" w:footer="0" w:header="0"/>
        </w:sectPr>
      </w:pPr>
    </w:p>
    <w:bookmarkStart w:id="163" w:name="page164"/>
    <w:bookmarkEnd w:id="163"/>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Embedded Derivative</w:t>
      </w:r>
      <w:r>
        <w:rPr>
          <w:rFonts w:ascii="Arial" w:cs="Arial" w:eastAsia="Arial" w:hAnsi="Arial"/>
          <w:sz w:val="18"/>
          <w:szCs w:val="18"/>
          <w:color w:val="auto"/>
        </w:rPr>
        <w:t>—In January 2017, the Company issued subordinated promissory notes that contained an embedded derivative, see Note 7 –</w:t>
      </w:r>
      <w:r>
        <w:rPr>
          <w:rFonts w:ascii="Arial" w:cs="Arial" w:eastAsia="Arial" w:hAnsi="Arial"/>
          <w:sz w:val="18"/>
          <w:szCs w:val="18"/>
          <w:b w:val="1"/>
          <w:bCs w:val="1"/>
          <w:color w:val="auto"/>
        </w:rPr>
        <w:t xml:space="preserve"> </w:t>
      </w:r>
      <w:r>
        <w:rPr>
          <w:rFonts w:ascii="Arial" w:cs="Arial" w:eastAsia="Arial" w:hAnsi="Arial"/>
          <w:sz w:val="18"/>
          <w:szCs w:val="18"/>
          <w:color w:val="auto"/>
        </w:rPr>
        <w:t>Debt. At initial recognition, the Company recorded the embedded derivative on the consolidated balance sheet at its estimated fair value resulting in an embedded derivative contra-liability balance with an offsetting recognition of a debt premium. Both the embedded derivative and debt premium are classified together with the related subordinated promissory notes on the consolidated balance sheet. Embedded derivatives are subject to remeasurement at each balance sheet date, with changes in fair value recognized as a component of other gains (losses), net on the consolidated statement of operations and comprehensive income (loss). Premium recognized at initial recognition is amortized as a reduction to interest expense over the expected life of the related debt using the effective interest method.</w:t>
      </w:r>
    </w:p>
    <w:p>
      <w:pPr>
        <w:spacing w:after="0" w:line="13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color w:val="auto"/>
        </w:rPr>
        <w:t>—The Company accounts for income taxes under an asset and liability approach. Deferred income taxes reflect the impact of temporary</w:t>
      </w:r>
      <w:r>
        <w:rPr>
          <w:rFonts w:ascii="Arial" w:cs="Arial" w:eastAsia="Arial" w:hAnsi="Arial"/>
          <w:sz w:val="18"/>
          <w:szCs w:val="18"/>
          <w:b w:val="1"/>
          <w:bCs w:val="1"/>
          <w:color w:val="auto"/>
        </w:rPr>
        <w:t xml:space="preserve"> </w:t>
      </w:r>
      <w:r>
        <w:rPr>
          <w:rFonts w:ascii="Arial" w:cs="Arial" w:eastAsia="Arial" w:hAnsi="Arial"/>
          <w:sz w:val="18"/>
          <w:szCs w:val="18"/>
          <w:color w:val="auto"/>
        </w:rPr>
        <w:t>differences between assets and liabilities recognized for financial reporting purposes and amounts recognized for income tax reporting purposes measured by applying currently enacted tax laws. A valuation allowance is provided when necessary to reduce deferred tax assets to an amount that is more likely than not to be realized.</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to be sustained. Recognized income tax positions are measured at the largest amount that is greater than 50% likely to be realized. Changes in recognition or measurement are reflected in the period in which the change in judgment occurs.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records uncertain tax positions in accordance with accounting standards on the basis of a two-step process whereby (1) a determination is made as to whether it is more likely than not that the tax positions will be sustained based on the technical merits of the position and (2) for those tax positions that meet the more-likely-than-not recognition threshold the Company recognizes the largest amount of tax benefit that is greater than 50% likely to be realized upon ultimate settlement with the related tax authority. The Company’s policy is to include interest and penalties within its provision for income taxes.</w:t>
      </w:r>
    </w:p>
    <w:p>
      <w:pPr>
        <w:spacing w:after="0" w:line="13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Comprehensive Income (Loss)</w:t>
      </w:r>
      <w:r>
        <w:rPr>
          <w:rFonts w:ascii="Arial" w:cs="Arial" w:eastAsia="Arial" w:hAnsi="Arial"/>
          <w:sz w:val="18"/>
          <w:szCs w:val="18"/>
          <w:color w:val="auto"/>
        </w:rPr>
        <w:t>—Comprehensive income (loss) is defined as a change in equity of a business enterprise during a period, resulting</w:t>
      </w:r>
      <w:r>
        <w:rPr>
          <w:rFonts w:ascii="Arial" w:cs="Arial" w:eastAsia="Arial" w:hAnsi="Arial"/>
          <w:sz w:val="18"/>
          <w:szCs w:val="18"/>
          <w:b w:val="1"/>
          <w:bCs w:val="1"/>
          <w:color w:val="auto"/>
        </w:rPr>
        <w:t xml:space="preserve"> </w:t>
      </w:r>
      <w:r>
        <w:rPr>
          <w:rFonts w:ascii="Arial" w:cs="Arial" w:eastAsia="Arial" w:hAnsi="Arial"/>
          <w:sz w:val="18"/>
          <w:szCs w:val="18"/>
          <w:color w:val="auto"/>
        </w:rPr>
        <w:t>from transactions from non-owner sources. Comprehensive income (loss) is comprised of all components of net income (loss) and all components of other comprehensive income (loss) within stockholders’ equity. The Company’s other comprehensive income (loss) includes adjustments for foreign currency translation.</w:t>
      </w:r>
    </w:p>
    <w:p>
      <w:pPr>
        <w:spacing w:after="0" w:line="126"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b w:val="1"/>
          <w:bCs w:val="1"/>
          <w:color w:val="auto"/>
        </w:rPr>
        <w:t>Subsequent Events</w:t>
      </w:r>
      <w:r>
        <w:rPr>
          <w:rFonts w:ascii="Arial" w:cs="Arial" w:eastAsia="Arial" w:hAnsi="Arial"/>
          <w:sz w:val="18"/>
          <w:szCs w:val="18"/>
          <w:color w:val="auto"/>
        </w:rPr>
        <w:t>—The Company evaluated subsequent events through the date its consolidated financial statements were issued. Refer to Notes 15</w:t>
      </w:r>
      <w:r>
        <w:rPr>
          <w:rFonts w:ascii="Arial" w:cs="Arial" w:eastAsia="Arial" w:hAnsi="Arial"/>
          <w:sz w:val="18"/>
          <w:szCs w:val="18"/>
          <w:b w:val="1"/>
          <w:bCs w:val="1"/>
          <w:color w:val="auto"/>
        </w:rPr>
        <w:t xml:space="preserve"> </w:t>
      </w:r>
      <w:r>
        <w:rPr>
          <w:rFonts w:ascii="Arial" w:cs="Arial" w:eastAsia="Arial" w:hAnsi="Arial"/>
          <w:sz w:val="18"/>
          <w:szCs w:val="18"/>
          <w:color w:val="auto"/>
        </w:rPr>
        <w:t>– Subsequent Events and 16 – Subsequent Events (Unaudited) for further discussion.</w:t>
      </w:r>
    </w:p>
    <w:p>
      <w:pPr>
        <w:spacing w:after="0" w:line="108"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b w:val="1"/>
          <w:bCs w:val="1"/>
          <w:color w:val="auto"/>
        </w:rPr>
        <w:t>Recently Adopted Accounting Pronouncements</w:t>
      </w:r>
      <w:r>
        <w:rPr>
          <w:rFonts w:ascii="Arial" w:cs="Arial" w:eastAsia="Arial" w:hAnsi="Arial"/>
          <w:sz w:val="16"/>
          <w:szCs w:val="16"/>
          <w:color w:val="auto"/>
        </w:rPr>
        <w:t>— In December 2019, the FASB issued ASU 2019-12,</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Income Taxes (Topic 740): Simplifying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Accounting for Income Taxes </w:t>
      </w:r>
      <w:r>
        <w:rPr>
          <w:rFonts w:ascii="Arial" w:cs="Arial" w:eastAsia="Arial" w:hAnsi="Arial"/>
          <w:sz w:val="16"/>
          <w:szCs w:val="16"/>
          <w:color w:val="auto"/>
        </w:rPr>
        <w:t>which simplifies the accounting for income taxes by removing certain exceptions to the general principles in ASC Topic 740,</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Taxes, and clarifies certain aspects of the current guidance to improve consistency among reporting entities. The ASU is effective for the Company for annual reporting periods beginning after December 15, 2022. Early adoption is permitted. The Company early adopted ASU 2019-12 on January 1, 2020. The adoption of ASU 2019-12 did not have any impact on the consolidated financial statements as of and for the year ended December 31, 2020.</w:t>
      </w:r>
    </w:p>
    <w:p>
      <w:pPr>
        <w:spacing w:after="0" w:line="10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Intangibles—Goodwill and Other—Internal-Use Software (Topic 350)</w:t>
      </w:r>
      <w:r>
        <w:rPr>
          <w:rFonts w:ascii="Arial" w:cs="Arial" w:eastAsia="Arial" w:hAnsi="Arial"/>
          <w:sz w:val="17"/>
          <w:szCs w:val="17"/>
          <w:color w:val="auto"/>
        </w:rPr>
        <w:t>. The standard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amendments should be applied either retrospectively or prospectively to all implementation costs incurred after the date of adoption. The ASU is effective for the Company for annual reporting periods beginning after December 15, 2020. Early adoption is permitted. The Company early adopted ASU 2018-15 on January 1, 2020 using the prospective approach. Subsequent to the adoption of this ASU, capitalizable implementation costs incurred in a hosting arrangement that is a service contract are recorded within prepaid and other current assets and other non-current assets on the consolidated balance sheet. The expense related to these capitalized implementation costs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F-14</w:t>
      </w:r>
    </w:p>
    <w:p>
      <w:pPr>
        <w:sectPr>
          <w:pgSz w:w="11900" w:h="16838" w:orient="portrait"/>
          <w:cols w:equalWidth="0" w:num="1">
            <w:col w:w="11240"/>
          </w:cols>
          <w:pgMar w:left="320" w:top="162" w:right="339" w:bottom="1440" w:gutter="0" w:footer="0" w:header="0"/>
        </w:sectPr>
      </w:pPr>
    </w:p>
    <w:bookmarkStart w:id="164" w:name="page165"/>
    <w:bookmarkEnd w:id="164"/>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included within general and administrative expense on the consolidated statement of operations and comprehensive income (loss). The adoption of ASU 2015-15 did not have a material impact on the consolidated financial statement as of and for the year ended December 31, 2020.</w:t>
      </w:r>
    </w:p>
    <w:p>
      <w:pPr>
        <w:spacing w:after="0" w:line="9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w:t>
      </w:r>
      <w:r>
        <w:rPr>
          <w:rFonts w:ascii="Arial" w:cs="Arial" w:eastAsia="Arial" w:hAnsi="Arial"/>
          <w:sz w:val="17"/>
          <w:szCs w:val="17"/>
          <w:color w:val="auto"/>
        </w:rPr>
        <w:t>. The standard removes, eliminates, adds and modifies certain disclosure requirements for fair value measurements in ASC Topic 820, Fair Value Measurement. This ASU is effective for fiscal years beginning after December 15, 2019, and early adoption is permitted. Entities are permitted to adopt any removed or modified disclosures and delay adoption of the additional disclosures until the effective date of the ASU. Certain amendments must be applied prospectively while others are to be applied on a retrospective basis to all periods presented. The Company adopted ASU 2018-13 on January 1, 2020, and the adoption of this guidance did not have a material impact on the Company’s consolidated financial statements. See Note 3 – Fair Value Measurements for further discussion.</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Intangibles—Goodwill and Other—Internal-Use Software (Topic 350): Simplifying the Test for</w:t>
      </w:r>
      <w:r>
        <w:rPr>
          <w:rFonts w:ascii="Arial" w:cs="Arial" w:eastAsia="Arial" w:hAnsi="Arial"/>
          <w:sz w:val="18"/>
          <w:szCs w:val="18"/>
          <w:color w:val="auto"/>
        </w:rPr>
        <w:t xml:space="preserve"> </w:t>
      </w:r>
      <w:r>
        <w:rPr>
          <w:rFonts w:ascii="Arial" w:cs="Arial" w:eastAsia="Arial" w:hAnsi="Arial"/>
          <w:sz w:val="18"/>
          <w:szCs w:val="18"/>
          <w:i w:val="1"/>
          <w:iCs w:val="1"/>
          <w:color w:val="auto"/>
        </w:rPr>
        <w:t>Goodwill Impairment</w:t>
      </w:r>
      <w:r>
        <w:rPr>
          <w:rFonts w:ascii="Arial" w:cs="Arial" w:eastAsia="Arial" w:hAnsi="Arial"/>
          <w:sz w:val="18"/>
          <w:szCs w:val="18"/>
          <w:color w:val="auto"/>
        </w:rPr>
        <w:t>. The standard eliminates the requirement to calculate the implied fair value of goodwill to measure a goodwill impairment charge</w:t>
      </w:r>
      <w:r>
        <w:rPr>
          <w:rFonts w:ascii="Arial" w:cs="Arial" w:eastAsia="Arial" w:hAnsi="Arial"/>
          <w:sz w:val="18"/>
          <w:szCs w:val="18"/>
          <w:i w:val="1"/>
          <w:iCs w:val="1"/>
          <w:color w:val="auto"/>
        </w:rPr>
        <w:t xml:space="preserve"> </w:t>
      </w:r>
      <w:r>
        <w:rPr>
          <w:rFonts w:ascii="Arial" w:cs="Arial" w:eastAsia="Arial" w:hAnsi="Arial"/>
          <w:sz w:val="18"/>
          <w:szCs w:val="18"/>
          <w:color w:val="auto"/>
        </w:rPr>
        <w:t>(Step 2 of the goodwill impairment test), and will instead base an impairment charge on the excess of the carrying amount over the fair value. The ASU is effective for the Company for annual reporting periods beginning after December 15, 2022. Early adoption is permitted. The Company early adopted ASU 2017-04 on January 1, 2020. The adoption of ASU 2017-04 did not have a material impact on the consolidated financial statements as of and for the year ended December 31, 2020.</w:t>
      </w:r>
    </w:p>
    <w:p>
      <w:pPr>
        <w:spacing w:after="0" w:line="134"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Recently Issued Accounting Pronouncements Not Yet Adopted</w:t>
      </w:r>
      <w:r>
        <w:rPr>
          <w:rFonts w:ascii="Arial" w:cs="Arial" w:eastAsia="Arial" w:hAnsi="Arial"/>
          <w:sz w:val="18"/>
          <w:szCs w:val="18"/>
          <w:color w:val="auto"/>
        </w:rPr>
        <w:t>—In March 2020, the FASB issued ASU 2020-04,</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Reference Rate Reform</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(Topic 848) </w:t>
      </w:r>
      <w:r>
        <w:rPr>
          <w:rFonts w:ascii="Arial" w:cs="Arial" w:eastAsia="Arial" w:hAnsi="Arial"/>
          <w:sz w:val="18"/>
          <w:szCs w:val="18"/>
          <w:color w:val="auto"/>
        </w:rPr>
        <w:t>(“ASU 2020-04”). ASU 2020-04 provides optional expedients and exceptions for a limited period of time for accounting for contracts, hedging</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relationships, and other transactions affected by the London Interbank Offered Rate (“LIBOR”) or another reference rate expected to be discontinued. Optional expedients can be applied from March 12, 2020 through December 31, 2022. The Company is currently evaluating the impact this ASU will have on its consolidated financial statements.</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Measurement of Credit Losses on Financial Instruments</w:t>
      </w:r>
      <w:r>
        <w:rPr>
          <w:rFonts w:ascii="Arial" w:cs="Arial" w:eastAsia="Arial" w:hAnsi="Arial"/>
          <w:sz w:val="18"/>
          <w:szCs w:val="18"/>
          <w:color w:val="auto"/>
        </w:rPr>
        <w:t xml:space="preserve"> (“ASU 2016-13”). ASU 2016-13 requires the measurement and recognition of expected credit losses for financial assets held at amortized cost, and includes the Company’s accounts receivable, certain financial instruments and contract assets. ASU 2016-13 replaces the prior incurred loss impairment model with an expected loss methodology, which results in more timely recognition of credit losses. ASU 2016-13 is effective for the Company’s annual periods beginning after December 15, 2022, including interim periods within those fiscal years. The Company is currently evaluating the impact of ASU 2016-13 on its financial condition and results of operations.</w:t>
      </w:r>
    </w:p>
    <w:p>
      <w:pPr>
        <w:spacing w:after="0" w:line="13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In October 2020, the FASB issued ASU 2020-10, </w:t>
      </w:r>
      <w:r>
        <w:rPr>
          <w:rFonts w:ascii="Arial" w:cs="Arial" w:eastAsia="Arial" w:hAnsi="Arial"/>
          <w:sz w:val="17"/>
          <w:szCs w:val="17"/>
          <w:i w:val="1"/>
          <w:iCs w:val="1"/>
          <w:color w:val="auto"/>
        </w:rPr>
        <w:t>Codification Improvements</w:t>
      </w:r>
      <w:r>
        <w:rPr>
          <w:rFonts w:ascii="Arial" w:cs="Arial" w:eastAsia="Arial" w:hAnsi="Arial"/>
          <w:sz w:val="17"/>
          <w:szCs w:val="17"/>
          <w:color w:val="auto"/>
        </w:rPr>
        <w:t xml:space="preserve"> (“ASU 2020-10”). ASU 2020-10 is intended to facilitate codification updates for technical corrections, such as conforming amendments, clarifications to guidance, simplifications to wording or structure of guidance, and other minor improvements. It contains amendments that improve the consistency of the codification by including all disclosure guidance in the appropriate disclosure section and other updates that varies in nature. ASU 2020-10 is effective for Company’s annual period beginning December 15, 2020. We do not anticipate a material impact on our consolidated financial statements and disclosures from adoption of this standard update.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F-15</w:t>
      </w:r>
    </w:p>
    <w:p>
      <w:pPr>
        <w:sectPr>
          <w:pgSz w:w="11900" w:h="16838" w:orient="portrait"/>
          <w:cols w:equalWidth="0" w:num="1">
            <w:col w:w="11240"/>
          </w:cols>
          <w:pgMar w:left="320" w:top="162" w:right="339" w:bottom="1440" w:gutter="0" w:footer="0" w:header="0"/>
        </w:sectPr>
      </w:pPr>
    </w:p>
    <w:bookmarkStart w:id="165" w:name="page166"/>
    <w:bookmarkEnd w:id="165"/>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hanging="652"/>
        <w:spacing w:after="0"/>
        <w:tabs>
          <w:tab w:leader="none" w:pos="6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presents a disaggregation of the Company’s revenue based on product category (in millions):</w:t>
      </w:r>
    </w:p>
    <w:p>
      <w:pPr>
        <w:sectPr>
          <w:pgSz w:w="11900" w:h="16838" w:orient="portrait"/>
          <w:cols w:equalWidth="0" w:num="1">
            <w:col w:w="11240"/>
          </w:cols>
          <w:pgMar w:left="320" w:top="175" w:right="339" w:bottom="1440" w:gutter="0" w:footer="0" w:header="0"/>
        </w:sectPr>
      </w:pPr>
    </w:p>
    <w:p>
      <w:pPr>
        <w:spacing w:after="0" w:line="240" w:lineRule="exact"/>
        <w:rPr>
          <w:sz w:val="20"/>
          <w:szCs w:val="20"/>
          <w:color w:val="auto"/>
        </w:rPr>
      </w:pPr>
    </w:p>
    <w:p>
      <w:pPr>
        <w:jc w:val="center"/>
        <w:ind w:left="52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32385</wp:posOffset>
            </wp:positionV>
            <wp:extent cx="18859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49" w:lineRule="exact"/>
        <w:rPr>
          <w:sz w:val="20"/>
          <w:szCs w:val="20"/>
          <w:color w:val="auto"/>
        </w:rPr>
      </w:pPr>
    </w:p>
    <w:p>
      <w:pPr>
        <w:ind w:left="5760"/>
        <w:spacing w:after="0"/>
        <w:tabs>
          <w:tab w:leader="none" w:pos="7280" w:val="left"/>
        </w:tabs>
        <w:rPr>
          <w:sz w:val="20"/>
          <w:szCs w:val="20"/>
          <w:color w:val="auto"/>
        </w:rPr>
      </w:pPr>
      <w:r>
        <w:rPr>
          <w:rFonts w:ascii="Arial" w:cs="Arial" w:eastAsia="Arial" w:hAnsi="Arial"/>
          <w:sz w:val="12"/>
          <w:szCs w:val="12"/>
          <w:b w:val="1"/>
          <w:bCs w:val="1"/>
          <w:color w:val="auto"/>
        </w:rPr>
        <w:t>2019</w:t>
      </w:r>
      <w:r>
        <w:rPr>
          <w:sz w:val="20"/>
          <w:szCs w:val="20"/>
          <w:color w:val="auto"/>
        </w:rPr>
        <w:tab/>
      </w:r>
      <w:r>
        <w:rPr>
          <w:rFonts w:ascii="Arial" w:cs="Arial" w:eastAsia="Arial" w:hAnsi="Arial"/>
          <w:sz w:val="12"/>
          <w:szCs w:val="12"/>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46990</wp:posOffset>
            </wp:positionV>
            <wp:extent cx="18859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jc w:val="center"/>
        <w:ind w:right="58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32385</wp:posOffset>
            </wp:positionV>
            <wp:extent cx="18942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49" w:lineRule="exact"/>
        <w:rPr>
          <w:sz w:val="20"/>
          <w:szCs w:val="20"/>
          <w:color w:val="auto"/>
        </w:rPr>
      </w:pPr>
    </w:p>
    <w:p>
      <w:pPr>
        <w:spacing w:after="0"/>
        <w:tabs>
          <w:tab w:leader="none" w:pos="1520" w:val="left"/>
        </w:tabs>
        <w:rPr>
          <w:sz w:val="20"/>
          <w:szCs w:val="20"/>
          <w:color w:val="auto"/>
        </w:rPr>
      </w:pPr>
      <w:r>
        <w:rPr>
          <w:rFonts w:ascii="Arial" w:cs="Arial" w:eastAsia="Arial" w:hAnsi="Arial"/>
          <w:sz w:val="12"/>
          <w:szCs w:val="12"/>
          <w:b w:val="1"/>
          <w:bCs w:val="1"/>
          <w:color w:val="auto"/>
        </w:rPr>
        <w:t>2020</w:t>
      </w:r>
      <w:r>
        <w:rPr>
          <w:sz w:val="20"/>
          <w:szCs w:val="20"/>
          <w:color w:val="auto"/>
        </w:rPr>
        <w:tab/>
      </w:r>
      <w:r>
        <w:rPr>
          <w:rFonts w:ascii="Arial" w:cs="Arial" w:eastAsia="Arial" w:hAnsi="Arial"/>
          <w:sz w:val="12"/>
          <w:szCs w:val="12"/>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46990</wp:posOffset>
            </wp:positionV>
            <wp:extent cx="18942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72"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(unaudited)</w:t>
      </w:r>
    </w:p>
    <w:p>
      <w:pPr>
        <w:spacing w:after="0" w:line="51" w:lineRule="exact"/>
        <w:rPr>
          <w:sz w:val="20"/>
          <w:szCs w:val="20"/>
          <w:color w:val="auto"/>
        </w:rPr>
      </w:pPr>
    </w:p>
    <w:p>
      <w:pPr>
        <w:sectPr>
          <w:pgSz w:w="11900" w:h="16838" w:orient="portrait"/>
          <w:cols w:equalWidth="0" w:num="2">
            <w:col w:w="8120" w:space="720"/>
            <w:col w:w="2400"/>
          </w:cols>
          <w:pgMar w:left="320" w:top="175"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cards</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Loans</w:t>
            </w:r>
          </w:p>
        </w:tc>
        <w:tc>
          <w:tcPr>
            <w:tcW w:w="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64.6</w:t>
            </w:r>
          </w:p>
        </w:tc>
      </w:tr>
      <w:tr>
        <w:trPr>
          <w:trHeight w:val="27"/>
        </w:trPr>
        <w:tc>
          <w:tcPr>
            <w:tcW w:w="5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verticals</w:t>
            </w:r>
          </w:p>
        </w:tc>
        <w:tc>
          <w:tcPr>
            <w:tcW w:w="5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w:t>
            </w:r>
          </w:p>
        </w:tc>
      </w:tr>
      <w:tr>
        <w:trPr>
          <w:trHeight w:val="263"/>
        </w:trPr>
        <w:tc>
          <w:tcPr>
            <w:tcW w:w="52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228.3</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245.3</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181.6</w:t>
            </w:r>
          </w:p>
        </w:tc>
      </w:tr>
      <w:tr>
        <w:trPr>
          <w:trHeight w:val="21"/>
        </w:trPr>
        <w:tc>
          <w:tcPr>
            <w:tcW w:w="5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December 31, 2019 and 2020 and June 30, 2021 (unaudited), the contract asset recorded within prepaid and other current assets on the consolidated balance sheets related to estimated variable consideration was $1.1 million, $1.2 million and $2.3 million, respectively.</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Credit cards revenue is primarily generated through revenue per action arrangements, Loans revenue is primarily generated through revenue per funded loan and revenue per lead arrangements, and Other verticals revenue is primarily generated through revenue per click and revenue per action arrangements.</w:t>
      </w:r>
    </w:p>
    <w:p>
      <w:pPr>
        <w:spacing w:after="0" w:line="126" w:lineRule="exact"/>
        <w:rPr>
          <w:sz w:val="20"/>
          <w:szCs w:val="20"/>
          <w:color w:val="auto"/>
        </w:rPr>
      </w:pPr>
    </w:p>
    <w:p>
      <w:pPr>
        <w:ind w:left="660" w:hanging="652"/>
        <w:spacing w:after="0"/>
        <w:tabs>
          <w:tab w:leader="none" w:pos="6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Company’s assets and liabilities that are measured at fair value on a recurring basis, by level, within the fair value hierarchy are summarized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5"/>
          </w:tcPr>
          <w:p>
            <w:pPr>
              <w:ind w:left="540"/>
              <w:spacing w:after="0"/>
              <w:rPr>
                <w:sz w:val="20"/>
                <w:szCs w:val="20"/>
                <w:color w:val="auto"/>
              </w:rPr>
            </w:pPr>
            <w:r>
              <w:rPr>
                <w:rFonts w:ascii="Arial" w:cs="Arial" w:eastAsia="Arial" w:hAnsi="Arial"/>
                <w:sz w:val="14"/>
                <w:szCs w:val="14"/>
                <w:b w:val="1"/>
                <w:bCs w:val="1"/>
                <w:color w:val="auto"/>
              </w:rPr>
              <w:t>As of December 31, 2019</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2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5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00"/>
              <w:spacing w:after="0" w:line="160" w:lineRule="exact"/>
              <w:rPr>
                <w:sz w:val="20"/>
                <w:szCs w:val="20"/>
                <w:color w:val="auto"/>
              </w:rPr>
            </w:pPr>
            <w:r>
              <w:rPr>
                <w:rFonts w:ascii="Arial" w:cs="Arial" w:eastAsia="Arial" w:hAnsi="Arial"/>
                <w:sz w:val="14"/>
                <w:szCs w:val="14"/>
                <w:b w:val="1"/>
                <w:bCs w:val="1"/>
                <w:color w:val="auto"/>
                <w:w w:val="92"/>
              </w:rPr>
              <w:t>Quoted Prices</w:t>
            </w:r>
          </w:p>
        </w:tc>
        <w:tc>
          <w:tcPr>
            <w:tcW w:w="240" w:type="dxa"/>
            <w:vAlign w:val="bottom"/>
          </w:tcPr>
          <w:p>
            <w:pPr>
              <w:spacing w:after="0"/>
              <w:rPr>
                <w:sz w:val="13"/>
                <w:szCs w:val="13"/>
                <w:color w:val="auto"/>
              </w:rPr>
            </w:pPr>
          </w:p>
        </w:tc>
        <w:tc>
          <w:tcPr>
            <w:tcW w:w="1300" w:type="dxa"/>
            <w:vAlign w:val="bottom"/>
            <w:gridSpan w:val="2"/>
          </w:tcPr>
          <w:p>
            <w:pPr>
              <w:jc w:val="center"/>
              <w:ind w:right="340"/>
              <w:spacing w:after="0" w:line="160"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3"/>
                <w:szCs w:val="13"/>
                <w:color w:val="auto"/>
              </w:rPr>
            </w:pPr>
          </w:p>
        </w:tc>
        <w:tc>
          <w:tcPr>
            <w:tcW w:w="1240" w:type="dxa"/>
            <w:vAlign w:val="bottom"/>
          </w:tcPr>
          <w:p>
            <w:pPr>
              <w:jc w:val="center"/>
              <w:ind w:right="139"/>
              <w:spacing w:after="0" w:line="160"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020" w:type="dxa"/>
            <w:vAlign w:val="bottom"/>
          </w:tcPr>
          <w:p>
            <w:pPr>
              <w:jc w:val="center"/>
              <w:ind w:left="320"/>
              <w:spacing w:after="0"/>
              <w:rPr>
                <w:sz w:val="20"/>
                <w:szCs w:val="20"/>
                <w:color w:val="auto"/>
              </w:rPr>
            </w:pPr>
            <w:r>
              <w:rPr>
                <w:rFonts w:ascii="Arial" w:cs="Arial" w:eastAsia="Arial" w:hAnsi="Arial"/>
                <w:sz w:val="14"/>
                <w:szCs w:val="14"/>
                <w:b w:val="1"/>
                <w:bCs w:val="1"/>
                <w:color w:val="auto"/>
                <w:w w:val="89"/>
              </w:rPr>
              <w:t>Total</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 Active</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Observable</w:t>
            </w:r>
          </w:p>
        </w:tc>
        <w:tc>
          <w:tcPr>
            <w:tcW w:w="200" w:type="dxa"/>
            <w:vAlign w:val="bottom"/>
          </w:tcPr>
          <w:p>
            <w:pPr>
              <w:spacing w:after="0"/>
              <w:rPr>
                <w:sz w:val="14"/>
                <w:szCs w:val="14"/>
                <w:color w:val="auto"/>
              </w:rPr>
            </w:pPr>
          </w:p>
        </w:tc>
        <w:tc>
          <w:tcPr>
            <w:tcW w:w="1240" w:type="dxa"/>
            <w:vAlign w:val="bottom"/>
          </w:tcPr>
          <w:p>
            <w:pPr>
              <w:jc w:val="center"/>
              <w:ind w:right="119"/>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020" w:type="dxa"/>
            <w:vAlign w:val="bottom"/>
          </w:tcPr>
          <w:p>
            <w:pPr>
              <w:jc w:val="center"/>
              <w:ind w:left="320"/>
              <w:spacing w:after="0"/>
              <w:rPr>
                <w:sz w:val="20"/>
                <w:szCs w:val="20"/>
                <w:color w:val="auto"/>
              </w:rPr>
            </w:pPr>
            <w:r>
              <w:rPr>
                <w:rFonts w:ascii="Arial" w:cs="Arial" w:eastAsia="Arial" w:hAnsi="Arial"/>
                <w:sz w:val="14"/>
                <w:szCs w:val="14"/>
                <w:b w:val="1"/>
                <w:bCs w:val="1"/>
                <w:color w:val="auto"/>
              </w:rPr>
              <w:t>Carrying</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Markets</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4"/>
                <w:szCs w:val="14"/>
                <w:color w:val="auto"/>
              </w:rPr>
            </w:pPr>
          </w:p>
        </w:tc>
        <w:tc>
          <w:tcPr>
            <w:tcW w:w="1240" w:type="dxa"/>
            <w:vAlign w:val="bottom"/>
          </w:tcPr>
          <w:p>
            <w:pPr>
              <w:jc w:val="center"/>
              <w:ind w:right="119"/>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86"/>
        </w:trPr>
        <w:tc>
          <w:tcPr>
            <w:tcW w:w="5200" w:type="dxa"/>
            <w:vAlign w:val="bottom"/>
          </w:tcPr>
          <w:p>
            <w:pPr>
              <w:spacing w:after="0"/>
              <w:rPr>
                <w:sz w:val="16"/>
                <w:szCs w:val="16"/>
                <w:color w:val="auto"/>
              </w:rPr>
            </w:pPr>
          </w:p>
        </w:tc>
        <w:tc>
          <w:tcPr>
            <w:tcW w:w="1020" w:type="dxa"/>
            <w:vAlign w:val="bottom"/>
          </w:tcPr>
          <w:p>
            <w:pPr>
              <w:jc w:val="center"/>
              <w:ind w:left="320"/>
              <w:spacing w:after="0"/>
              <w:rPr>
                <w:sz w:val="20"/>
                <w:szCs w:val="20"/>
                <w:color w:val="auto"/>
              </w:rPr>
            </w:pPr>
            <w:r>
              <w:rPr>
                <w:rFonts w:ascii="Arial" w:cs="Arial" w:eastAsia="Arial" w:hAnsi="Arial"/>
                <w:sz w:val="14"/>
                <w:szCs w:val="14"/>
                <w:b w:val="1"/>
                <w:bCs w:val="1"/>
                <w:color w:val="auto"/>
                <w:w w:val="90"/>
              </w:rPr>
              <w:t>Value</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(Level 1)</w:t>
            </w:r>
          </w:p>
        </w:tc>
        <w:tc>
          <w:tcPr>
            <w:tcW w:w="2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6"/>
                <w:szCs w:val="16"/>
                <w:color w:val="auto"/>
              </w:rPr>
            </w:pPr>
          </w:p>
        </w:tc>
        <w:tc>
          <w:tcPr>
            <w:tcW w:w="1240" w:type="dxa"/>
            <w:vAlign w:val="bottom"/>
          </w:tcPr>
          <w:p>
            <w:pPr>
              <w:jc w:val="center"/>
              <w:ind w:right="13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
        </w:trPr>
        <w:tc>
          <w:tcPr>
            <w:tcW w:w="52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0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Cash and cash equivalents—money market funds</w:t>
            </w:r>
          </w:p>
        </w:tc>
        <w:tc>
          <w:tcPr>
            <w:tcW w:w="1020" w:type="dxa"/>
            <w:vAlign w:val="bottom"/>
          </w:tcPr>
          <w:p>
            <w:pPr>
              <w:jc w:val="right"/>
              <w:ind w:right="84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1"/>
              </w:rPr>
              <w:t>19.6</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Embedded derivative</w:t>
            </w:r>
          </w:p>
        </w:tc>
        <w:tc>
          <w:tcPr>
            <w:tcW w:w="10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p>
        </w:tc>
        <w:tc>
          <w:tcPr>
            <w:tcW w:w="1020" w:type="dxa"/>
            <w:vAlign w:val="bottom"/>
            <w:tcBorders>
              <w:top w:val="single" w:sz="8" w:color="auto"/>
            </w:tcBorders>
          </w:tcPr>
          <w:p>
            <w:pPr>
              <w:jc w:val="right"/>
              <w:ind w:right="840"/>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19.8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0.2</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3"/>
        </w:trPr>
        <w:tc>
          <w:tcPr>
            <w:tcW w:w="5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gridSpan w:val="5"/>
          </w:tcPr>
          <w:p>
            <w:pPr>
              <w:ind w:left="540"/>
              <w:spacing w:after="0"/>
              <w:rPr>
                <w:sz w:val="20"/>
                <w:szCs w:val="20"/>
                <w:color w:val="auto"/>
              </w:rPr>
            </w:pPr>
            <w:r>
              <w:rPr>
                <w:rFonts w:ascii="Arial" w:cs="Arial" w:eastAsia="Arial" w:hAnsi="Arial"/>
                <w:sz w:val="14"/>
                <w:szCs w:val="14"/>
                <w:b w:val="1"/>
                <w:bCs w:val="1"/>
                <w:color w:val="auto"/>
              </w:rPr>
              <w:t>As of December 31, 2020</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2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5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00"/>
              <w:spacing w:after="0" w:line="160" w:lineRule="exact"/>
              <w:rPr>
                <w:sz w:val="20"/>
                <w:szCs w:val="20"/>
                <w:color w:val="auto"/>
              </w:rPr>
            </w:pPr>
            <w:r>
              <w:rPr>
                <w:rFonts w:ascii="Arial" w:cs="Arial" w:eastAsia="Arial" w:hAnsi="Arial"/>
                <w:sz w:val="14"/>
                <w:szCs w:val="14"/>
                <w:b w:val="1"/>
                <w:bCs w:val="1"/>
                <w:color w:val="auto"/>
                <w:w w:val="92"/>
              </w:rPr>
              <w:t>Quoted Prices</w:t>
            </w:r>
          </w:p>
        </w:tc>
        <w:tc>
          <w:tcPr>
            <w:tcW w:w="240" w:type="dxa"/>
            <w:vAlign w:val="bottom"/>
          </w:tcPr>
          <w:p>
            <w:pPr>
              <w:spacing w:after="0"/>
              <w:rPr>
                <w:sz w:val="13"/>
                <w:szCs w:val="13"/>
                <w:color w:val="auto"/>
              </w:rPr>
            </w:pPr>
          </w:p>
        </w:tc>
        <w:tc>
          <w:tcPr>
            <w:tcW w:w="1300" w:type="dxa"/>
            <w:vAlign w:val="bottom"/>
            <w:gridSpan w:val="2"/>
          </w:tcPr>
          <w:p>
            <w:pPr>
              <w:jc w:val="center"/>
              <w:ind w:right="340"/>
              <w:spacing w:after="0" w:line="160"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3"/>
                <w:szCs w:val="13"/>
                <w:color w:val="auto"/>
              </w:rPr>
            </w:pPr>
          </w:p>
        </w:tc>
        <w:tc>
          <w:tcPr>
            <w:tcW w:w="1240" w:type="dxa"/>
            <w:vAlign w:val="bottom"/>
          </w:tcPr>
          <w:p>
            <w:pPr>
              <w:jc w:val="center"/>
              <w:ind w:right="139"/>
              <w:spacing w:after="0" w:line="160"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020" w:type="dxa"/>
            <w:vAlign w:val="bottom"/>
          </w:tcPr>
          <w:p>
            <w:pPr>
              <w:jc w:val="center"/>
              <w:ind w:left="320"/>
              <w:spacing w:after="0"/>
              <w:rPr>
                <w:sz w:val="20"/>
                <w:szCs w:val="20"/>
                <w:color w:val="auto"/>
              </w:rPr>
            </w:pPr>
            <w:r>
              <w:rPr>
                <w:rFonts w:ascii="Arial" w:cs="Arial" w:eastAsia="Arial" w:hAnsi="Arial"/>
                <w:sz w:val="14"/>
                <w:szCs w:val="14"/>
                <w:b w:val="1"/>
                <w:bCs w:val="1"/>
                <w:color w:val="auto"/>
                <w:w w:val="89"/>
              </w:rPr>
              <w:t>Total</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 Active</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Observable</w:t>
            </w:r>
          </w:p>
        </w:tc>
        <w:tc>
          <w:tcPr>
            <w:tcW w:w="200" w:type="dxa"/>
            <w:vAlign w:val="bottom"/>
          </w:tcPr>
          <w:p>
            <w:pPr>
              <w:spacing w:after="0"/>
              <w:rPr>
                <w:sz w:val="14"/>
                <w:szCs w:val="14"/>
                <w:color w:val="auto"/>
              </w:rPr>
            </w:pPr>
          </w:p>
        </w:tc>
        <w:tc>
          <w:tcPr>
            <w:tcW w:w="1240" w:type="dxa"/>
            <w:vAlign w:val="bottom"/>
          </w:tcPr>
          <w:p>
            <w:pPr>
              <w:jc w:val="center"/>
              <w:ind w:right="119"/>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020" w:type="dxa"/>
            <w:vAlign w:val="bottom"/>
          </w:tcPr>
          <w:p>
            <w:pPr>
              <w:jc w:val="center"/>
              <w:ind w:left="320"/>
              <w:spacing w:after="0"/>
              <w:rPr>
                <w:sz w:val="20"/>
                <w:szCs w:val="20"/>
                <w:color w:val="auto"/>
              </w:rPr>
            </w:pPr>
            <w:r>
              <w:rPr>
                <w:rFonts w:ascii="Arial" w:cs="Arial" w:eastAsia="Arial" w:hAnsi="Arial"/>
                <w:sz w:val="14"/>
                <w:szCs w:val="14"/>
                <w:b w:val="1"/>
                <w:bCs w:val="1"/>
                <w:color w:val="auto"/>
              </w:rPr>
              <w:t>Carrying</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Markets</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4"/>
                <w:szCs w:val="14"/>
                <w:color w:val="auto"/>
              </w:rPr>
            </w:pPr>
          </w:p>
        </w:tc>
        <w:tc>
          <w:tcPr>
            <w:tcW w:w="1240" w:type="dxa"/>
            <w:vAlign w:val="bottom"/>
          </w:tcPr>
          <w:p>
            <w:pPr>
              <w:jc w:val="center"/>
              <w:ind w:right="119"/>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86"/>
        </w:trPr>
        <w:tc>
          <w:tcPr>
            <w:tcW w:w="5200" w:type="dxa"/>
            <w:vAlign w:val="bottom"/>
          </w:tcPr>
          <w:p>
            <w:pPr>
              <w:spacing w:after="0"/>
              <w:rPr>
                <w:sz w:val="16"/>
                <w:szCs w:val="16"/>
                <w:color w:val="auto"/>
              </w:rPr>
            </w:pPr>
          </w:p>
        </w:tc>
        <w:tc>
          <w:tcPr>
            <w:tcW w:w="1020" w:type="dxa"/>
            <w:vAlign w:val="bottom"/>
          </w:tcPr>
          <w:p>
            <w:pPr>
              <w:jc w:val="center"/>
              <w:ind w:left="320"/>
              <w:spacing w:after="0"/>
              <w:rPr>
                <w:sz w:val="20"/>
                <w:szCs w:val="20"/>
                <w:color w:val="auto"/>
              </w:rPr>
            </w:pPr>
            <w:r>
              <w:rPr>
                <w:rFonts w:ascii="Arial" w:cs="Arial" w:eastAsia="Arial" w:hAnsi="Arial"/>
                <w:sz w:val="14"/>
                <w:szCs w:val="14"/>
                <w:b w:val="1"/>
                <w:bCs w:val="1"/>
                <w:color w:val="auto"/>
                <w:w w:val="90"/>
              </w:rPr>
              <w:t>Value</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(Level 1)</w:t>
            </w:r>
          </w:p>
        </w:tc>
        <w:tc>
          <w:tcPr>
            <w:tcW w:w="2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6"/>
                <w:szCs w:val="16"/>
                <w:color w:val="auto"/>
              </w:rPr>
            </w:pPr>
          </w:p>
        </w:tc>
        <w:tc>
          <w:tcPr>
            <w:tcW w:w="1240" w:type="dxa"/>
            <w:vAlign w:val="bottom"/>
          </w:tcPr>
          <w:p>
            <w:pPr>
              <w:jc w:val="center"/>
              <w:ind w:right="13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
        </w:trPr>
        <w:tc>
          <w:tcPr>
            <w:tcW w:w="52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0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Cash and cash equivalents—money market funds</w:t>
            </w:r>
          </w:p>
        </w:tc>
        <w:tc>
          <w:tcPr>
            <w:tcW w:w="1020" w:type="dxa"/>
            <w:vAlign w:val="bottom"/>
          </w:tcPr>
          <w:p>
            <w:pPr>
              <w:jc w:val="right"/>
              <w:ind w:right="84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1"/>
              </w:rPr>
              <w:t>19.7</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 of deposit</w:t>
            </w: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Embedded derivative</w:t>
            </w:r>
          </w:p>
        </w:tc>
        <w:tc>
          <w:tcPr>
            <w:tcW w:w="10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2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840"/>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21.8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0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w:t>
            </w:r>
          </w:p>
        </w:tc>
        <w:tc>
          <w:tcPr>
            <w:tcW w:w="1020" w:type="dxa"/>
            <w:vAlign w:val="bottom"/>
            <w:shd w:val="clear" w:color="auto" w:fill="CCEEFF"/>
          </w:tcPr>
          <w:p>
            <w:pPr>
              <w:jc w:val="right"/>
              <w:ind w:right="84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36.5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7"/>
        </w:trPr>
        <w:tc>
          <w:tcPr>
            <w:tcW w:w="5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F-16</w:t>
      </w:r>
    </w:p>
    <w:p>
      <w:pPr>
        <w:sectPr>
          <w:pgSz w:w="11900" w:h="16838" w:orient="portrait"/>
          <w:cols w:equalWidth="0" w:num="1">
            <w:col w:w="11240"/>
          </w:cols>
          <w:pgMar w:left="320" w:top="175" w:right="339" w:bottom="1440" w:gutter="0" w:footer="0" w:header="0"/>
          <w:type w:val="continuous"/>
        </w:sectPr>
      </w:pPr>
    </w:p>
    <w:bookmarkStart w:id="166" w:name="page167"/>
    <w:bookmarkEnd w:id="166"/>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5"/>
          </w:tcPr>
          <w:p>
            <w:pPr>
              <w:ind w:left="700"/>
              <w:spacing w:after="0"/>
              <w:rPr>
                <w:sz w:val="20"/>
                <w:szCs w:val="20"/>
                <w:color w:val="auto"/>
              </w:rPr>
            </w:pPr>
            <w:r>
              <w:rPr>
                <w:rFonts w:ascii="Arial" w:cs="Arial" w:eastAsia="Arial" w:hAnsi="Arial"/>
                <w:sz w:val="14"/>
                <w:szCs w:val="14"/>
                <w:b w:val="1"/>
                <w:bCs w:val="1"/>
                <w:color w:val="auto"/>
              </w:rPr>
              <w:t>As of June 30, 2021</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6"/>
        </w:trPr>
        <w:tc>
          <w:tcPr>
            <w:tcW w:w="52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60"/>
        </w:trPr>
        <w:tc>
          <w:tcPr>
            <w:tcW w:w="5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00"/>
              <w:spacing w:after="0" w:line="160" w:lineRule="exact"/>
              <w:rPr>
                <w:sz w:val="20"/>
                <w:szCs w:val="20"/>
                <w:color w:val="auto"/>
              </w:rPr>
            </w:pPr>
            <w:r>
              <w:rPr>
                <w:rFonts w:ascii="Arial" w:cs="Arial" w:eastAsia="Arial" w:hAnsi="Arial"/>
                <w:sz w:val="14"/>
                <w:szCs w:val="14"/>
                <w:b w:val="1"/>
                <w:bCs w:val="1"/>
                <w:color w:val="auto"/>
                <w:w w:val="92"/>
              </w:rPr>
              <w:t>Quoted Prices</w:t>
            </w:r>
          </w:p>
        </w:tc>
        <w:tc>
          <w:tcPr>
            <w:tcW w:w="340" w:type="dxa"/>
            <w:vAlign w:val="bottom"/>
          </w:tcPr>
          <w:p>
            <w:pPr>
              <w:spacing w:after="0"/>
              <w:rPr>
                <w:sz w:val="13"/>
                <w:szCs w:val="13"/>
                <w:color w:val="auto"/>
              </w:rPr>
            </w:pPr>
          </w:p>
        </w:tc>
        <w:tc>
          <w:tcPr>
            <w:tcW w:w="1200" w:type="dxa"/>
            <w:vAlign w:val="bottom"/>
            <w:gridSpan w:val="2"/>
          </w:tcPr>
          <w:p>
            <w:pPr>
              <w:jc w:val="center"/>
              <w:ind w:right="440"/>
              <w:spacing w:after="0" w:line="160"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3"/>
                <w:szCs w:val="13"/>
                <w:color w:val="auto"/>
              </w:rPr>
            </w:pPr>
          </w:p>
        </w:tc>
        <w:tc>
          <w:tcPr>
            <w:tcW w:w="1240" w:type="dxa"/>
            <w:vAlign w:val="bottom"/>
          </w:tcPr>
          <w:p>
            <w:pPr>
              <w:jc w:val="center"/>
              <w:ind w:right="139"/>
              <w:spacing w:after="0" w:line="160" w:lineRule="exact"/>
              <w:rPr>
                <w:sz w:val="20"/>
                <w:szCs w:val="20"/>
                <w:color w:val="auto"/>
              </w:rPr>
            </w:pPr>
            <w:r>
              <w:rPr>
                <w:rFonts w:ascii="Arial" w:cs="Arial" w:eastAsia="Arial" w:hAnsi="Arial"/>
                <w:sz w:val="14"/>
                <w:szCs w:val="14"/>
                <w:b w:val="1"/>
                <w:bCs w:val="1"/>
                <w:color w:val="auto"/>
                <w:w w:val="92"/>
              </w:rPr>
              <w:t>Significant</w:t>
            </w:r>
          </w:p>
        </w:tc>
      </w:tr>
      <w:tr>
        <w:trPr>
          <w:trHeight w:val="162"/>
        </w:trPr>
        <w:tc>
          <w:tcPr>
            <w:tcW w:w="5200" w:type="dxa"/>
            <w:vAlign w:val="bottom"/>
          </w:tcPr>
          <w:p>
            <w:pPr>
              <w:spacing w:after="0"/>
              <w:rPr>
                <w:sz w:val="14"/>
                <w:szCs w:val="14"/>
                <w:color w:val="auto"/>
              </w:rPr>
            </w:pPr>
          </w:p>
        </w:tc>
        <w:tc>
          <w:tcPr>
            <w:tcW w:w="1020" w:type="dxa"/>
            <w:vAlign w:val="bottom"/>
          </w:tcPr>
          <w:p>
            <w:pPr>
              <w:jc w:val="center"/>
              <w:ind w:left="319"/>
              <w:spacing w:after="0"/>
              <w:rPr>
                <w:sz w:val="20"/>
                <w:szCs w:val="20"/>
                <w:color w:val="auto"/>
              </w:rPr>
            </w:pPr>
            <w:r>
              <w:rPr>
                <w:rFonts w:ascii="Arial" w:cs="Arial" w:eastAsia="Arial" w:hAnsi="Arial"/>
                <w:sz w:val="14"/>
                <w:szCs w:val="14"/>
                <w:b w:val="1"/>
                <w:bCs w:val="1"/>
                <w:color w:val="auto"/>
                <w:w w:val="89"/>
              </w:rPr>
              <w:t>Total</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 Active</w:t>
            </w:r>
          </w:p>
        </w:tc>
        <w:tc>
          <w:tcPr>
            <w:tcW w:w="34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Observable</w:t>
            </w:r>
          </w:p>
        </w:tc>
        <w:tc>
          <w:tcPr>
            <w:tcW w:w="200" w:type="dxa"/>
            <w:vAlign w:val="bottom"/>
          </w:tcPr>
          <w:p>
            <w:pPr>
              <w:spacing w:after="0"/>
              <w:rPr>
                <w:sz w:val="14"/>
                <w:szCs w:val="14"/>
                <w:color w:val="auto"/>
              </w:rPr>
            </w:pPr>
          </w:p>
        </w:tc>
        <w:tc>
          <w:tcPr>
            <w:tcW w:w="1240" w:type="dxa"/>
            <w:vAlign w:val="bottom"/>
          </w:tcPr>
          <w:p>
            <w:pPr>
              <w:jc w:val="center"/>
              <w:ind w:right="119"/>
              <w:spacing w:after="0"/>
              <w:rPr>
                <w:sz w:val="20"/>
                <w:szCs w:val="20"/>
                <w:color w:val="auto"/>
              </w:rPr>
            </w:pPr>
            <w:r>
              <w:rPr>
                <w:rFonts w:ascii="Arial" w:cs="Arial" w:eastAsia="Arial" w:hAnsi="Arial"/>
                <w:sz w:val="14"/>
                <w:szCs w:val="14"/>
                <w:b w:val="1"/>
                <w:bCs w:val="1"/>
                <w:color w:val="auto"/>
                <w:w w:val="90"/>
              </w:rPr>
              <w:t>Unobservable</w:t>
            </w:r>
          </w:p>
        </w:tc>
      </w:tr>
      <w:tr>
        <w:trPr>
          <w:trHeight w:val="162"/>
        </w:trPr>
        <w:tc>
          <w:tcPr>
            <w:tcW w:w="5200" w:type="dxa"/>
            <w:vAlign w:val="bottom"/>
          </w:tcPr>
          <w:p>
            <w:pPr>
              <w:spacing w:after="0"/>
              <w:rPr>
                <w:sz w:val="14"/>
                <w:szCs w:val="14"/>
                <w:color w:val="auto"/>
              </w:rPr>
            </w:pPr>
          </w:p>
        </w:tc>
        <w:tc>
          <w:tcPr>
            <w:tcW w:w="1020" w:type="dxa"/>
            <w:vAlign w:val="bottom"/>
          </w:tcPr>
          <w:p>
            <w:pPr>
              <w:jc w:val="center"/>
              <w:ind w:left="319"/>
              <w:spacing w:after="0"/>
              <w:rPr>
                <w:sz w:val="20"/>
                <w:szCs w:val="20"/>
                <w:color w:val="auto"/>
              </w:rPr>
            </w:pPr>
            <w:r>
              <w:rPr>
                <w:rFonts w:ascii="Arial" w:cs="Arial" w:eastAsia="Arial" w:hAnsi="Arial"/>
                <w:sz w:val="14"/>
                <w:szCs w:val="14"/>
                <w:b w:val="1"/>
                <w:bCs w:val="1"/>
                <w:color w:val="auto"/>
              </w:rPr>
              <w:t>Carrying</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Markets</w:t>
            </w:r>
          </w:p>
        </w:tc>
        <w:tc>
          <w:tcPr>
            <w:tcW w:w="34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4"/>
                <w:szCs w:val="14"/>
                <w:color w:val="auto"/>
              </w:rPr>
            </w:pPr>
          </w:p>
        </w:tc>
        <w:tc>
          <w:tcPr>
            <w:tcW w:w="1240" w:type="dxa"/>
            <w:vAlign w:val="bottom"/>
          </w:tcPr>
          <w:p>
            <w:pPr>
              <w:jc w:val="center"/>
              <w:ind w:right="119"/>
              <w:spacing w:after="0"/>
              <w:rPr>
                <w:sz w:val="20"/>
                <w:szCs w:val="20"/>
                <w:color w:val="auto"/>
              </w:rPr>
            </w:pPr>
            <w:r>
              <w:rPr>
                <w:rFonts w:ascii="Arial" w:cs="Arial" w:eastAsia="Arial" w:hAnsi="Arial"/>
                <w:sz w:val="14"/>
                <w:szCs w:val="14"/>
                <w:b w:val="1"/>
                <w:bCs w:val="1"/>
                <w:color w:val="auto"/>
                <w:w w:val="95"/>
              </w:rPr>
              <w:t>Inputs</w:t>
            </w:r>
          </w:p>
        </w:tc>
      </w:tr>
      <w:tr>
        <w:trPr>
          <w:trHeight w:val="186"/>
        </w:trPr>
        <w:tc>
          <w:tcPr>
            <w:tcW w:w="5200" w:type="dxa"/>
            <w:vAlign w:val="bottom"/>
          </w:tcPr>
          <w:p>
            <w:pPr>
              <w:spacing w:after="0"/>
              <w:rPr>
                <w:sz w:val="16"/>
                <w:szCs w:val="16"/>
                <w:color w:val="auto"/>
              </w:rPr>
            </w:pPr>
          </w:p>
        </w:tc>
        <w:tc>
          <w:tcPr>
            <w:tcW w:w="1020" w:type="dxa"/>
            <w:vAlign w:val="bottom"/>
          </w:tcPr>
          <w:p>
            <w:pPr>
              <w:jc w:val="center"/>
              <w:ind w:left="319"/>
              <w:spacing w:after="0"/>
              <w:rPr>
                <w:sz w:val="20"/>
                <w:szCs w:val="20"/>
                <w:color w:val="auto"/>
              </w:rPr>
            </w:pPr>
            <w:r>
              <w:rPr>
                <w:rFonts w:ascii="Arial" w:cs="Arial" w:eastAsia="Arial" w:hAnsi="Arial"/>
                <w:sz w:val="14"/>
                <w:szCs w:val="14"/>
                <w:b w:val="1"/>
                <w:bCs w:val="1"/>
                <w:color w:val="auto"/>
                <w:w w:val="90"/>
              </w:rPr>
              <w:t>Value</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(Level 1)</w:t>
            </w:r>
          </w:p>
        </w:tc>
        <w:tc>
          <w:tcPr>
            <w:tcW w:w="340" w:type="dxa"/>
            <w:vAlign w:val="bottom"/>
          </w:tcPr>
          <w:p>
            <w:pPr>
              <w:spacing w:after="0"/>
              <w:rPr>
                <w:sz w:val="16"/>
                <w:szCs w:val="16"/>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6"/>
                <w:szCs w:val="16"/>
                <w:color w:val="auto"/>
              </w:rPr>
            </w:pPr>
          </w:p>
        </w:tc>
        <w:tc>
          <w:tcPr>
            <w:tcW w:w="1240" w:type="dxa"/>
            <w:vAlign w:val="bottom"/>
          </w:tcPr>
          <w:p>
            <w:pPr>
              <w:jc w:val="center"/>
              <w:ind w:right="139"/>
              <w:spacing w:after="0"/>
              <w:rPr>
                <w:sz w:val="20"/>
                <w:szCs w:val="20"/>
                <w:color w:val="auto"/>
              </w:rPr>
            </w:pPr>
            <w:r>
              <w:rPr>
                <w:rFonts w:ascii="Arial" w:cs="Arial" w:eastAsia="Arial" w:hAnsi="Arial"/>
                <w:sz w:val="14"/>
                <w:szCs w:val="14"/>
                <w:b w:val="1"/>
                <w:bCs w:val="1"/>
                <w:color w:val="auto"/>
                <w:w w:val="94"/>
              </w:rPr>
              <w:t>(Level 3)</w:t>
            </w:r>
          </w:p>
        </w:tc>
      </w:tr>
      <w:tr>
        <w:trPr>
          <w:trHeight w:val="26"/>
        </w:trPr>
        <w:tc>
          <w:tcPr>
            <w:tcW w:w="52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4"/>
        </w:trPr>
        <w:tc>
          <w:tcPr>
            <w:tcW w:w="5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6"/>
        </w:trPr>
        <w:tc>
          <w:tcPr>
            <w:tcW w:w="5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Cash and cash equivalents—money market funds</w:t>
            </w:r>
          </w:p>
        </w:tc>
        <w:tc>
          <w:tcPr>
            <w:tcW w:w="1020" w:type="dxa"/>
            <w:vAlign w:val="bottom"/>
          </w:tcPr>
          <w:p>
            <w:pPr>
              <w:jc w:val="right"/>
              <w:ind w:right="839"/>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1"/>
              </w:rPr>
              <w:t>39.1</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 of deposit</w:t>
            </w:r>
          </w:p>
        </w:tc>
        <w:tc>
          <w:tcPr>
            <w:tcW w:w="10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200" w:type="dxa"/>
            <w:vAlign w:val="bottom"/>
          </w:tcPr>
          <w:p>
            <w:pPr>
              <w:spacing w:after="0"/>
              <w:rPr>
                <w:sz w:val="20"/>
                <w:szCs w:val="20"/>
                <w:color w:val="auto"/>
              </w:rPr>
            </w:pPr>
          </w:p>
        </w:tc>
        <w:tc>
          <w:tcPr>
            <w:tcW w:w="1020" w:type="dxa"/>
            <w:vAlign w:val="bottom"/>
            <w:tcBorders>
              <w:top w:val="single" w:sz="8" w:color="auto"/>
            </w:tcBorders>
          </w:tcPr>
          <w:p>
            <w:pPr>
              <w:jc w:val="right"/>
              <w:ind w:right="839"/>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41.1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52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7"/>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0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1020" w:type="dxa"/>
            <w:vAlign w:val="bottom"/>
          </w:tcPr>
          <w:p>
            <w:pPr>
              <w:jc w:val="right"/>
              <w:ind w:right="839"/>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1"/>
              </w:rPr>
              <w:t>44.2</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44.2</w:t>
            </w:r>
          </w:p>
        </w:tc>
      </w:tr>
    </w:tbl>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recognizes transfers among Level 1, Level 2 and Level 3 classifications as of the actual date of the events or change in circumstances that caused the transfers. During the years ended December 31, 2019 and 2020 and the six months ended June 30, 2021 (unaudited), the Company had no transfers of financial assets or liabilities between Level 1 and Level 2 or between Level 2 and Level 3 of the fair value hierarchy.</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fair value of Level 3 assets and liabilities are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354"/>
              <w:spacing w:after="0"/>
              <w:rPr>
                <w:sz w:val="20"/>
                <w:szCs w:val="20"/>
                <w:color w:val="auto"/>
              </w:rPr>
            </w:pPr>
            <w:r>
              <w:rPr>
                <w:rFonts w:ascii="Arial" w:cs="Arial" w:eastAsia="Arial" w:hAnsi="Arial"/>
                <w:sz w:val="14"/>
                <w:szCs w:val="14"/>
                <w:b w:val="1"/>
                <w:bCs w:val="1"/>
                <w:color w:val="auto"/>
              </w:rPr>
              <w:t>Contingent</w:t>
            </w:r>
          </w:p>
        </w:tc>
      </w:tr>
      <w:tr>
        <w:trPr>
          <w:trHeight w:val="186"/>
        </w:trPr>
        <w:tc>
          <w:tcPr>
            <w:tcW w:w="8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spacing w:after="0"/>
              <w:rPr>
                <w:sz w:val="20"/>
                <w:szCs w:val="20"/>
                <w:color w:val="auto"/>
              </w:rPr>
            </w:pPr>
            <w:r>
              <w:rPr>
                <w:rFonts w:ascii="Arial" w:cs="Arial" w:eastAsia="Arial" w:hAnsi="Arial"/>
                <w:sz w:val="14"/>
                <w:szCs w:val="14"/>
                <w:b w:val="1"/>
                <w:bCs w:val="1"/>
                <w:color w:val="auto"/>
              </w:rPr>
              <w:t>Embedded Derivative</w:t>
            </w:r>
          </w:p>
        </w:tc>
        <w:tc>
          <w:tcPr>
            <w:tcW w:w="220" w:type="dxa"/>
            <w:vAlign w:val="bottom"/>
          </w:tcPr>
          <w:p>
            <w:pPr>
              <w:spacing w:after="0"/>
              <w:rPr>
                <w:sz w:val="16"/>
                <w:szCs w:val="16"/>
                <w:color w:val="auto"/>
              </w:rPr>
            </w:pPr>
          </w:p>
        </w:tc>
        <w:tc>
          <w:tcPr>
            <w:tcW w:w="1340" w:type="dxa"/>
            <w:vAlign w:val="bottom"/>
          </w:tcPr>
          <w:p>
            <w:pPr>
              <w:jc w:val="right"/>
              <w:ind w:right="254"/>
              <w:spacing w:after="0"/>
              <w:rPr>
                <w:sz w:val="20"/>
                <w:szCs w:val="20"/>
                <w:color w:val="auto"/>
              </w:rPr>
            </w:pPr>
            <w:r>
              <w:rPr>
                <w:rFonts w:ascii="Arial" w:cs="Arial" w:eastAsia="Arial" w:hAnsi="Arial"/>
                <w:sz w:val="14"/>
                <w:szCs w:val="14"/>
                <w:b w:val="1"/>
                <w:bCs w:val="1"/>
                <w:color w:val="auto"/>
              </w:rPr>
              <w:t>Consideration</w:t>
            </w:r>
          </w:p>
        </w:tc>
      </w:tr>
      <w:tr>
        <w:trPr>
          <w:trHeight w:val="26"/>
        </w:trPr>
        <w:tc>
          <w:tcPr>
            <w:tcW w:w="80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1, 2019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fair value, recognized in earnings</w:t>
            </w:r>
          </w:p>
        </w:tc>
        <w:tc>
          <w:tcPr>
            <w:tcW w:w="10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Additions</w:t>
            </w:r>
          </w:p>
        </w:tc>
        <w:tc>
          <w:tcPr>
            <w:tcW w:w="10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37.3</w:t>
            </w:r>
          </w:p>
        </w:tc>
      </w:tr>
      <w:tr>
        <w:trPr>
          <w:trHeight w:val="27"/>
        </w:trPr>
        <w:tc>
          <w:tcPr>
            <w:tcW w:w="8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 recognized in earnings</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37"/>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36.5</w:t>
            </w:r>
          </w:p>
        </w:tc>
      </w:tr>
      <w:tr>
        <w:trPr>
          <w:trHeight w:val="27"/>
        </w:trPr>
        <w:tc>
          <w:tcPr>
            <w:tcW w:w="8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 recognized in earnings (unaudited)</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6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Balance as of June 30, 2021 (unaudited)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44.2</w:t>
            </w:r>
          </w:p>
        </w:tc>
      </w:tr>
      <w:tr>
        <w:trPr>
          <w:trHeight w:val="20"/>
        </w:trPr>
        <w:tc>
          <w:tcPr>
            <w:tcW w:w="8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change in fair value of the embedded derivative is recorded in other gains (losses), net within the consolidated statements of operations and comprehensive income (loss). The determination of the fair value of the Level 3 embedded derivative is discussed in Note 7 – Debt.</w:t>
      </w:r>
    </w:p>
    <w:p>
      <w:pPr>
        <w:spacing w:after="0" w:line="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Contingent consideration liabilities related to acquisitions are measured at fair value each reporting period using Level 3 unobservable inputs. The contingent consideration liability at December 31, 2020 and June 30, 2021 (unaudited) is the estimated fair value of the earnout payments for the Fundera, Inc. (“Fundera”) and Know Your Money (“KYM”) business combinations. See Note 5 – Business Combinations for additional information on the contingent consideration for each of the acquisitions.</w:t>
      </w:r>
    </w:p>
    <w:p>
      <w:pPr>
        <w:spacing w:after="0" w:line="13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fair values of the estimated contingent considerations are determined based on the Company’s evaluation of the probability and amount of earnout that will be achieved based on expected future performance by the acquired entity. The Monte Carlo simulation models simulated the applicable figures over the earnout periods to calculate the estimated earnout payments. These payments were then discounted to present value based on the expected payment dates of the contingent considerations. The weighted average volatilities fell within the range of 7.4% to 17.6% during the year ended December 31, 2020, and the weighted average discount rate was estimated to be approximately 1.2%, at December 31, 2020. The weighted average volatility was 37.9% and the weighted average discount rate was estimated to be approximately 7.9% at June 30, 2021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F-17</w:t>
      </w:r>
    </w:p>
    <w:p>
      <w:pPr>
        <w:sectPr>
          <w:pgSz w:w="11900" w:h="16838" w:orient="portrait"/>
          <w:cols w:equalWidth="0" w:num="1">
            <w:col w:w="11240"/>
          </w:cols>
          <w:pgMar w:left="320" w:top="175" w:right="339" w:bottom="1440" w:gutter="0" w:footer="0" w:header="0"/>
        </w:sectPr>
      </w:pPr>
    </w:p>
    <w:bookmarkStart w:id="167" w:name="page168"/>
    <w:bookmarkEnd w:id="167"/>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hanging="652"/>
        <w:spacing w:after="0"/>
        <w:tabs>
          <w:tab w:leader="none" w:pos="6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CONSOLIDATED BALANCE SHEETS COMPONENTS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Prepaid expenses and other current assets consisted of the following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56"/>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26"/>
        </w:trPr>
        <w:tc>
          <w:tcPr>
            <w:tcW w:w="67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84"/>
        </w:trPr>
        <w:tc>
          <w:tcPr>
            <w:tcW w:w="67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7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56"/>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6"/>
        </w:trPr>
        <w:tc>
          <w:tcPr>
            <w:tcW w:w="6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0"/>
        </w:trPr>
        <w:tc>
          <w:tcPr>
            <w:tcW w:w="6720" w:type="dxa"/>
            <w:vAlign w:val="bottom"/>
          </w:tcPr>
          <w:p>
            <w:pPr>
              <w:ind w:left="20"/>
              <w:spacing w:after="0"/>
              <w:rPr>
                <w:sz w:val="20"/>
                <w:szCs w:val="20"/>
                <w:color w:val="auto"/>
              </w:rPr>
            </w:pPr>
            <w:r>
              <w:rPr>
                <w:rFonts w:ascii="Arial" w:cs="Arial" w:eastAsia="Arial" w:hAnsi="Arial"/>
                <w:sz w:val="18"/>
                <w:szCs w:val="18"/>
                <w:color w:val="auto"/>
              </w:rPr>
              <w:t>Certificate of deposit</w:t>
            </w:r>
          </w:p>
        </w:tc>
        <w:tc>
          <w:tcPr>
            <w:tcW w:w="920" w:type="dxa"/>
            <w:vAlign w:val="bottom"/>
          </w:tcPr>
          <w:p>
            <w:pPr>
              <w:spacing w:after="0"/>
              <w:rPr>
                <w:sz w:val="23"/>
                <w:szCs w:val="2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Tax receivable</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9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63"/>
        </w:trPr>
        <w:tc>
          <w:tcPr>
            <w:tcW w:w="6720" w:type="dxa"/>
            <w:vAlign w:val="bottom"/>
          </w:tcPr>
          <w:p>
            <w:pPr>
              <w:ind w:left="20"/>
              <w:spacing w:after="0"/>
              <w:rPr>
                <w:sz w:val="20"/>
                <w:szCs w:val="20"/>
                <w:color w:val="auto"/>
              </w:rPr>
            </w:pPr>
            <w:r>
              <w:rPr>
                <w:rFonts w:ascii="Arial" w:cs="Arial" w:eastAsia="Arial" w:hAnsi="Arial"/>
                <w:sz w:val="18"/>
                <w:szCs w:val="18"/>
                <w:color w:val="auto"/>
              </w:rPr>
              <w:t>Total prepaid expenses and other current assets</w:t>
            </w:r>
          </w:p>
        </w:tc>
        <w:tc>
          <w:tcPr>
            <w:tcW w:w="92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
        </w:trPr>
        <w:tc>
          <w:tcPr>
            <w:tcW w:w="6720" w:type="dxa"/>
            <w:vAlign w:val="bottom"/>
            <w:vMerge w:val="restart"/>
          </w:tcPr>
          <w:p>
            <w:pPr>
              <w:ind w:left="340"/>
              <w:spacing w:after="0"/>
              <w:rPr>
                <w:sz w:val="20"/>
                <w:szCs w:val="20"/>
                <w:color w:val="auto"/>
              </w:rPr>
            </w:pPr>
            <w:r>
              <w:rPr>
                <w:rFonts w:ascii="Arial" w:cs="Arial" w:eastAsia="Arial" w:hAnsi="Arial"/>
                <w:sz w:val="18"/>
                <w:szCs w:val="18"/>
                <w:color w:val="auto"/>
              </w:rPr>
              <w:t>Property, equipment, and software, net consisted of the following (in millions):</w:t>
            </w: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67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6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center"/>
              <w:ind w:right="156"/>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26"/>
        </w:trPr>
        <w:tc>
          <w:tcPr>
            <w:tcW w:w="67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84"/>
        </w:trPr>
        <w:tc>
          <w:tcPr>
            <w:tcW w:w="67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7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56"/>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6"/>
        </w:trPr>
        <w:tc>
          <w:tcPr>
            <w:tcW w:w="6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Office equipment</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equipment and software</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equipment, and software—net</w:t>
            </w: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Depreciation and amortization expense, inclusive of amortization of capitalized software development costs and intangible assets, for the years ended December 31, 2019 and 2020 and six months ended June 30, 2021 (unaudited) was $9.4 million, $15.1 million and $12.8 million, respectively.</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and other current liabilities consisted of the following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center"/>
              <w:ind w:right="175"/>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25"/>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vMerge w:val="restart"/>
          </w:tcPr>
          <w:p>
            <w:pPr>
              <w:jc w:val="center"/>
              <w:ind w:right="175"/>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84"/>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center"/>
              <w:ind w:right="175"/>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5"/>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Unbilled accounts payable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payroll related taxes</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 retirement obligation</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Other accrued expenses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accrued and other current liabilities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six months ended June 30, 2021, the Company recorded a $1.2 million (unaudited) asset retirement obligation, with an offsetting related asset retirement cost in Property, equipment, and software – net, which relates to leased office space and is expected to be settled prior to December 31, 2021.</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F-18</w:t>
      </w:r>
    </w:p>
    <w:p>
      <w:pPr>
        <w:sectPr>
          <w:pgSz w:w="11900" w:h="16838" w:orient="portrait"/>
          <w:cols w:equalWidth="0" w:num="1">
            <w:col w:w="11240"/>
          </w:cols>
          <w:pgMar w:left="320" w:top="175" w:right="339" w:bottom="1440" w:gutter="0" w:footer="0" w:header="0"/>
          <w:type w:val="continuous"/>
        </w:sectPr>
      </w:pPr>
    </w:p>
    <w:bookmarkStart w:id="168" w:name="page169"/>
    <w:bookmarkEnd w:id="168"/>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liabilities—noncurrent consisted of the following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58"/>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26"/>
        </w:trPr>
        <w:tc>
          <w:tcPr>
            <w:tcW w:w="67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84"/>
        </w:trPr>
        <w:tc>
          <w:tcPr>
            <w:tcW w:w="6720" w:type="dxa"/>
            <w:vAlign w:val="bottom"/>
          </w:tcPr>
          <w:p>
            <w:pPr>
              <w:spacing w:after="0"/>
              <w:rPr>
                <w:sz w:val="16"/>
                <w:szCs w:val="16"/>
                <w:color w:val="auto"/>
              </w:rPr>
            </w:pPr>
          </w:p>
        </w:tc>
        <w:tc>
          <w:tcPr>
            <w:tcW w:w="960" w:type="dxa"/>
            <w:vAlign w:val="bottom"/>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7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6"/>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Accrued payroll related taxes</w:t>
            </w:r>
          </w:p>
        </w:tc>
        <w:tc>
          <w:tcPr>
            <w:tcW w:w="9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 liability</w:t>
            </w:r>
          </w:p>
        </w:tc>
        <w:tc>
          <w:tcPr>
            <w:tcW w:w="9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63"/>
        </w:trPr>
        <w:tc>
          <w:tcPr>
            <w:tcW w:w="6720" w:type="dxa"/>
            <w:vAlign w:val="bottom"/>
          </w:tcPr>
          <w:p>
            <w:pPr>
              <w:ind w:left="20"/>
              <w:spacing w:after="0"/>
              <w:rPr>
                <w:sz w:val="20"/>
                <w:szCs w:val="20"/>
                <w:color w:val="auto"/>
              </w:rPr>
            </w:pPr>
            <w:r>
              <w:rPr>
                <w:rFonts w:ascii="Arial" w:cs="Arial" w:eastAsia="Arial" w:hAnsi="Arial"/>
                <w:sz w:val="18"/>
                <w:szCs w:val="18"/>
                <w:color w:val="auto"/>
              </w:rPr>
              <w:t>Total other liabilities—noncurrent</w:t>
            </w: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
        </w:trPr>
        <w:tc>
          <w:tcPr>
            <w:tcW w:w="6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60" w:hanging="652"/>
        <w:spacing w:after="0"/>
        <w:tabs>
          <w:tab w:leader="none" w:pos="6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Fundera</w:t>
      </w:r>
      <w:r>
        <w:rPr>
          <w:rFonts w:ascii="Arial" w:cs="Arial" w:eastAsia="Arial" w:hAnsi="Arial"/>
          <w:sz w:val="18"/>
          <w:szCs w:val="18"/>
          <w:color w:val="auto"/>
        </w:rPr>
        <w:t>—In October 2020, the Company executed a merger agreement to acquire all outstanding shares of Fundera. Fundera is a company that</w:t>
      </w:r>
      <w:r>
        <w:rPr>
          <w:rFonts w:ascii="Arial" w:cs="Arial" w:eastAsia="Arial" w:hAnsi="Arial"/>
          <w:sz w:val="18"/>
          <w:szCs w:val="18"/>
          <w:b w:val="1"/>
          <w:bCs w:val="1"/>
          <w:color w:val="auto"/>
        </w:rPr>
        <w:t xml:space="preserve"> </w:t>
      </w:r>
      <w:r>
        <w:rPr>
          <w:rFonts w:ascii="Arial" w:cs="Arial" w:eastAsia="Arial" w:hAnsi="Arial"/>
          <w:sz w:val="18"/>
          <w:szCs w:val="18"/>
          <w:color w:val="auto"/>
        </w:rPr>
        <w:t>provides an application that connects small businesses to lenders and covers everything from loans to legal services, free financial content and one-on-one access to experienced lending. Fundera was founded in 2013 and is headquartered in New York, NY. The acquisition date aggregate purchase price was approximately $65.1 million, which consisted of the following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375"/>
              <w:spacing w:after="0"/>
              <w:rPr>
                <w:sz w:val="20"/>
                <w:szCs w:val="20"/>
                <w:color w:val="auto"/>
              </w:rPr>
            </w:pPr>
            <w:r>
              <w:rPr>
                <w:rFonts w:ascii="Arial" w:cs="Arial" w:eastAsia="Arial" w:hAnsi="Arial"/>
                <w:sz w:val="14"/>
                <w:szCs w:val="14"/>
                <w:b w:val="1"/>
                <w:bCs w:val="1"/>
                <w:color w:val="auto"/>
              </w:rPr>
              <w:t>Fair Value</w:t>
            </w:r>
          </w:p>
        </w:tc>
      </w:tr>
      <w:tr>
        <w:trPr>
          <w:trHeight w:val="26"/>
        </w:trPr>
        <w:tc>
          <w:tcPr>
            <w:tcW w:w="9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Fair value of contingent consideration</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35.9</w:t>
            </w:r>
          </w:p>
        </w:tc>
      </w:tr>
      <w:tr>
        <w:trPr>
          <w:trHeight w:val="27"/>
        </w:trPr>
        <w:tc>
          <w:tcPr>
            <w:tcW w:w="9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price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total closing consideration for the Fundera acquisition was $29.2 million in cash, of which $4.6 million in cash was held in escrow for the settlement of general representation and warranty provisions. Further the Company could make up to two additional earnout payments based on achievement of Fundera’s future revenue and profitability milestones for the years ended December 31, 2021 and 2022. These additional payments, to the extent earned, will be payable in cash. The fair value of earnouts, which are subject to the recipients continued employment services was $2.7 million and was excluded from the aggregate purchase price and accounted for separately from the business combination. The amounts will be recognized as compensation expense as earned over the next 12 to 24 months.</w:t>
      </w:r>
    </w:p>
    <w:p>
      <w:pPr>
        <w:spacing w:after="0" w:line="13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As of December 31, 2020, the estimated fair value of the contingent consideration was $35.2 million, which is included in contingent consideration in the accompanying consolidated balance sheet. The estimated fair value of the contingent consideration is determined using a Monte Carlo simulation model. The estimated value of the contingent consideration is based upon available information and certain assumptions, known at the time the estimate was made, which management believes are reasonable. Contingent consideration is subject to remeasurement at each reporting date until the payments are made, with the remeasurement adjustment reported in the Company’s consolidated statements of operations and comprehensive income (loss).</w:t>
      </w:r>
    </w:p>
    <w:p>
      <w:pPr>
        <w:spacing w:after="0" w:line="10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Certain stock options held by Fundera employees were replaced with restricted stock units (“RSUs”) by the Company with a total fair value of $1.9 million. The vesting of these RSUs is contingent on continued employment, and was excluded from the aggregate purchase price. These awards will be recognized as stock-based compensation expense ratably over the remaining vesting term of less than 1 to 4 years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F-19</w:t>
      </w:r>
    </w:p>
    <w:p>
      <w:pPr>
        <w:sectPr>
          <w:pgSz w:w="11900" w:h="16838" w:orient="portrait"/>
          <w:cols w:equalWidth="0" w:num="1">
            <w:col w:w="11240"/>
          </w:cols>
          <w:pgMar w:left="320" w:top="175" w:right="339" w:bottom="1440" w:gutter="0" w:footer="0" w:header="0"/>
        </w:sectPr>
      </w:pPr>
    </w:p>
    <w:bookmarkStart w:id="169" w:name="page170"/>
    <w:bookmarkEnd w:id="169"/>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acquisition has been accounted for as a business combination. The preliminary opening balance sheet is subject to adjustment based on final assessment of the fair values of certain acquired assets and liabilities, primarily intangible assets and income taxes. As the Company finalizes its assessment of the fair value of assets acquired and liabilities assumed, additional purchase price adjustments may be recorded during the measurement period. The Company reflects measurement period adjustments, if any, in the period in which the adjustments occur. The allocation of purchase price to the assets acquired and liabilities assumed is as follows (in millions):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tangible assets</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Fixed assets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Intangible assets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Deferred tax liability</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purchase price</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448"/>
        <w:spacing w:after="0"/>
        <w:rPr>
          <w:sz w:val="20"/>
          <w:szCs w:val="20"/>
          <w:color w:val="auto"/>
        </w:rPr>
      </w:pPr>
      <w:r>
        <w:rPr>
          <w:rFonts w:ascii="Arial" w:cs="Arial" w:eastAsia="Arial" w:hAnsi="Arial"/>
          <w:sz w:val="14"/>
          <w:szCs w:val="14"/>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-6148705</wp:posOffset>
            </wp:positionH>
            <wp:positionV relativeFrom="paragraph">
              <wp:posOffset>32385</wp:posOffset>
            </wp:positionV>
            <wp:extent cx="7132320" cy="1797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1248" w:hanging="1248"/>
        <w:spacing w:after="0"/>
        <w:tabs>
          <w:tab w:leader="none" w:pos="124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1.0</w:t>
      </w:r>
    </w:p>
    <w:p>
      <w:pPr>
        <w:spacing w:after="0" w:line="63" w:lineRule="exact"/>
        <w:rPr>
          <w:rFonts w:ascii="Arial" w:cs="Arial" w:eastAsia="Arial" w:hAnsi="Arial"/>
          <w:sz w:val="18"/>
          <w:szCs w:val="18"/>
          <w:color w:val="auto"/>
        </w:rPr>
      </w:pPr>
    </w:p>
    <w:p>
      <w:pPr>
        <w:ind w:left="1248"/>
        <w:spacing w:after="0"/>
        <w:rPr>
          <w:rFonts w:ascii="Arial" w:cs="Arial" w:eastAsia="Arial" w:hAnsi="Arial"/>
          <w:sz w:val="18"/>
          <w:szCs w:val="18"/>
          <w:color w:val="auto"/>
        </w:rPr>
      </w:pPr>
      <w:r>
        <w:rPr>
          <w:rFonts w:ascii="Arial" w:cs="Arial" w:eastAsia="Arial" w:hAnsi="Arial"/>
          <w:sz w:val="18"/>
          <w:szCs w:val="18"/>
          <w:color w:val="auto"/>
        </w:rPr>
        <w:t>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-6148705</wp:posOffset>
            </wp:positionH>
            <wp:positionV relativeFrom="paragraph">
              <wp:posOffset>31750</wp:posOffset>
            </wp:positionV>
            <wp:extent cx="71323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168"/>
        <w:spacing w:after="0"/>
        <w:rPr>
          <w:sz w:val="20"/>
          <w:szCs w:val="20"/>
          <w:color w:val="auto"/>
        </w:rPr>
      </w:pPr>
      <w:r>
        <w:rPr>
          <w:rFonts w:ascii="Arial" w:cs="Arial" w:eastAsia="Arial" w:hAnsi="Arial"/>
          <w:sz w:val="18"/>
          <w:szCs w:val="18"/>
          <w:color w:val="auto"/>
        </w:rPr>
        <w:t>29.4</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-6148705</wp:posOffset>
            </wp:positionH>
            <wp:positionV relativeFrom="paragraph">
              <wp:posOffset>31750</wp:posOffset>
            </wp:positionV>
            <wp:extent cx="71323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168"/>
        <w:spacing w:after="0"/>
        <w:rPr>
          <w:sz w:val="20"/>
          <w:szCs w:val="20"/>
          <w:color w:val="auto"/>
        </w:rPr>
      </w:pPr>
      <w:r>
        <w:rPr>
          <w:rFonts w:ascii="Arial" w:cs="Arial" w:eastAsia="Arial" w:hAnsi="Arial"/>
          <w:sz w:val="18"/>
          <w:szCs w:val="18"/>
          <w:color w:val="auto"/>
        </w:rPr>
        <w:t>37.3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99441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57" w:lineRule="exact"/>
        <w:rPr>
          <w:sz w:val="20"/>
          <w:szCs w:val="20"/>
          <w:color w:val="auto"/>
        </w:rPr>
      </w:pPr>
    </w:p>
    <w:p>
      <w:pPr>
        <w:ind w:left="1168" w:hanging="1168"/>
        <w:spacing w:after="0"/>
        <w:tabs>
          <w:tab w:leader="none" w:pos="116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65.1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99441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57785</wp:posOffset>
            </wp:positionV>
            <wp:extent cx="99441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4" w:lineRule="exact"/>
        <w:rPr>
          <w:sz w:val="20"/>
          <w:szCs w:val="20"/>
          <w:color w:val="auto"/>
        </w:rPr>
      </w:pPr>
    </w:p>
    <w:p>
      <w:pPr>
        <w:sectPr>
          <w:pgSz w:w="11900" w:h="16838" w:orient="portrait"/>
          <w:cols w:equalWidth="0" w:num="2">
            <w:col w:w="8972" w:space="720"/>
            <w:col w:w="1548"/>
          </w:cols>
          <w:pgMar w:left="320" w:top="175" w:right="339" w:bottom="1440" w:gutter="0" w:footer="0" w:header="0"/>
          <w:type w:val="continuous"/>
        </w:sectPr>
      </w:pPr>
    </w:p>
    <w:p>
      <w:pPr>
        <w:spacing w:after="0" w:line="14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acquired intangible assets are definite-lived assets consisting of user base, customer relationships, developed technology and trade name. The estimated fair value was determined using the excess earnings method for user base, with-and-without method for acquired customer relationships, and relief-from-royalty method for the acquired technology and trade name. The fair value of the intangible assets with definite lives is as follows (dollars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right"/>
              <w:ind w:right="135"/>
              <w:spacing w:after="0"/>
              <w:rPr>
                <w:sz w:val="20"/>
                <w:szCs w:val="20"/>
                <w:color w:val="auto"/>
              </w:rPr>
            </w:pPr>
            <w:r>
              <w:rPr>
                <w:rFonts w:ascii="Arial" w:cs="Arial" w:eastAsia="Arial" w:hAnsi="Arial"/>
                <w:sz w:val="14"/>
                <w:szCs w:val="14"/>
                <w:b w:val="1"/>
                <w:bCs w:val="1"/>
                <w:color w:val="auto"/>
              </w:rPr>
              <w:t>Weighted Average</w:t>
            </w:r>
          </w:p>
        </w:tc>
      </w:tr>
      <w:tr>
        <w:trPr>
          <w:trHeight w:val="186"/>
        </w:trPr>
        <w:tc>
          <w:tcPr>
            <w:tcW w:w="80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Fair Value</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115"/>
              <w:spacing w:after="0"/>
              <w:rPr>
                <w:sz w:val="20"/>
                <w:szCs w:val="20"/>
                <w:color w:val="auto"/>
              </w:rPr>
            </w:pPr>
            <w:r>
              <w:rPr>
                <w:rFonts w:ascii="Arial" w:cs="Arial" w:eastAsia="Arial" w:hAnsi="Arial"/>
                <w:sz w:val="14"/>
                <w:szCs w:val="14"/>
                <w:b w:val="1"/>
                <w:bCs w:val="1"/>
                <w:color w:val="auto"/>
              </w:rPr>
              <w:t>Useful Life (Years)</w:t>
            </w:r>
          </w:p>
        </w:tc>
      </w:tr>
      <w:tr>
        <w:trPr>
          <w:trHeight w:val="26"/>
        </w:trPr>
        <w:tc>
          <w:tcPr>
            <w:tcW w:w="80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User base</w:t>
            </w:r>
          </w:p>
        </w:tc>
        <w:tc>
          <w:tcPr>
            <w:tcW w:w="114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8020" w:type="dxa"/>
            <w:vAlign w:val="bottom"/>
          </w:tcPr>
          <w:p>
            <w:pPr>
              <w:ind w:left="80"/>
              <w:spacing w:after="0"/>
              <w:rPr>
                <w:sz w:val="20"/>
                <w:szCs w:val="20"/>
                <w:color w:val="auto"/>
              </w:rPr>
            </w:pPr>
            <w:r>
              <w:rPr>
                <w:rFonts w:ascii="Arial" w:cs="Arial" w:eastAsia="Arial" w:hAnsi="Arial"/>
                <w:sz w:val="18"/>
                <w:szCs w:val="18"/>
                <w:color w:val="auto"/>
              </w:rPr>
              <w:t>Customer relationships</w:t>
            </w:r>
          </w:p>
        </w:tc>
        <w:tc>
          <w:tcPr>
            <w:tcW w:w="11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8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Technology</w:t>
            </w: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8020" w:type="dxa"/>
            <w:vAlign w:val="bottom"/>
          </w:tcPr>
          <w:p>
            <w:pPr>
              <w:ind w:left="60"/>
              <w:spacing w:after="0"/>
              <w:rPr>
                <w:sz w:val="20"/>
                <w:szCs w:val="20"/>
                <w:color w:val="auto"/>
              </w:rPr>
            </w:pPr>
            <w:r>
              <w:rPr>
                <w:rFonts w:ascii="Arial" w:cs="Arial" w:eastAsia="Arial" w:hAnsi="Arial"/>
                <w:sz w:val="18"/>
                <w:szCs w:val="18"/>
                <w:color w:val="auto"/>
              </w:rPr>
              <w:t>Trade name</w:t>
            </w:r>
          </w:p>
        </w:tc>
        <w:tc>
          <w:tcPr>
            <w:tcW w:w="11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80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8"/>
        </w:trPr>
        <w:tc>
          <w:tcPr>
            <w:tcW w:w="80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 intangible assets</w:t>
            </w:r>
          </w:p>
        </w:tc>
        <w:tc>
          <w:tcPr>
            <w:tcW w:w="114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29.4</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recorded goodwill of $37.3 million, which represents the excess of the purchase price over the estimated fair value of tangible and intangible assets acquired, net of the liabilities assumed. The goodwill is primarily attributable to Fundera as a going concern, which represents the ability of the Company to earn a higher return on the collection of assets and business of Fundera than if those assets and business were to be acquired and managed separately. The benefit of access to the workforce is an additional element of goodwill. For income tax purposes, the acquisition was a stock purchase and goodwill is not tax deductible. Acquisition-related costs of $1.0 million were incurred in 2020 and are included in general and administrative expense on the consolidated statement of operations and comprehensive income (loss). During the period from the acquisition date through December 31, 2020, the Company has recognized revenue and loss before income tax for Fundera in the amount of $2.0 million and $(0.3) million, respectively.</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 Forma Results (Unaudited)</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following pro forma combined results of operations are provided for the years ended December 31, 2020 and 2019, as though the Fundera acquisition had been completed as of January 1, 2019. These supplemental pro forma results of operations are provided for illustrative purposes only and do not purport to be indicative of the actual results that would have been achieved by the combined company for the periods presented or that may be achieved by the combined company in the future. The pro forma results of operations do not include any cost savings or other synergies that resulted, or may result, from the Fundera acquisition or any estimated costs that will be incurred to integrate Fundera. Future results may vary significantly from the results reflected in this pro forma financial information because of future events and transactions, as well as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F-20</w:t>
      </w:r>
    </w:p>
    <w:p>
      <w:pPr>
        <w:sectPr>
          <w:pgSz w:w="11900" w:h="16838" w:orient="portrait"/>
          <w:cols w:equalWidth="0" w:num="1">
            <w:col w:w="11240"/>
          </w:cols>
          <w:pgMar w:left="320" w:top="175" w:right="339" w:bottom="1440" w:gutter="0" w:footer="0" w:header="0"/>
          <w:type w:val="continuous"/>
        </w:sectPr>
      </w:pPr>
    </w:p>
    <w:bookmarkStart w:id="170" w:name="page171"/>
    <w:bookmarkEnd w:id="170"/>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historical financial information was adjusted based on currently available information and certain assumptions that the Company believes are reasonable under the circumstances. The unaudited supplemental pro forma information includes adjustments to amortization and depreciation for acquired intangible assets and property and equipment, adjustments to share-based compensation expense, the purchase accounting effect on interest expense, and transaction costs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center"/>
              <w:ind w:right="102"/>
              <w:spacing w:after="0"/>
              <w:rPr>
                <w:sz w:val="20"/>
                <w:szCs w:val="20"/>
                <w:color w:val="auto"/>
              </w:rPr>
            </w:pPr>
            <w:r>
              <w:rPr>
                <w:rFonts w:ascii="Arial" w:cs="Arial" w:eastAsia="Arial" w:hAnsi="Arial"/>
                <w:sz w:val="14"/>
                <w:szCs w:val="14"/>
                <w:b w:val="1"/>
                <w:bCs w:val="1"/>
                <w:color w:val="auto"/>
                <w:w w:val="92"/>
              </w:rPr>
              <w:t>Six Months Ended</w:t>
            </w:r>
          </w:p>
        </w:tc>
      </w:tr>
      <w:tr>
        <w:trPr>
          <w:trHeight w:val="186"/>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5"/>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6"/>
                <w:szCs w:val="16"/>
                <w:color w:val="auto"/>
              </w:rPr>
            </w:pPr>
          </w:p>
        </w:tc>
        <w:tc>
          <w:tcPr>
            <w:tcW w:w="1420" w:type="dxa"/>
            <w:vAlign w:val="bottom"/>
          </w:tcPr>
          <w:p>
            <w:pPr>
              <w:jc w:val="center"/>
              <w:ind w:right="62"/>
              <w:spacing w:after="0"/>
              <w:rPr>
                <w:sz w:val="20"/>
                <w:szCs w:val="20"/>
                <w:color w:val="auto"/>
              </w:rPr>
            </w:pPr>
            <w:r>
              <w:rPr>
                <w:rFonts w:ascii="Arial" w:cs="Arial" w:eastAsia="Arial" w:hAnsi="Arial"/>
                <w:sz w:val="14"/>
                <w:szCs w:val="14"/>
                <w:b w:val="1"/>
                <w:bCs w:val="1"/>
                <w:color w:val="auto"/>
                <w:w w:val="92"/>
              </w:rPr>
              <w:t>June 30,</w:t>
            </w:r>
          </w:p>
        </w:tc>
      </w:tr>
      <w:tr>
        <w:trPr>
          <w:trHeight w:val="26"/>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4"/>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62"/>
              <w:spacing w:after="0"/>
              <w:rPr>
                <w:sz w:val="20"/>
                <w:szCs w:val="20"/>
                <w:color w:val="auto"/>
              </w:rPr>
            </w:pPr>
            <w:r>
              <w:rPr>
                <w:rFonts w:ascii="Arial" w:cs="Arial" w:eastAsia="Arial" w:hAnsi="Arial"/>
                <w:sz w:val="14"/>
                <w:szCs w:val="14"/>
                <w:b w:val="1"/>
                <w:bCs w:val="1"/>
                <w:color w:val="auto"/>
                <w:w w:val="89"/>
              </w:rPr>
              <w:t>2020</w:t>
            </w:r>
          </w:p>
        </w:tc>
      </w:tr>
      <w:tr>
        <w:trPr>
          <w:trHeight w:val="26"/>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4"/>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62"/>
              <w:spacing w:after="0"/>
              <w:rPr>
                <w:sz w:val="20"/>
                <w:szCs w:val="20"/>
                <w:color w:val="auto"/>
              </w:rPr>
            </w:pPr>
            <w:r>
              <w:rPr>
                <w:rFonts w:ascii="Arial" w:cs="Arial" w:eastAsia="Arial" w:hAnsi="Arial"/>
                <w:sz w:val="14"/>
                <w:szCs w:val="14"/>
                <w:b w:val="1"/>
                <w:bCs w:val="1"/>
                <w:color w:val="auto"/>
                <w:w w:val="94"/>
              </w:rPr>
              <w:t>(unaudited)</w:t>
            </w:r>
          </w:p>
        </w:tc>
      </w:tr>
      <w:tr>
        <w:trPr>
          <w:trHeight w:val="26"/>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150.4</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2"/>
              <w:spacing w:after="0"/>
              <w:rPr>
                <w:sz w:val="20"/>
                <w:szCs w:val="20"/>
                <w:color w:val="auto"/>
              </w:rPr>
            </w:pPr>
            <w:r>
              <w:rPr>
                <w:rFonts w:ascii="Arial" w:cs="Arial" w:eastAsia="Arial" w:hAnsi="Arial"/>
                <w:sz w:val="18"/>
                <w:szCs w:val="18"/>
                <w:color w:val="auto"/>
              </w:rPr>
              <w:t>—</w:t>
            </w:r>
          </w:p>
        </w:tc>
      </w:tr>
    </w:tbl>
    <w:p>
      <w:pPr>
        <w:spacing w:after="0" w:line="17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Know Your Money</w:t>
      </w:r>
      <w:r>
        <w:rPr>
          <w:rFonts w:ascii="Arial" w:cs="Arial" w:eastAsia="Arial" w:hAnsi="Arial"/>
          <w:sz w:val="18"/>
          <w:szCs w:val="18"/>
          <w:color w:val="auto"/>
        </w:rPr>
        <w:t>—On September 30, 2020, the Company acquired all the outstanding shares of Notice Media Ltd., doing business as Know Your</w:t>
      </w:r>
      <w:r>
        <w:rPr>
          <w:rFonts w:ascii="Arial" w:cs="Arial" w:eastAsia="Arial" w:hAnsi="Arial"/>
          <w:sz w:val="18"/>
          <w:szCs w:val="18"/>
          <w:b w:val="1"/>
          <w:bCs w:val="1"/>
          <w:color w:val="auto"/>
        </w:rPr>
        <w:t xml:space="preserve"> </w:t>
      </w:r>
      <w:r>
        <w:rPr>
          <w:rFonts w:ascii="Arial" w:cs="Arial" w:eastAsia="Arial" w:hAnsi="Arial"/>
          <w:sz w:val="18"/>
          <w:szCs w:val="18"/>
          <w:color w:val="auto"/>
        </w:rPr>
        <w:t>Money, an online provider of financial guidance and tools based in the United Kingdom. The acquisition date aggregate purchase price transferred for KYM was approximately $13.7 million, which consisted of the following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375"/>
              <w:spacing w:after="0"/>
              <w:rPr>
                <w:sz w:val="20"/>
                <w:szCs w:val="20"/>
                <w:color w:val="auto"/>
              </w:rPr>
            </w:pPr>
            <w:r>
              <w:rPr>
                <w:rFonts w:ascii="Arial" w:cs="Arial" w:eastAsia="Arial" w:hAnsi="Arial"/>
                <w:sz w:val="14"/>
                <w:szCs w:val="14"/>
                <w:b w:val="1"/>
                <w:bCs w:val="1"/>
                <w:color w:val="auto"/>
              </w:rPr>
              <w:t>Fair Value</w:t>
            </w:r>
          </w:p>
        </w:tc>
      </w:tr>
      <w:tr>
        <w:trPr>
          <w:trHeight w:val="26"/>
        </w:trPr>
        <w:tc>
          <w:tcPr>
            <w:tcW w:w="9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Fair value of contingent consideration</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9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price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paid $12.3 million in initial cash consideration and could make up to two additional earnout payments based on certain defined operating metrics during the earnout periods January 1, 2021 through December 31, 2021 and January 1, 2022 through December 31, 2022. These additional payments, to the extent earned, will be payable in cash. As part of the transaction, the Company entered into additional earnouts which are subject to the recipients’ continued service. The fair value of such earnouts was $5.9 million, which was excluded from the aggregate purchase price and accounted for separately from the business combination. The amounts will be recognized as compensation expense as earned over the next 12 to 24 months.</w:t>
      </w:r>
    </w:p>
    <w:p>
      <w:pPr>
        <w:spacing w:after="0" w:line="13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As of December 31, 2020, the estimated fair value of the contingent consideration totaled $1.3 million, which is included in contingent consideration in the accompanying consolidated balance sheet. The estimated fair value of the contingent consideration payments is determined using a Monte Carlo simulation model. The estimated value of the contingent consideration is based upon available information and certain assumptions, known at the time of this report, which management believes are reasonable. Contingent consideration is subject to remeasurement at each reporting date until the payments are made, with the remeasurement adjustment reported in the Company’s consolidated statements of operations and comprehensive income (loss).</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acquisition has been accounted for as a business combination. The preliminary allocation of purchase price to the assets acquired and liabilities assumed is as follows (in millions):</w:t>
      </w:r>
    </w:p>
    <w:p>
      <w:pPr>
        <w:sectPr>
          <w:pgSz w:w="11900" w:h="16838" w:orient="portrait"/>
          <w:cols w:equalWidth="0" w:num="1">
            <w:col w:w="11240"/>
          </w:cols>
          <w:pgMar w:left="320" w:top="175" w:right="339" w:bottom="1440" w:gutter="0" w:footer="0" w:header="0"/>
        </w:sectPr>
      </w:pPr>
    </w:p>
    <w:p>
      <w:pPr>
        <w:spacing w:after="0" w:line="400"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tangible assets</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Fixed assets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Intangible assets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Deferred tax liability</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purchase price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448"/>
        <w:spacing w:after="0"/>
        <w:rPr>
          <w:sz w:val="20"/>
          <w:szCs w:val="20"/>
          <w:color w:val="auto"/>
        </w:rPr>
      </w:pPr>
      <w:r>
        <w:rPr>
          <w:rFonts w:ascii="Arial" w:cs="Arial" w:eastAsia="Arial" w:hAnsi="Arial"/>
          <w:sz w:val="14"/>
          <w:szCs w:val="14"/>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-6148705</wp:posOffset>
            </wp:positionH>
            <wp:positionV relativeFrom="paragraph">
              <wp:posOffset>32385</wp:posOffset>
            </wp:positionV>
            <wp:extent cx="7132320" cy="1803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7" w:lineRule="exact"/>
        <w:rPr>
          <w:sz w:val="20"/>
          <w:szCs w:val="20"/>
          <w:color w:val="auto"/>
        </w:rPr>
      </w:pPr>
    </w:p>
    <w:p>
      <w:pPr>
        <w:ind w:left="1248" w:hanging="1248"/>
        <w:spacing w:after="0"/>
        <w:tabs>
          <w:tab w:leader="none" w:pos="124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1.5</w:t>
      </w:r>
    </w:p>
    <w:p>
      <w:pPr>
        <w:spacing w:after="0" w:line="63" w:lineRule="exact"/>
        <w:rPr>
          <w:rFonts w:ascii="Arial" w:cs="Arial" w:eastAsia="Arial" w:hAnsi="Arial"/>
          <w:sz w:val="18"/>
          <w:szCs w:val="18"/>
          <w:color w:val="auto"/>
        </w:rPr>
      </w:pPr>
    </w:p>
    <w:p>
      <w:pPr>
        <w:ind w:left="1248"/>
        <w:spacing w:after="0"/>
        <w:rPr>
          <w:rFonts w:ascii="Arial" w:cs="Arial" w:eastAsia="Arial" w:hAnsi="Arial"/>
          <w:sz w:val="18"/>
          <w:szCs w:val="18"/>
          <w:color w:val="auto"/>
        </w:rPr>
      </w:pPr>
      <w:r>
        <w:rPr>
          <w:rFonts w:ascii="Arial" w:cs="Arial" w:eastAsia="Arial" w:hAnsi="Arial"/>
          <w:sz w:val="18"/>
          <w:szCs w:val="18"/>
          <w:color w:val="auto"/>
        </w:rPr>
        <w:t>0.2</w:t>
      </w:r>
    </w:p>
    <w:p>
      <w:pPr>
        <w:spacing w:after="0" w:line="63" w:lineRule="exact"/>
        <w:rPr>
          <w:rFonts w:ascii="Arial" w:cs="Arial" w:eastAsia="Arial" w:hAnsi="Arial"/>
          <w:sz w:val="18"/>
          <w:szCs w:val="18"/>
          <w:color w:val="auto"/>
        </w:rPr>
      </w:pPr>
    </w:p>
    <w:p>
      <w:pPr>
        <w:ind w:left="1248"/>
        <w:spacing w:after="0"/>
        <w:rPr>
          <w:rFonts w:ascii="Arial" w:cs="Arial" w:eastAsia="Arial" w:hAnsi="Arial"/>
          <w:sz w:val="18"/>
          <w:szCs w:val="18"/>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-6148705</wp:posOffset>
            </wp:positionH>
            <wp:positionV relativeFrom="paragraph">
              <wp:posOffset>-139065</wp:posOffset>
            </wp:positionV>
            <wp:extent cx="71323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-6148705</wp:posOffset>
            </wp:positionH>
            <wp:positionV relativeFrom="paragraph">
              <wp:posOffset>31750</wp:posOffset>
            </wp:positionV>
            <wp:extent cx="713232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99441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57" w:lineRule="exact"/>
        <w:rPr>
          <w:sz w:val="20"/>
          <w:szCs w:val="20"/>
          <w:color w:val="auto"/>
        </w:rPr>
      </w:pPr>
    </w:p>
    <w:p>
      <w:pPr>
        <w:ind w:left="1168" w:hanging="1168"/>
        <w:spacing w:after="0"/>
        <w:tabs>
          <w:tab w:leader="none" w:pos="116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99441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57785</wp:posOffset>
            </wp:positionV>
            <wp:extent cx="9944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4" w:lineRule="exact"/>
        <w:rPr>
          <w:sz w:val="20"/>
          <w:szCs w:val="20"/>
          <w:color w:val="auto"/>
        </w:rPr>
      </w:pPr>
    </w:p>
    <w:p>
      <w:pPr>
        <w:sectPr>
          <w:pgSz w:w="11900" w:h="16838" w:orient="portrait"/>
          <w:cols w:equalWidth="0" w:num="2">
            <w:col w:w="8972" w:space="720"/>
            <w:col w:w="1548"/>
          </w:cols>
          <w:pgMar w:left="320" w:top="17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F-21</w:t>
      </w:r>
    </w:p>
    <w:p>
      <w:pPr>
        <w:sectPr>
          <w:pgSz w:w="11900" w:h="16838" w:orient="portrait"/>
          <w:cols w:equalWidth="0" w:num="1">
            <w:col w:w="11240"/>
          </w:cols>
          <w:pgMar w:left="320" w:top="175" w:right="339" w:bottom="1440" w:gutter="0" w:footer="0" w:header="0"/>
          <w:type w:val="continuous"/>
        </w:sectPr>
      </w:pPr>
    </w:p>
    <w:bookmarkStart w:id="171" w:name="page172"/>
    <w:bookmarkEnd w:id="171"/>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acquired intangible assets are definite-lived assets consisting of customer relationships and developed technology. The estimated fair values of the customer relationships were determined using the excess earning method and the developed technology was determined using the relief from royalty method. The fair value of the intangible assets with definite lives is as follows (dollars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right"/>
              <w:ind w:right="137"/>
              <w:spacing w:after="0"/>
              <w:rPr>
                <w:sz w:val="20"/>
                <w:szCs w:val="20"/>
                <w:color w:val="auto"/>
              </w:rPr>
            </w:pPr>
            <w:r>
              <w:rPr>
                <w:rFonts w:ascii="Arial" w:cs="Arial" w:eastAsia="Arial" w:hAnsi="Arial"/>
                <w:sz w:val="14"/>
                <w:szCs w:val="14"/>
                <w:b w:val="1"/>
                <w:bCs w:val="1"/>
                <w:color w:val="auto"/>
              </w:rPr>
              <w:t>Weighted Average</w:t>
            </w:r>
          </w:p>
        </w:tc>
      </w:tr>
      <w:tr>
        <w:trPr>
          <w:trHeight w:val="186"/>
        </w:trPr>
        <w:tc>
          <w:tcPr>
            <w:tcW w:w="80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Fair Value</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117"/>
              <w:spacing w:after="0"/>
              <w:rPr>
                <w:sz w:val="20"/>
                <w:szCs w:val="20"/>
                <w:color w:val="auto"/>
              </w:rPr>
            </w:pPr>
            <w:r>
              <w:rPr>
                <w:rFonts w:ascii="Arial" w:cs="Arial" w:eastAsia="Arial" w:hAnsi="Arial"/>
                <w:sz w:val="14"/>
                <w:szCs w:val="14"/>
                <w:b w:val="1"/>
                <w:bCs w:val="1"/>
                <w:color w:val="auto"/>
              </w:rPr>
              <w:t>Useful Life (Years)</w:t>
            </w:r>
          </w:p>
        </w:tc>
      </w:tr>
      <w:tr>
        <w:trPr>
          <w:trHeight w:val="26"/>
        </w:trPr>
        <w:tc>
          <w:tcPr>
            <w:tcW w:w="80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Customer relationships</w:t>
            </w:r>
          </w:p>
        </w:tc>
        <w:tc>
          <w:tcPr>
            <w:tcW w:w="1180" w:type="dxa"/>
            <w:vAlign w:val="bottom"/>
            <w:tcBorders>
              <w:bottom w:val="single" w:sz="8" w:color="CCEEFF"/>
            </w:tcBorders>
            <w:shd w:val="clear" w:color="auto" w:fill="CCEEFF"/>
          </w:tcPr>
          <w:p>
            <w:pPr>
              <w:jc w:val="right"/>
              <w:ind w:right="996"/>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8020" w:type="dxa"/>
            <w:vAlign w:val="bottom"/>
          </w:tcPr>
          <w:p>
            <w:pPr>
              <w:ind w:left="60"/>
              <w:spacing w:after="0"/>
              <w:rPr>
                <w:sz w:val="20"/>
                <w:szCs w:val="20"/>
                <w:color w:val="auto"/>
              </w:rPr>
            </w:pPr>
            <w:r>
              <w:rPr>
                <w:rFonts w:ascii="Arial" w:cs="Arial" w:eastAsia="Arial" w:hAnsi="Arial"/>
                <w:sz w:val="18"/>
                <w:szCs w:val="18"/>
                <w:color w:val="auto"/>
              </w:rPr>
              <w:t>Technology</w:t>
            </w:r>
          </w:p>
        </w:tc>
        <w:tc>
          <w:tcPr>
            <w:tcW w:w="11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80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8"/>
        </w:trPr>
        <w:tc>
          <w:tcPr>
            <w:tcW w:w="80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 intangible assets</w:t>
            </w:r>
          </w:p>
        </w:tc>
        <w:tc>
          <w:tcPr>
            <w:tcW w:w="118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 recorded goodwill of $6.0 million, which represents the excess of the purchase price over the estimated fair value of tangible and intangible assets acquired, net of the liabilities assumed. The goodwill is primarily attributable to KYM as a going concern, which represents the ability of the Company to earn a higher return on the collection of assets and business of KYM than if those assets and business were to be acquired and managed separately. The benefit of access to the workforce is an additional element of goodwill. For income tax purposes, the acquisition was a stock purchase and goodwill is not tax deductible. Acquisition-related costs of $0.5 million were incurred in 2020 and are included in general and administrative expense on the consolidated statement of operations and comprehensive income (loss). During the period from the acquisition date through December 31, 2020 the Company has recognized revenue and loss before income tax for KYM in the amount of $1.5 million and $(0.1) million, respectively. Pro forma results of operations have not been provided to reflect the KYM acquisition as such results would not have been materially different from the Company’s reported results.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r>
              <w:rPr>
                <w:rFonts w:ascii="Arial" w:cs="Arial" w:eastAsia="Arial" w:hAnsi="Arial"/>
                <w:sz w:val="18"/>
                <w:szCs w:val="18"/>
                <w:b w:val="1"/>
                <w:bCs w:val="1"/>
                <w:color w:val="auto"/>
              </w:rPr>
              <w:t>6.</w:t>
            </w:r>
          </w:p>
        </w:tc>
        <w:tc>
          <w:tcPr>
            <w:tcW w:w="4940" w:type="dxa"/>
            <w:vAlign w:val="bottom"/>
          </w:tcPr>
          <w:p>
            <w:pPr>
              <w:ind w:left="420"/>
              <w:spacing w:after="0"/>
              <w:rPr>
                <w:sz w:val="20"/>
                <w:szCs w:val="20"/>
                <w:color w:val="auto"/>
              </w:rPr>
            </w:pPr>
            <w:r>
              <w:rPr>
                <w:rFonts w:ascii="Arial" w:cs="Arial" w:eastAsia="Arial" w:hAnsi="Arial"/>
                <w:sz w:val="18"/>
                <w:szCs w:val="18"/>
                <w:b w:val="1"/>
                <w:bCs w:val="1"/>
                <w:color w:val="auto"/>
              </w:rPr>
              <w:t>GOODWILL AND INTANGIBLE ASSETS</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40" w:type="dxa"/>
            <w:vAlign w:val="bottom"/>
          </w:tcPr>
          <w:p>
            <w:pPr>
              <w:spacing w:after="0"/>
              <w:rPr>
                <w:sz w:val="24"/>
                <w:szCs w:val="24"/>
                <w:color w:val="auto"/>
              </w:rPr>
            </w:pPr>
          </w:p>
        </w:tc>
        <w:tc>
          <w:tcPr>
            <w:tcW w:w="4940" w:type="dxa"/>
            <w:vAlign w:val="bottom"/>
          </w:tcPr>
          <w:p>
            <w:pPr>
              <w:ind w:left="100"/>
              <w:spacing w:after="0"/>
              <w:rPr>
                <w:sz w:val="20"/>
                <w:szCs w:val="20"/>
                <w:color w:val="auto"/>
              </w:rPr>
            </w:pPr>
            <w:r>
              <w:rPr>
                <w:rFonts w:ascii="Arial" w:cs="Arial" w:eastAsia="Arial" w:hAnsi="Arial"/>
                <w:sz w:val="18"/>
                <w:szCs w:val="18"/>
                <w:color w:val="auto"/>
              </w:rPr>
              <w:t>The balance of goodwill, net is as follows (in millions):</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2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ind w:right="411"/>
              <w:spacing w:after="0"/>
              <w:rPr>
                <w:sz w:val="20"/>
                <w:szCs w:val="20"/>
                <w:color w:val="auto"/>
              </w:rPr>
            </w:pPr>
            <w:r>
              <w:rPr>
                <w:rFonts w:ascii="Arial" w:cs="Arial" w:eastAsia="Arial" w:hAnsi="Arial"/>
                <w:sz w:val="14"/>
                <w:szCs w:val="14"/>
                <w:b w:val="1"/>
                <w:bCs w:val="1"/>
                <w:color w:val="auto"/>
              </w:rPr>
              <w:t>Goodwill</w:t>
            </w:r>
          </w:p>
        </w:tc>
        <w:tc>
          <w:tcPr>
            <w:tcW w:w="0" w:type="dxa"/>
            <w:vAlign w:val="bottom"/>
          </w:tcPr>
          <w:p>
            <w:pPr>
              <w:spacing w:after="0"/>
              <w:rPr>
                <w:sz w:val="1"/>
                <w:szCs w:val="1"/>
                <w:color w:val="auto"/>
              </w:rPr>
            </w:pPr>
          </w:p>
        </w:tc>
      </w:tr>
      <w:tr>
        <w:trPr>
          <w:trHeight w:val="25"/>
        </w:trPr>
        <w:tc>
          <w:tcPr>
            <w:tcW w:w="5180" w:type="dxa"/>
            <w:vAlign w:val="bottom"/>
            <w:tcBorders>
              <w:bottom w:val="single" w:sz="8" w:color="CCEEFF"/>
            </w:tcBorders>
            <w:gridSpan w:val="2"/>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2019</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Acquisition of Fundera</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7"/>
        </w:trPr>
        <w:tc>
          <w:tcPr>
            <w:tcW w:w="518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Acquisition of KYM</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gridSpan w:val="2"/>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2020</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43"/>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Foreign currency translation adjustment (unaudited)</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gridSpan w:val="2"/>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 of June 30, 2021 (unaudited)</w:t>
            </w: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6480" w:type="dxa"/>
            <w:vAlign w:val="bottom"/>
            <w:tcBorders>
              <w:top w:val="single" w:sz="8" w:color="CCEEFF"/>
              <w:bottom w:val="single" w:sz="8" w:color="CCEEFF"/>
            </w:tcBorders>
            <w:gridSpan w:val="3"/>
            <w:vMerge w:val="restart"/>
          </w:tcPr>
          <w:p>
            <w:pPr>
              <w:ind w:left="100"/>
              <w:spacing w:after="0"/>
              <w:rPr>
                <w:sz w:val="20"/>
                <w:szCs w:val="20"/>
                <w:color w:val="auto"/>
              </w:rPr>
            </w:pPr>
            <w:r>
              <w:rPr>
                <w:rFonts w:ascii="Arial" w:cs="Arial" w:eastAsia="Arial" w:hAnsi="Arial"/>
                <w:sz w:val="18"/>
                <w:szCs w:val="18"/>
                <w:color w:val="auto"/>
                <w:w w:val="97"/>
              </w:rPr>
              <w:t>No impairment charges have been recorded for goodwill in the periods presented.</w:t>
            </w: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40" w:type="dxa"/>
            <w:vAlign w:val="bottom"/>
          </w:tcPr>
          <w:p>
            <w:pPr>
              <w:spacing w:after="0"/>
              <w:rPr>
                <w:sz w:val="24"/>
                <w:szCs w:val="24"/>
                <w:color w:val="auto"/>
              </w:rPr>
            </w:pPr>
          </w:p>
        </w:tc>
        <w:tc>
          <w:tcPr>
            <w:tcW w:w="648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0" w:type="dxa"/>
            <w:vAlign w:val="bottom"/>
          </w:tcPr>
          <w:p>
            <w:pPr>
              <w:spacing w:after="0"/>
              <w:rPr>
                <w:sz w:val="24"/>
                <w:szCs w:val="24"/>
                <w:color w:val="auto"/>
              </w:rPr>
            </w:pPr>
          </w:p>
        </w:tc>
        <w:tc>
          <w:tcPr>
            <w:tcW w:w="8020" w:type="dxa"/>
            <w:vAlign w:val="bottom"/>
            <w:gridSpan w:val="6"/>
          </w:tcPr>
          <w:p>
            <w:pPr>
              <w:ind w:left="100"/>
              <w:spacing w:after="0"/>
              <w:rPr>
                <w:sz w:val="20"/>
                <w:szCs w:val="20"/>
                <w:color w:val="auto"/>
              </w:rPr>
            </w:pPr>
            <w:r>
              <w:rPr>
                <w:rFonts w:ascii="Arial" w:cs="Arial" w:eastAsia="Arial" w:hAnsi="Arial"/>
                <w:sz w:val="18"/>
                <w:szCs w:val="18"/>
                <w:color w:val="auto"/>
              </w:rPr>
              <w:t>Intangible assets with definite lives related to the following as of December 31, 2020 (in millions):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Weighted Average</w:t>
            </w:r>
          </w:p>
        </w:tc>
        <w:tc>
          <w:tcPr>
            <w:tcW w:w="180" w:type="dxa"/>
            <w:vAlign w:val="bottom"/>
          </w:tcPr>
          <w:p>
            <w:pPr>
              <w:spacing w:after="0"/>
              <w:rPr>
                <w:sz w:val="24"/>
                <w:szCs w:val="2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Gross Carrying</w:t>
            </w:r>
          </w:p>
        </w:tc>
        <w:tc>
          <w:tcPr>
            <w:tcW w:w="200" w:type="dxa"/>
            <w:vAlign w:val="bottom"/>
          </w:tcPr>
          <w:p>
            <w:pPr>
              <w:spacing w:after="0"/>
              <w:rPr>
                <w:sz w:val="24"/>
                <w:szCs w:val="24"/>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Useful Life (Years)</w:t>
            </w: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6"/>
                <w:szCs w:val="16"/>
                <w:color w:val="auto"/>
              </w:rPr>
            </w:pPr>
          </w:p>
        </w:tc>
        <w:tc>
          <w:tcPr>
            <w:tcW w:w="13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Amortization</w:t>
            </w: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Net Carrying Amount</w:t>
            </w:r>
          </w:p>
        </w:tc>
        <w:tc>
          <w:tcPr>
            <w:tcW w:w="0" w:type="dxa"/>
            <w:vAlign w:val="bottom"/>
          </w:tcPr>
          <w:p>
            <w:pPr>
              <w:spacing w:after="0"/>
              <w:rPr>
                <w:sz w:val="1"/>
                <w:szCs w:val="1"/>
                <w:color w:val="auto"/>
              </w:rPr>
            </w:pPr>
          </w:p>
        </w:tc>
      </w:tr>
      <w:tr>
        <w:trPr>
          <w:trHeight w:val="25"/>
        </w:trPr>
        <w:tc>
          <w:tcPr>
            <w:tcW w:w="5180" w:type="dxa"/>
            <w:vAlign w:val="bottom"/>
            <w:tcBorders>
              <w:bottom w:val="single" w:sz="8" w:color="CCEEFF"/>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User base</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43"/>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Customer relationships</w:t>
            </w:r>
          </w:p>
        </w:tc>
        <w:tc>
          <w:tcPr>
            <w:tcW w:w="14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518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Trade names</w:t>
            </w:r>
          </w:p>
        </w:tc>
        <w:tc>
          <w:tcPr>
            <w:tcW w:w="14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518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64"/>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As of December 31, 2020</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F-22</w:t>
      </w:r>
    </w:p>
    <w:p>
      <w:pPr>
        <w:sectPr>
          <w:pgSz w:w="11900" w:h="16838" w:orient="portrait"/>
          <w:cols w:equalWidth="0" w:num="1">
            <w:col w:w="11240"/>
          </w:cols>
          <w:pgMar w:left="320" w:top="175" w:right="339" w:bottom="1440" w:gutter="0" w:footer="0" w:header="0"/>
          <w:type w:val="continuous"/>
        </w:sectPr>
      </w:pPr>
    </w:p>
    <w:bookmarkStart w:id="172" w:name="page173"/>
    <w:bookmarkEnd w:id="172"/>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with definite lives related to the following as of June 30, 2021 (unaudited)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Weighted Average</w:t>
            </w: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Gross Carrying</w:t>
            </w:r>
          </w:p>
        </w:tc>
        <w:tc>
          <w:tcPr>
            <w:tcW w:w="200" w:type="dxa"/>
            <w:vAlign w:val="bottom"/>
          </w:tcPr>
          <w:p>
            <w:pPr>
              <w:spacing w:after="0"/>
              <w:rPr>
                <w:sz w:val="14"/>
                <w:szCs w:val="14"/>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6"/>
        </w:trPr>
        <w:tc>
          <w:tcPr>
            <w:tcW w:w="518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Useful Life (Years)</w:t>
            </w: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6"/>
                <w:szCs w:val="16"/>
                <w:color w:val="auto"/>
              </w:rPr>
            </w:pPr>
          </w:p>
        </w:tc>
        <w:tc>
          <w:tcPr>
            <w:tcW w:w="13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Amortization</w:t>
            </w: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Net Carrying Amount</w:t>
            </w:r>
          </w:p>
        </w:tc>
      </w:tr>
      <w:tr>
        <w:trPr>
          <w:trHeight w:val="26"/>
        </w:trPr>
        <w:tc>
          <w:tcPr>
            <w:tcW w:w="51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User base</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4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5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144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63"/>
        </w:trPr>
        <w:tc>
          <w:tcPr>
            <w:tcW w:w="5180" w:type="dxa"/>
            <w:vAlign w:val="bottom"/>
          </w:tcPr>
          <w:p>
            <w:pPr>
              <w:ind w:left="20"/>
              <w:spacing w:after="0"/>
              <w:rPr>
                <w:sz w:val="20"/>
                <w:szCs w:val="20"/>
                <w:color w:val="auto"/>
              </w:rPr>
            </w:pPr>
            <w:r>
              <w:rPr>
                <w:rFonts w:ascii="Arial" w:cs="Arial" w:eastAsia="Arial" w:hAnsi="Arial"/>
                <w:sz w:val="18"/>
                <w:szCs w:val="18"/>
                <w:color w:val="auto"/>
              </w:rPr>
              <w:t>As of June 30, 2021</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w:t>
            </w:r>
          </w:p>
        </w:tc>
      </w:tr>
      <w:tr>
        <w:trPr>
          <w:trHeight w:val="20"/>
        </w:trPr>
        <w:tc>
          <w:tcPr>
            <w:tcW w:w="6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72"/>
        </w:trPr>
        <w:tc>
          <w:tcPr>
            <w:tcW w:w="6920" w:type="dxa"/>
            <w:vAlign w:val="bottom"/>
            <w:gridSpan w:val="4"/>
          </w:tcPr>
          <w:p>
            <w:pPr>
              <w:ind w:left="340"/>
              <w:spacing w:after="0"/>
              <w:rPr>
                <w:sz w:val="20"/>
                <w:szCs w:val="20"/>
                <w:color w:val="auto"/>
              </w:rPr>
            </w:pPr>
            <w:r>
              <w:rPr>
                <w:rFonts w:ascii="Arial" w:cs="Arial" w:eastAsia="Arial" w:hAnsi="Arial"/>
                <w:sz w:val="18"/>
                <w:szCs w:val="18"/>
                <w:color w:val="auto"/>
                <w:w w:val="91"/>
              </w:rPr>
              <w:t>Estimated future amortization expense as of December 31, 2020 is as follows (in millions):</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79"/>
        </w:trPr>
        <w:tc>
          <w:tcPr>
            <w:tcW w:w="5180" w:type="dxa"/>
            <w:vAlign w:val="bottom"/>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ind w:right="291"/>
              <w:spacing w:after="0"/>
              <w:rPr>
                <w:sz w:val="20"/>
                <w:szCs w:val="20"/>
                <w:color w:val="auto"/>
              </w:rPr>
            </w:pPr>
            <w:r>
              <w:rPr>
                <w:rFonts w:ascii="Arial" w:cs="Arial" w:eastAsia="Arial" w:hAnsi="Arial"/>
                <w:sz w:val="14"/>
                <w:szCs w:val="14"/>
                <w:b w:val="1"/>
                <w:bCs w:val="1"/>
                <w:color w:val="auto"/>
              </w:rPr>
              <w:t>Amortization</w:t>
            </w:r>
          </w:p>
        </w:tc>
      </w:tr>
      <w:tr>
        <w:trPr>
          <w:trHeight w:val="26"/>
        </w:trPr>
        <w:tc>
          <w:tcPr>
            <w:tcW w:w="51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2022</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5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2024</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5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5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7"/>
        </w:trPr>
        <w:tc>
          <w:tcPr>
            <w:tcW w:w="5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w:t>
            </w:r>
          </w:p>
        </w:tc>
      </w:tr>
      <w:tr>
        <w:trPr>
          <w:trHeight w:val="27"/>
        </w:trPr>
        <w:tc>
          <w:tcPr>
            <w:tcW w:w="5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5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660" w:hanging="652"/>
        <w:spacing w:after="0"/>
        <w:tabs>
          <w:tab w:leader="none" w:pos="6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Lines of Credit</w:t>
      </w:r>
      <w:r>
        <w:rPr>
          <w:rFonts w:ascii="Arial" w:cs="Arial" w:eastAsia="Arial" w:hAnsi="Arial"/>
          <w:sz w:val="18"/>
          <w:szCs w:val="18"/>
          <w:color w:val="auto"/>
        </w:rPr>
        <w:t>—The Company maintains a line of credit with Silicon Valley Bank, which over time has been amended and restated. It is secured by</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qualifying accounts receivable of the Company. In June 2017, the Company entered into a second amended and restated Loan and Security Agreement, and in September 2019, the Company extended the maturity of the line of credit to expire in September 2020. The agreement included a borrowing base calculation tied to accounts receivable with a maximum availability of $30.0 million at prime plus 0.75% interest, equating to 5.5% as of December 31, 2019.</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December 31, 2019, the outstanding balance was $5.0 million and the available amount to borrow under the line of credit pursuant to the borrowing base calculation was $21.2 million.</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September 2020, the Company entered into a Senior Secured Credit Facilities Credit Agreement (“Credit Agreement”) with Silicon Valley Bank and also terminated the second amended and restated Loan and Security Agreement from June 2017. The Credit Agreement provides for a revolving line of credit of up to $50.0 million, including a letter of credit sub-facility in the aggregate amount of $10.0 million, and a swingline sub-facility in the aggregate amount of $10.0 million. The Company will also have the option to request incremental facilities of up to an additional $75.0 million from one or more of the lenders under the Credit Agreement. Under the terms of the Credit Agreement, revolving loans may be either Eurodollar Loans or Alternative Base Rate (“ABR”) Loans. Outstanding Eurodollar Loans will incur interest at the Eurodollar Rate, which is defined in the Credit Agreement as LIBOR (or any successor thereto), plus a margin of either 3.00% or 2.75% depending on usage, equating to 3.75% as of December 31, 2020. Outstanding ABR Loans will incur interest at the highest of the Prime Rate, as published by the Wall Street Journal, the federal funds rate in effect for such day plus 0.50%, and 3.25%, in each case a margin of either 0.75% or 0.50% will be applicable, depending on usage, equating to 3.75% as of December 31, 2020. The Company will be charged a commitment fee of 0.30% per year for committed but unused amounts. The Credit Agreement terminates on October 30, 2021. See Notes 15 – Subsequent Events and 16 – Subsequent Events (Unaudited)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F-23</w:t>
      </w:r>
    </w:p>
    <w:p>
      <w:pPr>
        <w:sectPr>
          <w:pgSz w:w="11900" w:h="16838" w:orient="portrait"/>
          <w:cols w:equalWidth="0" w:num="1">
            <w:col w:w="11240"/>
          </w:cols>
          <w:pgMar w:left="320" w:top="175" w:right="339" w:bottom="1440" w:gutter="0" w:footer="0" w:header="0"/>
        </w:sectPr>
      </w:pPr>
    </w:p>
    <w:bookmarkStart w:id="173" w:name="page174"/>
    <w:bookmarkEnd w:id="173"/>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2020 and June 30, 2021 (unaudited), there were no outstanding balances. As of December 31, 2020 and June 30, 2021 (unaudited), the available amount to borrow under the Credit Agreement was $45.9 million and $94.7 million, respectively, which is equal to the available amount under the Credit Agreement of $50.0 million and $100.0 million, respectively, net of letters of credit with Silicon Valley Bank of $4.1 million and $5.3 million, respectively.</w:t>
      </w:r>
    </w:p>
    <w:p>
      <w:pPr>
        <w:spacing w:after="0" w:line="13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Credit Agreement contains covenants limiting the ability to, among other things, dispose of assets, undergo a change in control, merge or consolidate, make acquisitions, incur debt, incur liens, pay dividends, repurchase stock, and make investments, in each case subject to certain exceptions.</w:t>
      </w:r>
    </w:p>
    <w:p>
      <w:pPr>
        <w:spacing w:after="0" w:line="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Credit Agreement also contains financial covenants requiring the Company to maintain minimum EBITDA and an adjusted quick ratio above specified levels, measured in each case at the end of each fiscal quarter. The Company is required to furnish audited financial statements within 150 days after the fiscal year end, and after the occurrence of a qualified IPO of the Company’s common stock, 90 days after the end of the fiscal year. The Company was in compliance with all financial covenants as of December 31, 2020 and June 30, 2021 (unaudited).</w:t>
      </w:r>
    </w:p>
    <w:p>
      <w:pPr>
        <w:spacing w:after="0" w:line="11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b w:val="1"/>
          <w:bCs w:val="1"/>
          <w:color w:val="auto"/>
        </w:rPr>
        <w:t>Subordinated Promissory Notes</w:t>
      </w:r>
      <w:r>
        <w:rPr>
          <w:rFonts w:ascii="Arial" w:cs="Arial" w:eastAsia="Arial" w:hAnsi="Arial"/>
          <w:sz w:val="16"/>
          <w:szCs w:val="16"/>
          <w:color w:val="auto"/>
        </w:rPr>
        <w:t>—During 2017, the Company entered into a stock repurchase agreement to repurchase a specific number of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Class G common stock from one of the Company’s co-founders. In connection with the stock repurchase agreement, the Company issued subordinated promissory notes (the “Notes”) with a principal amount totaling $28.5 million to the co-founder. The Notes bear interest on the outstanding principal amount at the rate of 4.2922% per year and the Company makes annual interest payments. The Notes mature in January 2026. The Company may prepay the Notes in whole or in part at any time prior to the maturity date. The Notes are subordinated in right of payment to the prior payment in full of (i) any indebtedness to banks or other financial institutions and any indebtedness arising from the satisfaction of such indebtedness by a guarantor in existence on the date of the Notes or incurred after the agreement was entered into, and (ii) the liquidation preferences, or other rights or entitlements to proceeds in the event of a deemed liquidation event in respect of the Company’s redeemable convertible preferred stock. In the event of a deemed liquidation event or initial public offering while the Notes remain outstanding, the Company must repay the Notes in an amount equal to the outstanding principal plus an unpaid accrued interest, to the extent there are proceeds available after payment of senior obligations.</w:t>
      </w:r>
    </w:p>
    <w:p>
      <w:pPr>
        <w:spacing w:after="0" w:line="11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Company determined that the feature whereby the Notes are subordinate in payment to the liquidation preferences of the Company’s preferred stockholders represents an embedded derivative that is to be separately accounted for. Accordingly, upon issuance in December 2017 the Company measured the fair value of deemed liquidation event redemption feature and recognized a derivative contra-liability of $3.3 million with a corresponding entry to debt premium. At December 31, 2019 and 2020, the Company remeasured the derivative contra-liability to an amount of $0.2 million and $0.1 million, respectively. At June 30, 2021 (unaudited), the derivative contra-liability was immaterial. As a result of remeasurement of the derivative contra-liability, losses of $0.5 million and $0.1 million were recorded to other gains (losses), net in the consolidated statement of operations and comprehensive income (loss) for the years ended December 31, 2019 and 2020, respectively, and a $0.1 million loss recorded for the six months ended June 30, 2021 (unaudited). Further, the Company recorded amortization of the related premium as a reduction to interest expense in the amount of $0.4 million for both the years ended December 31, 2019 and 2020, and $0.2 million for both the six months ended June 30, 2020 and 2021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F-24</w:t>
      </w:r>
    </w:p>
    <w:p>
      <w:pPr>
        <w:sectPr>
          <w:pgSz w:w="11900" w:h="16838" w:orient="portrait"/>
          <w:cols w:equalWidth="0" w:num="1">
            <w:col w:w="11240"/>
          </w:cols>
          <w:pgMar w:left="320" w:top="175" w:right="339" w:bottom="1440" w:gutter="0" w:footer="0" w:header="0"/>
        </w:sectPr>
      </w:pPr>
    </w:p>
    <w:bookmarkStart w:id="174" w:name="page175"/>
    <w:bookmarkEnd w:id="174"/>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Company estimates the fair value of the embedded derivative feature at each reporting date based on a with or without valuation approach which leverages the Black-Scholes-Merton option-pricing model. The key inputs and assumption in the model include the fair value of the Company’s equity, exercise prices which are based on the participation thresholds of the preferred and common securities,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5"/>
          </w:tcPr>
          <w:p>
            <w:pPr>
              <w:ind w:left="66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237"/>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26"/>
        </w:trPr>
        <w:tc>
          <w:tcPr>
            <w:tcW w:w="6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vMerge w:val="restart"/>
          </w:tcPr>
          <w:p>
            <w:pPr>
              <w:jc w:val="center"/>
              <w:ind w:right="237"/>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84"/>
        </w:trPr>
        <w:tc>
          <w:tcPr>
            <w:tcW w:w="6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ind w:right="533"/>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237"/>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6"/>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55.0 %</w:t>
            </w:r>
          </w:p>
        </w:tc>
        <w:tc>
          <w:tcPr>
            <w:tcW w:w="0" w:type="dxa"/>
            <w:vAlign w:val="bottom"/>
          </w:tcPr>
          <w:p>
            <w:pPr>
              <w:spacing w:after="0"/>
              <w:rPr>
                <w:sz w:val="1"/>
                <w:szCs w:val="1"/>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ind w:left="700"/>
              <w:spacing w:after="0"/>
              <w:rPr>
                <w:sz w:val="20"/>
                <w:szCs w:val="20"/>
                <w:color w:val="auto"/>
              </w:rPr>
            </w:pPr>
            <w:r>
              <w:rPr>
                <w:rFonts w:ascii="Arial" w:cs="Arial" w:eastAsia="Arial" w:hAnsi="Arial"/>
                <w:sz w:val="18"/>
                <w:szCs w:val="18"/>
                <w:color w:val="auto"/>
                <w:w w:val="87"/>
              </w:rPr>
              <w:t>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0.12 %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0.10 %</w:t>
            </w:r>
          </w:p>
        </w:tc>
        <w:tc>
          <w:tcPr>
            <w:tcW w:w="0" w:type="dxa"/>
            <w:vAlign w:val="bottom"/>
          </w:tcPr>
          <w:p>
            <w:pPr>
              <w:spacing w:after="0"/>
              <w:rPr>
                <w:sz w:val="1"/>
                <w:szCs w:val="1"/>
                <w:color w:val="auto"/>
              </w:rPr>
            </w:pPr>
          </w:p>
        </w:tc>
      </w:tr>
      <w:tr>
        <w:trPr>
          <w:trHeight w:val="499"/>
        </w:trPr>
        <w:tc>
          <w:tcPr>
            <w:tcW w:w="6400" w:type="dxa"/>
            <w:vAlign w:val="bottom"/>
          </w:tcPr>
          <w:p>
            <w:pPr>
              <w:ind w:left="340"/>
              <w:spacing w:after="0"/>
              <w:rPr>
                <w:sz w:val="20"/>
                <w:szCs w:val="20"/>
                <w:color w:val="auto"/>
              </w:rPr>
            </w:pPr>
            <w:r>
              <w:rPr>
                <w:rFonts w:ascii="Arial" w:cs="Arial" w:eastAsia="Arial" w:hAnsi="Arial"/>
                <w:sz w:val="18"/>
                <w:szCs w:val="18"/>
                <w:color w:val="auto"/>
              </w:rPr>
              <w:t>The Company’s outstanding borrowings are as follows (in millions):</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6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5"/>
          </w:tcPr>
          <w:p>
            <w:pPr>
              <w:ind w:left="880"/>
              <w:spacing w:after="0"/>
              <w:rPr>
                <w:sz w:val="20"/>
                <w:szCs w:val="20"/>
                <w:color w:val="auto"/>
              </w:rPr>
            </w:pPr>
            <w:r>
              <w:rPr>
                <w:rFonts w:ascii="Arial" w:cs="Arial" w:eastAsia="Arial" w:hAnsi="Arial"/>
                <w:sz w:val="14"/>
                <w:szCs w:val="14"/>
                <w:b w:val="1"/>
                <w:bCs w:val="1"/>
                <w:color w:val="auto"/>
                <w:w w:val="90"/>
              </w:rPr>
              <w:t>December 31,</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center"/>
              <w:ind w:right="117"/>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26"/>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vMerge w:val="restart"/>
          </w:tcPr>
          <w:p>
            <w:pPr>
              <w:jc w:val="center"/>
              <w:ind w:right="117"/>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84"/>
        </w:trPr>
        <w:tc>
          <w:tcPr>
            <w:tcW w:w="6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6"/>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Lines of credit—current</w:t>
            </w:r>
          </w:p>
        </w:tc>
        <w:tc>
          <w:tcPr>
            <w:tcW w:w="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Promissory notes—noncurrent</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28.5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embedded derivative contra-liability</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w w:val="91"/>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w w:val="97"/>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Add: unamortized debt premium</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contractual payments due until 2026, when the full principal amount of the Notes is repayable.</w:t>
      </w:r>
    </w:p>
    <w:p>
      <w:pPr>
        <w:spacing w:after="0" w:line="167" w:lineRule="exact"/>
        <w:rPr>
          <w:sz w:val="20"/>
          <w:szCs w:val="20"/>
          <w:color w:val="auto"/>
        </w:rPr>
      </w:pPr>
    </w:p>
    <w:p>
      <w:pPr>
        <w:ind w:left="660" w:hanging="652"/>
        <w:spacing w:after="0"/>
        <w:tabs>
          <w:tab w:leader="none" w:pos="6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color w:val="auto"/>
        </w:rPr>
        <w:t>Litigation and Other Legal Matters</w:t>
      </w:r>
      <w:r>
        <w:rPr>
          <w:rFonts w:ascii="Arial" w:cs="Arial" w:eastAsia="Arial" w:hAnsi="Arial"/>
          <w:sz w:val="16"/>
          <w:szCs w:val="16"/>
          <w:color w:val="auto"/>
        </w:rPr>
        <w:t>—The Company is involved from time to time in litigation, claims, and proceedings. Periodically,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evaluates the status of each legal matter and assess potential financial exposure. If the potential loss from any legal proceeding or litigation is considered probable and the amount can be reasonably estimated, the Company accrues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the Company reassesses the potential liability related to the legal proceeding or litigation, and may revise its estimates. Management is not currently aware of any matters that it expects will have a material effect on the financial position, results of operations, or cash flows of the Company. As of December 31, 2019 and 2020 and June 30, 2021 (unaudited), the Company has not accrued any potential loss.</w:t>
      </w:r>
    </w:p>
    <w:p>
      <w:pPr>
        <w:spacing w:after="0" w:line="105" w:lineRule="exact"/>
        <w:rPr>
          <w:sz w:val="20"/>
          <w:szCs w:val="20"/>
          <w:color w:val="auto"/>
        </w:rPr>
      </w:pPr>
    </w:p>
    <w:p>
      <w:pPr>
        <w:ind w:left="660" w:hanging="652"/>
        <w:spacing w:after="0"/>
        <w:tabs>
          <w:tab w:leader="none" w:pos="6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Components of operating lease costs, lease term and discount rate are as follows (dollars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6"/>
                <w:szCs w:val="16"/>
                <w:color w:val="auto"/>
              </w:rPr>
            </w:pPr>
          </w:p>
        </w:tc>
        <w:tc>
          <w:tcPr>
            <w:tcW w:w="2640" w:type="dxa"/>
            <w:vAlign w:val="bottom"/>
            <w:gridSpan w:val="4"/>
          </w:tcPr>
          <w:p>
            <w:pPr>
              <w:ind w:left="3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5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Lease Cost</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2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5"/>
        </w:trPr>
        <w:tc>
          <w:tcPr>
            <w:tcW w:w="5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3"/>
          </w:tcPr>
          <w:p>
            <w:pPr>
              <w:ind w:left="780"/>
              <w:spacing w:after="0"/>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center"/>
              <w:ind w:left="637"/>
              <w:spacing w:after="0"/>
              <w:rPr>
                <w:sz w:val="20"/>
                <w:szCs w:val="20"/>
                <w:color w:val="auto"/>
              </w:rPr>
            </w:pPr>
            <w:r>
              <w:rPr>
                <w:rFonts w:ascii="Arial" w:cs="Arial" w:eastAsia="Arial" w:hAnsi="Arial"/>
                <w:sz w:val="18"/>
                <w:szCs w:val="18"/>
                <w:color w:val="auto"/>
                <w:w w:val="87"/>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center"/>
              <w:ind w:left="635"/>
              <w:spacing w:after="0"/>
              <w:rPr>
                <w:sz w:val="20"/>
                <w:szCs w:val="20"/>
                <w:color w:val="auto"/>
              </w:rPr>
            </w:pPr>
            <w:r>
              <w:rPr>
                <w:rFonts w:ascii="Arial" w:cs="Arial" w:eastAsia="Arial" w:hAnsi="Arial"/>
                <w:sz w:val="18"/>
                <w:szCs w:val="18"/>
                <w:color w:val="auto"/>
                <w:w w:val="95"/>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center"/>
              <w:ind w:left="535"/>
              <w:spacing w:after="0"/>
              <w:rPr>
                <w:sz w:val="20"/>
                <w:szCs w:val="20"/>
                <w:color w:val="auto"/>
              </w:rPr>
            </w:pPr>
            <w:r>
              <w:rPr>
                <w:rFonts w:ascii="Arial" w:cs="Arial" w:eastAsia="Arial" w:hAnsi="Arial"/>
                <w:sz w:val="18"/>
                <w:szCs w:val="18"/>
                <w:color w:val="auto"/>
                <w:w w:val="87"/>
              </w:rPr>
              <w:t>4.2</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Sublease income</w:t>
            </w:r>
          </w:p>
        </w:tc>
        <w:tc>
          <w:tcPr>
            <w:tcW w:w="340" w:type="dxa"/>
            <w:vAlign w:val="bottom"/>
          </w:tcPr>
          <w:p>
            <w:pPr>
              <w:spacing w:after="0"/>
              <w:rPr>
                <w:sz w:val="21"/>
                <w:szCs w:val="21"/>
                <w:color w:val="auto"/>
              </w:rPr>
            </w:pPr>
          </w:p>
        </w:tc>
        <w:tc>
          <w:tcPr>
            <w:tcW w:w="1100" w:type="dxa"/>
            <w:vAlign w:val="bottom"/>
          </w:tcPr>
          <w:p>
            <w:pPr>
              <w:jc w:val="center"/>
              <w:ind w:left="597"/>
              <w:spacing w:after="0"/>
              <w:rPr>
                <w:sz w:val="20"/>
                <w:szCs w:val="20"/>
                <w:color w:val="auto"/>
              </w:rPr>
            </w:pPr>
            <w:r>
              <w:rPr>
                <w:rFonts w:ascii="Arial" w:cs="Arial" w:eastAsia="Arial" w:hAnsi="Arial"/>
                <w:sz w:val="18"/>
                <w:szCs w:val="18"/>
                <w:color w:val="auto"/>
                <w:w w:val="91"/>
              </w:rPr>
              <w:t>(1.8)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center"/>
              <w:ind w:left="615"/>
              <w:spacing w:after="0"/>
              <w:rPr>
                <w:sz w:val="20"/>
                <w:szCs w:val="20"/>
                <w:color w:val="auto"/>
              </w:rPr>
            </w:pPr>
            <w:r>
              <w:rPr>
                <w:rFonts w:ascii="Arial" w:cs="Arial" w:eastAsia="Arial" w:hAnsi="Arial"/>
                <w:sz w:val="18"/>
                <w:szCs w:val="18"/>
                <w:color w:val="auto"/>
                <w:w w:val="91"/>
              </w:rPr>
              <w:t>(1.8)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center"/>
              <w:ind w:left="515"/>
              <w:spacing w:after="0"/>
              <w:rPr>
                <w:sz w:val="20"/>
                <w:szCs w:val="20"/>
                <w:color w:val="auto"/>
              </w:rPr>
            </w:pPr>
            <w:r>
              <w:rPr>
                <w:rFonts w:ascii="Arial" w:cs="Arial" w:eastAsia="Arial" w:hAnsi="Arial"/>
                <w:sz w:val="18"/>
                <w:szCs w:val="18"/>
                <w:color w:val="auto"/>
                <w:w w:val="97"/>
              </w:rPr>
              <w:t>(1.0)</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lease cost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center"/>
              <w:ind w:left="637"/>
              <w:spacing w:after="0"/>
              <w:rPr>
                <w:sz w:val="20"/>
                <w:szCs w:val="20"/>
                <w:color w:val="auto"/>
              </w:rPr>
            </w:pPr>
            <w:r>
              <w:rPr>
                <w:rFonts w:ascii="Arial" w:cs="Arial" w:eastAsia="Arial" w:hAnsi="Arial"/>
                <w:sz w:val="18"/>
                <w:szCs w:val="18"/>
                <w:color w:val="auto"/>
                <w:w w:val="87"/>
              </w:rPr>
              <w:t>5.5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center"/>
              <w:ind w:left="635"/>
              <w:spacing w:after="0"/>
              <w:rPr>
                <w:sz w:val="20"/>
                <w:szCs w:val="20"/>
                <w:color w:val="auto"/>
              </w:rPr>
            </w:pPr>
            <w:r>
              <w:rPr>
                <w:rFonts w:ascii="Arial" w:cs="Arial" w:eastAsia="Arial" w:hAnsi="Arial"/>
                <w:sz w:val="18"/>
                <w:szCs w:val="18"/>
                <w:color w:val="auto"/>
                <w:w w:val="95"/>
              </w:rPr>
              <w:t>5.7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center"/>
              <w:ind w:left="535"/>
              <w:spacing w:after="0"/>
              <w:rPr>
                <w:sz w:val="20"/>
                <w:szCs w:val="20"/>
                <w:color w:val="auto"/>
              </w:rPr>
            </w:pPr>
            <w:r>
              <w:rPr>
                <w:rFonts w:ascii="Arial" w:cs="Arial" w:eastAsia="Arial" w:hAnsi="Arial"/>
                <w:sz w:val="18"/>
                <w:szCs w:val="18"/>
                <w:color w:val="auto"/>
                <w:w w:val="87"/>
              </w:rPr>
              <w:t>3.2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F-25</w:t>
      </w:r>
    </w:p>
    <w:p>
      <w:pPr>
        <w:sectPr>
          <w:pgSz w:w="11900" w:h="16838" w:orient="portrait"/>
          <w:cols w:equalWidth="0" w:num="1">
            <w:col w:w="11240"/>
          </w:cols>
          <w:pgMar w:left="320" w:top="175" w:right="339" w:bottom="1440" w:gutter="0" w:footer="0" w:header="0"/>
          <w:type w:val="continuous"/>
        </w:sectPr>
      </w:pPr>
    </w:p>
    <w:bookmarkStart w:id="175" w:name="page176"/>
    <w:bookmarkEnd w:id="175"/>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2140" w:type="dxa"/>
            <w:vAlign w:val="bottom"/>
            <w:gridSpan w:val="3"/>
          </w:tcPr>
          <w:p>
            <w:pPr>
              <w:ind w:left="118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26"/>
        </w:trPr>
        <w:tc>
          <w:tcPr>
            <w:tcW w:w="6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Lease Term and Discount Rate</w:t>
            </w: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84"/>
        </w:trPr>
        <w:tc>
          <w:tcPr>
            <w:tcW w:w="6400" w:type="dxa"/>
            <w:vAlign w:val="bottom"/>
            <w:vMerge w:val="continue"/>
          </w:tcPr>
          <w:p>
            <w:pPr>
              <w:spacing w:after="0"/>
              <w:rPr>
                <w:sz w:val="16"/>
                <w:szCs w:val="16"/>
                <w:color w:val="auto"/>
              </w:rPr>
            </w:pPr>
          </w:p>
        </w:tc>
        <w:tc>
          <w:tcPr>
            <w:tcW w:w="1540" w:type="dxa"/>
            <w:vAlign w:val="bottom"/>
          </w:tcPr>
          <w:p>
            <w:pPr>
              <w:jc w:val="right"/>
              <w:ind w:right="53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4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4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6"/>
        </w:trPr>
        <w:tc>
          <w:tcPr>
            <w:tcW w:w="6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540" w:type="dxa"/>
            <w:vAlign w:val="bottom"/>
          </w:tcPr>
          <w:p>
            <w:pPr>
              <w:jc w:val="right"/>
              <w:spacing w:after="0"/>
              <w:rPr>
                <w:sz w:val="20"/>
                <w:szCs w:val="20"/>
                <w:color w:val="auto"/>
              </w:rPr>
            </w:pPr>
            <w:r>
              <w:rPr>
                <w:rFonts w:ascii="Arial" w:cs="Arial" w:eastAsia="Arial" w:hAnsi="Arial"/>
                <w:sz w:val="18"/>
                <w:szCs w:val="18"/>
                <w:color w:val="auto"/>
              </w:rPr>
              <w:t>6.3 %</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Right-of-use assets as of December 31, 2019 and 2020 and June 30, 2021 (unaudited) were $13.5 million, $14.0 million and $10.2 million, respectively.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schedule of payments of lease liabilities as of December 31, 2020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273"/>
              <w:spacing w:after="0"/>
              <w:rPr>
                <w:sz w:val="20"/>
                <w:szCs w:val="20"/>
                <w:color w:val="auto"/>
              </w:rPr>
            </w:pPr>
            <w:r>
              <w:rPr>
                <w:rFonts w:ascii="Arial" w:cs="Arial" w:eastAsia="Arial" w:hAnsi="Arial"/>
                <w:sz w:val="14"/>
                <w:szCs w:val="14"/>
                <w:b w:val="1"/>
                <w:bCs w:val="1"/>
                <w:color w:val="auto"/>
              </w:rPr>
              <w:t>December 31,</w:t>
            </w:r>
          </w:p>
        </w:tc>
      </w:tr>
      <w:tr>
        <w:trPr>
          <w:trHeight w:val="216"/>
        </w:trPr>
        <w:tc>
          <w:tcPr>
            <w:tcW w:w="9680" w:type="dxa"/>
            <w:vAlign w:val="bottom"/>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240" w:type="dxa"/>
            <w:vAlign w:val="bottom"/>
          </w:tcPr>
          <w:p>
            <w:pPr>
              <w:spacing w:after="0"/>
              <w:rPr>
                <w:sz w:val="18"/>
                <w:szCs w:val="18"/>
                <w:color w:val="auto"/>
              </w:rPr>
            </w:pPr>
          </w:p>
        </w:tc>
        <w:tc>
          <w:tcPr>
            <w:tcW w:w="132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6"/>
        </w:trPr>
        <w:tc>
          <w:tcPr>
            <w:tcW w:w="9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9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9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9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undiscounted cash flows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43"/>
        </w:trPr>
        <w:tc>
          <w:tcPr>
            <w:tcW w:w="9680" w:type="dxa"/>
            <w:vAlign w:val="bottom"/>
          </w:tcPr>
          <w:p>
            <w:pPr>
              <w:ind w:left="360"/>
              <w:spacing w:after="0"/>
              <w:rPr>
                <w:sz w:val="20"/>
                <w:szCs w:val="20"/>
                <w:color w:val="auto"/>
              </w:rPr>
            </w:pPr>
            <w:r>
              <w:rPr>
                <w:rFonts w:ascii="Arial" w:cs="Arial" w:eastAsia="Arial" w:hAnsi="Arial"/>
                <w:sz w:val="18"/>
                <w:szCs w:val="18"/>
                <w:color w:val="auto"/>
              </w:rPr>
              <w:t>Less: imputed interest</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9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43"/>
        </w:trPr>
        <w:tc>
          <w:tcPr>
            <w:tcW w:w="9680" w:type="dxa"/>
            <w:vAlign w:val="bottom"/>
          </w:tcPr>
          <w:p>
            <w:pPr>
              <w:ind w:left="360"/>
              <w:spacing w:after="0"/>
              <w:rPr>
                <w:sz w:val="20"/>
                <w:szCs w:val="20"/>
                <w:color w:val="auto"/>
              </w:rPr>
            </w:pPr>
            <w:r>
              <w:rPr>
                <w:rFonts w:ascii="Arial" w:cs="Arial" w:eastAsia="Arial" w:hAnsi="Arial"/>
                <w:sz w:val="18"/>
                <w:szCs w:val="18"/>
                <w:color w:val="auto"/>
              </w:rPr>
              <w:t>Less: lease liabilities, current</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9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9"/>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 noncurrent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60" w:hanging="652"/>
        <w:spacing w:after="0"/>
        <w:tabs>
          <w:tab w:leader="none" w:pos="6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STOCK AND STOCKHOLDERS’ EQUITY</w:t>
      </w:r>
    </w:p>
    <w:p>
      <w:pPr>
        <w:spacing w:after="0" w:line="17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Redeemable Convertible Preferred Stock</w:t>
      </w:r>
      <w:r>
        <w:rPr>
          <w:rFonts w:ascii="Arial" w:cs="Arial" w:eastAsia="Arial" w:hAnsi="Arial"/>
          <w:sz w:val="18"/>
          <w:szCs w:val="18"/>
          <w:color w:val="auto"/>
        </w:rPr>
        <w:t>—The total number of Series A redeemable convertible preferred stock authorized for issuance is</w:t>
      </w:r>
      <w:r>
        <w:rPr>
          <w:rFonts w:ascii="Arial" w:cs="Arial" w:eastAsia="Arial" w:hAnsi="Arial"/>
          <w:sz w:val="18"/>
          <w:szCs w:val="18"/>
          <w:b w:val="1"/>
          <w:bCs w:val="1"/>
          <w:color w:val="auto"/>
        </w:rPr>
        <w:t xml:space="preserve"> </w:t>
      </w:r>
      <w:r>
        <w:rPr>
          <w:rFonts w:ascii="Arial" w:cs="Arial" w:eastAsia="Arial" w:hAnsi="Arial"/>
          <w:sz w:val="18"/>
          <w:szCs w:val="18"/>
          <w:color w:val="auto"/>
        </w:rPr>
        <w:t>17.3 million shares. There were 15.4 million shares of Series A redeemable convertible preferred stock issued and outstanding as of December 31, 2019 and 2020, and 15.2 million shares issued and outstanding as of June 30, 2021 (unaudited).</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rights and preferences of the redeemable convertible preferred stock are as follows: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i w:val="1"/>
          <w:iCs w:val="1"/>
          <w:color w:val="auto"/>
        </w:rPr>
        <w:t>Dividend Rights</w:t>
      </w:r>
      <w:r>
        <w:rPr>
          <w:rFonts w:ascii="Arial" w:cs="Arial" w:eastAsia="Arial" w:hAnsi="Arial"/>
          <w:sz w:val="17"/>
          <w:szCs w:val="17"/>
          <w:color w:val="auto"/>
        </w:rPr>
        <w:t>—The Corporation shall not declare, pay or set aside any dividends on shares of any other class or series of capital stock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unless the holders of the Series A redeemable convertible preferred stock then outstanding shall first receive, or simultaneously receive, out of funds legally available therefore, a noncumulative dividend on each outstanding share of Series A redeemable convertible preferred stock in an amount equal to eight percent (8%) of the Series A original issue price. The foregoing dividends shall be paid when and if declared by the Board. The Series A original issue price shall mean $4.48980 per share, subject to appropriate adjustment in the event of any stock dividend, stock split, combination or other similar recapitalization with respect to the Series A redeemable convertible preferred stock. No dividends have been declared or paid by the Company as of December 31, 2019 and 2020, or June 30, 2021 (unaudited).</w:t>
      </w:r>
    </w:p>
    <w:p>
      <w:pPr>
        <w:spacing w:after="0" w:line="12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b w:val="1"/>
          <w:bCs w:val="1"/>
          <w:i w:val="1"/>
          <w:iCs w:val="1"/>
          <w:color w:val="auto"/>
        </w:rPr>
        <w:t>Conversion Rights</w:t>
      </w:r>
      <w:r>
        <w:rPr>
          <w:rFonts w:ascii="Arial" w:cs="Arial" w:eastAsia="Arial" w:hAnsi="Arial"/>
          <w:sz w:val="16"/>
          <w:szCs w:val="16"/>
          <w:color w:val="auto"/>
        </w:rPr>
        <w:t>—Each share of Series A redeemable convertible preferred stock shall be convertible, at the option of the holder thereof, at any time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from time to time, and without the payment of additional consideration by the holder thereof, into such number of fully paid and non-assessable shares of Class A common stock as is determined by dividing the Series A original issue price by the Series A Conversion Price (as defined below) in effect at the time of conversion. The “Series A Conversion Price” shall initially be equal to $4.48980. Such initial Series A Conversion Price, and the rate at which shares of Series A redeemable convertible preferred stock may be converted into shares of Class A common stock, shall be subject to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F-26</w:t>
      </w:r>
    </w:p>
    <w:p>
      <w:pPr>
        <w:sectPr>
          <w:pgSz w:w="11900" w:h="16838" w:orient="portrait"/>
          <w:cols w:equalWidth="0" w:num="1">
            <w:col w:w="11240"/>
          </w:cols>
          <w:pgMar w:left="320" w:top="175" w:right="339" w:bottom="1440" w:gutter="0" w:footer="0" w:header="0"/>
        </w:sectPr>
      </w:pPr>
    </w:p>
    <w:bookmarkStart w:id="176" w:name="page177"/>
    <w:bookmarkEnd w:id="176"/>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conversion rights terminate (a) in the event of a notice of redemption of any shares of Series A redeemable convertible preferred stock, at the close of business on the last full day preceding the date fixed for redemption or (b) in the event of a liquidation, dissolution or winding up of the Company or a deemed liquidation event, at the close of business on the last full day preceding the date fixed for payment of any such amount distributable on such event to the holders of the Series A redeemable convertible preferred stock.</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 fractional shares of Class A common stock shall be issued upon conversion of the Series A redeemable convertible preferred stock. The holder shall receive cash equal to such fraction of the common stock times the fair market value of the share of the common stock. Upon notice of conversion, the Company shall issue the number of full shares of common stock, pay in cash the amount of fractional shares, and pay all declared but unpaid dividends on the shares of preferred stock converted.</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Liquidation Rights</w:t>
      </w:r>
      <w:r>
        <w:rPr>
          <w:rFonts w:ascii="Arial" w:cs="Arial" w:eastAsia="Arial" w:hAnsi="Arial"/>
          <w:sz w:val="18"/>
          <w:szCs w:val="18"/>
          <w:color w:val="auto"/>
        </w:rPr>
        <w:t>—In the event of any liquidation, dissolution, or winding up of the Company, either voluntary or involuntary, the 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A redeemable convertible preferred stock shall be entitled to receive prior and in preference to any distribution from the proceeds of the liquidation event of the Company to the holders of the common stock by reason of their ownership thereof, the greater of (i) an amount equal to the original issue price per share of $4.48980, plus any dividends declared but unpaid thereon or (ii) such amount per share as would have been payable had all shares of Series A redeemable convertible preferred stock been converted into common stock immediately prior to such liquidation, dissolution, winding up or deemed liquidation event.</w:t>
      </w:r>
    </w:p>
    <w:p>
      <w:pPr>
        <w:spacing w:after="0" w:line="1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After the payment of all preferential amounts required to be paid to the holders of the shares of Series A redeemable convertible preferred stock, the remaining assets the Company available for distribution shall be distributed among the holders of the shares of common stock, pro rata based on the number of shares held by each such holder, treating for this purpose all such securities as if they had been converted to common stock.</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Voting Rights</w:t>
      </w:r>
      <w:r>
        <w:rPr>
          <w:rFonts w:ascii="Arial" w:cs="Arial" w:eastAsia="Arial" w:hAnsi="Arial"/>
          <w:sz w:val="18"/>
          <w:szCs w:val="18"/>
          <w:color w:val="auto"/>
        </w:rPr>
        <w:t>—Each share of Series A convertible redeemable preferred stock has voting rights equal to the number of common shares into which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A preferred stock could be converted on the record date for determining stockholders entitled to vote on such matter. Holders of the Series A convertible redeemable preferred stock shall vote together with the holders of common stock as a single class, except as otherwise provided in the Second Amended and Restated Articles of Incorporation.</w:t>
      </w:r>
    </w:p>
    <w:p>
      <w:pPr>
        <w:spacing w:after="0" w:line="13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holders of shares of Series A redeemable convertible preferred stock, exclusively and as a separate class, shall be entitled to elect two members of the board of directors. The holders of shares of Class F common stock, exclusively and as a separate class, shall be entitled to elect one director. The holders of record of the shares of common stock, voting as a separate class, and the holders of record of the shares of Series A redeemable convertible preferred stock, voting as a separate class and on an as-converted to common stock basis, shall be entitled to elect two directors.</w:t>
      </w:r>
    </w:p>
    <w:p>
      <w:pPr>
        <w:spacing w:after="0" w:line="1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Redemption</w:t>
      </w:r>
      <w:r>
        <w:rPr>
          <w:rFonts w:ascii="Arial" w:cs="Arial" w:eastAsia="Arial" w:hAnsi="Arial"/>
          <w:sz w:val="18"/>
          <w:szCs w:val="18"/>
          <w:color w:val="auto"/>
        </w:rPr>
        <w:t>—Upon written notice requesting redemption by a majority of the then outstanding shares of Series A redeemable convertible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shares of Series A redeemable convertible preferred stock shall be redeemed by the Company at a price equal to the greater of (a) the Series A original issue price per share, plus all declared but unpaid dividends thereon and (b) the fair market value of a single share of Series A redeemable convertible preferred stock as of the date of the Company’s receipt of the redemption request, in three annual installments commencing not more than sixty days after receipt by the corporation at any time on or after March 1, 2024. Such redemption could occur outside of the control of the Company, and accordingly, all shares of redeemable convertible preferred stock have been presented outside of permanent equity in the accompanying consolidated balance sheets for all periods presented.</w:t>
      </w:r>
    </w:p>
    <w:p>
      <w:pPr>
        <w:spacing w:after="0" w:line="14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Series A redeemable convertible preferred stock is contingently redeemable and as the redemption price is subject to change, changes in the estimate of the redemption price are necessary. The Company has elected to recognize changes in the redemption value immediately as they occur and adjust the carrying value of the security to the redemption value at the end of each reporting period so long as it is probable that the instrument will become redeemable. As of December 31, 2020 and June 30, 2021 (unaudited), the redemption was not deemed probable of becoming redeemable and therefore the Company has not made any adjustments to the carrying value of the Series A redeemable convertible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F-27</w:t>
      </w:r>
    </w:p>
    <w:p>
      <w:pPr>
        <w:sectPr>
          <w:pgSz w:w="11900" w:h="16838" w:orient="portrait"/>
          <w:cols w:equalWidth="0" w:num="1">
            <w:col w:w="11240"/>
          </w:cols>
          <w:pgMar w:left="320" w:top="175" w:right="339" w:bottom="1440" w:gutter="0" w:footer="0" w:header="0"/>
        </w:sectPr>
      </w:pPr>
    </w:p>
    <w:bookmarkStart w:id="177" w:name="page178"/>
    <w:bookmarkEnd w:id="177"/>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b w:val="1"/>
          <w:bCs w:val="1"/>
          <w:color w:val="auto"/>
        </w:rPr>
        <w:t>Common Stock</w:t>
      </w:r>
      <w:r>
        <w:rPr>
          <w:rFonts w:ascii="Arial" w:cs="Arial" w:eastAsia="Arial" w:hAnsi="Arial"/>
          <w:sz w:val="16"/>
          <w:szCs w:val="16"/>
          <w:color w:val="auto"/>
        </w:rPr>
        <w:t>—As of December 31, 2020 and June 30, 2021 (unaudited) the Company had 255.0 million common shares authorized for issuance,</w:t>
      </w:r>
      <w:r>
        <w:rPr>
          <w:rFonts w:ascii="Arial" w:cs="Arial" w:eastAsia="Arial" w:hAnsi="Arial"/>
          <w:sz w:val="16"/>
          <w:szCs w:val="16"/>
          <w:b w:val="1"/>
          <w:bCs w:val="1"/>
          <w:color w:val="auto"/>
        </w:rPr>
        <w:t xml:space="preserve"> </w:t>
      </w:r>
      <w:r>
        <w:rPr>
          <w:rFonts w:ascii="Arial" w:cs="Arial" w:eastAsia="Arial" w:hAnsi="Arial"/>
          <w:sz w:val="16"/>
          <w:szCs w:val="16"/>
          <w:color w:val="auto"/>
        </w:rPr>
        <w:t>consisting of 155.0 million shares of Class A common stock, 70.0 million shares of Class F common stock, and 30.0 million shares of Class G common stock, each with a par value of $0.0001 per share. Holders of all classes of common stock are entitled to dividends when, as and if, declared by our Board of Directors, subject to the rights of the holders of all classes of stock outstanding having priority rights to dividends. The holder of each share of Class A common stock is entitled to one vote, while the holder of each share of Class F common stock is entitled to 10 votes and the holder of Class G common stock is not entitled to vote. Shares of the Class F common stock and the Class G common stock are convertible into an equivalent number of shares of Class A common stock and generally convert into shares of Class A common stock upon Transfer, as defined below. Class F common stock is convertible at the option of the holder at any time upon written notice to the transfer agent of the corporation and is automatically convertible upon Transfer. Class G common stock is not convertible at the option of the holder and is only automatically convertible upon Transfer.</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Transfer is defined as any sale, assignment, transfer, conveyance, hypothecation or other transfer or disposition of such share or any legal or beneficial interest in such share, whether or not for value and whether voluntary or involuntary or by operation of law. As of December 31, 2019 and 2020 and June 30, 2021 (unaudited), there were 16.0 million, 30.1 million and 35.8 million shares of Class A common stock issued and outstanding, respectively. As of December 31, 2019 and 2020 and June 30, 2021 (unaudited), there were 68.6 million, 67.6 million and 63.4 million shares of Class F common stock, respectively, and no shares of Class G common stock issued and outstanding.</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November 2020, the Company entered into a Class A Common Stock Purchase Agreement to sell shares of Class A common stock at $7.00 per share. The Company sold and issued approximately 7.8 million shares for gross proceeds of $54.3 million.</w:t>
      </w:r>
    </w:p>
    <w:p>
      <w:pPr>
        <w:spacing w:after="0" w:line="11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Common Stock Transfers</w:t>
      </w:r>
      <w:r>
        <w:rPr>
          <w:rFonts w:ascii="Arial" w:cs="Arial" w:eastAsia="Arial" w:hAnsi="Arial"/>
          <w:sz w:val="18"/>
          <w:szCs w:val="18"/>
          <w:color w:val="auto"/>
        </w:rPr>
        <w:t>—In February 2020, four new investors led an offer to purchase approximately 3.4 million shares of Class A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from existing employees and service providers that hold common stock and vested options at a price of $7.00 per share for an aggregate repurchase price of $23.8 million. The transaction was initiated by, and the purchase price was set by, the new investors. No compensation expense was recorded on the transaction as management concluded that it was not a mechanism to provide compensation to employees, but rather an arms-length transaction between willing buyers and willing sellers, at a price per share determined by a third party.</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December 2020, the Company waived its right of first refusal and the CEO entered into a stock transfer agreement to sell approximately 1.1 million shares of Class F common stock to a third party at $7.00 per share for an aggregate purchase price of $7.7 million. Upon consummation of the sale to the third party, the 1.1 million shares of Class F common stock were automatically converted into shares of Class A common stock on a 1:1 basis in accordance with the rights and preferences of the Class F common stock. No compensation expense was recorded on this transaction as management concluded that it was not a mechanism to provide compensation to employees, but rather an arms-length transaction between willing buyers and willing sellers, at a price per share determined by a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F-28</w:t>
      </w:r>
    </w:p>
    <w:p>
      <w:pPr>
        <w:sectPr>
          <w:pgSz w:w="11900" w:h="16838" w:orient="portrait"/>
          <w:cols w:equalWidth="0" w:num="1">
            <w:col w:w="11240"/>
          </w:cols>
          <w:pgMar w:left="320" w:top="175" w:right="339" w:bottom="1440" w:gutter="0" w:footer="0" w:header="0"/>
        </w:sectPr>
      </w:pPr>
    </w:p>
    <w:bookmarkStart w:id="178" w:name="page179"/>
    <w:bookmarkEnd w:id="178"/>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Class A Common Shares Reserved for Future Issuance</w:t>
      </w:r>
      <w:r>
        <w:rPr>
          <w:rFonts w:ascii="Arial" w:cs="Arial" w:eastAsia="Arial" w:hAnsi="Arial"/>
          <w:sz w:val="18"/>
          <w:szCs w:val="18"/>
          <w:color w:val="auto"/>
        </w:rPr>
        <w:t>—The Company had reserved the following shares of Class A common stock for future</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2160" w:type="dxa"/>
            <w:vAlign w:val="bottom"/>
            <w:gridSpan w:val="3"/>
          </w:tcPr>
          <w:p>
            <w:pPr>
              <w:ind w:left="118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June 30,</w:t>
            </w:r>
          </w:p>
        </w:tc>
      </w:tr>
      <w:tr>
        <w:trPr>
          <w:trHeight w:val="26"/>
        </w:trPr>
        <w:tc>
          <w:tcPr>
            <w:tcW w:w="63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4"/>
        </w:trPr>
        <w:tc>
          <w:tcPr>
            <w:tcW w:w="6360" w:type="dxa"/>
            <w:vAlign w:val="bottom"/>
          </w:tcPr>
          <w:p>
            <w:pPr>
              <w:spacing w:after="0"/>
              <w:rPr>
                <w:sz w:val="16"/>
                <w:szCs w:val="16"/>
                <w:color w:val="auto"/>
              </w:rPr>
            </w:pPr>
          </w:p>
        </w:tc>
        <w:tc>
          <w:tcPr>
            <w:tcW w:w="1560" w:type="dxa"/>
            <w:vAlign w:val="bottom"/>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r>
      <w:tr>
        <w:trPr>
          <w:trHeight w:val="26"/>
        </w:trPr>
        <w:tc>
          <w:tcPr>
            <w:tcW w:w="63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4"/>
        </w:trPr>
        <w:tc>
          <w:tcPr>
            <w:tcW w:w="6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4"/>
              </w:rPr>
              <w:t>(unaudited)</w:t>
            </w:r>
          </w:p>
        </w:tc>
      </w:tr>
      <w:tr>
        <w:trPr>
          <w:trHeight w:val="26"/>
        </w:trPr>
        <w:tc>
          <w:tcPr>
            <w:tcW w:w="6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A common stock:</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Shares outstanding from stock options and restricted stock units</w:t>
            </w:r>
          </w:p>
        </w:tc>
        <w:tc>
          <w:tcPr>
            <w:tcW w:w="1560" w:type="dxa"/>
            <w:vAlign w:val="bottom"/>
          </w:tcPr>
          <w:p>
            <w:pPr>
              <w:jc w:val="right"/>
              <w:spacing w:after="0"/>
              <w:rPr>
                <w:sz w:val="20"/>
                <w:szCs w:val="20"/>
                <w:color w:val="auto"/>
              </w:rPr>
            </w:pPr>
            <w:r>
              <w:rPr>
                <w:rFonts w:ascii="Arial" w:cs="Arial" w:eastAsia="Arial" w:hAnsi="Arial"/>
                <w:sz w:val="18"/>
                <w:szCs w:val="18"/>
                <w:color w:val="auto"/>
              </w:rPr>
              <w:t>24,292,454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20,119,856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20,450,353</w:t>
            </w:r>
          </w:p>
        </w:tc>
      </w:tr>
      <w:tr>
        <w:trPr>
          <w:trHeight w:val="27"/>
        </w:trPr>
        <w:tc>
          <w:tcPr>
            <w:tcW w:w="6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reserved for Series A redeemable convertible preferred stock</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15,374,664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15,374,664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15,169,664</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Shares reserved for Class F common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68,637,122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67,565,513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63,371,308</w:t>
            </w:r>
          </w:p>
        </w:tc>
      </w:tr>
      <w:tr>
        <w:trPr>
          <w:trHeight w:val="27"/>
        </w:trPr>
        <w:tc>
          <w:tcPr>
            <w:tcW w:w="6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available for grant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2,266,994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921,166</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2,244,628</w:t>
            </w:r>
          </w:p>
        </w:tc>
      </w:tr>
      <w:tr>
        <w:trPr>
          <w:trHeight w:val="263"/>
        </w:trPr>
        <w:tc>
          <w:tcPr>
            <w:tcW w:w="6360" w:type="dxa"/>
            <w:vAlign w:val="bottom"/>
          </w:tcPr>
          <w:p>
            <w:pPr>
              <w:ind w:left="20"/>
              <w:spacing w:after="0"/>
              <w:rPr>
                <w:sz w:val="20"/>
                <w:szCs w:val="20"/>
                <w:color w:val="auto"/>
              </w:rPr>
            </w:pPr>
            <w:r>
              <w:rPr>
                <w:rFonts w:ascii="Arial" w:cs="Arial" w:eastAsia="Arial" w:hAnsi="Arial"/>
                <w:sz w:val="18"/>
                <w:szCs w:val="18"/>
                <w:color w:val="auto"/>
              </w:rPr>
              <w:t>Total shares reserved</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110,571,234</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103,981,199</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101,235,953</w:t>
            </w:r>
          </w:p>
        </w:tc>
      </w:tr>
      <w:tr>
        <w:trPr>
          <w:trHeight w:val="21"/>
        </w:trPr>
        <w:tc>
          <w:tcPr>
            <w:tcW w:w="63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color w:val="auto"/>
        </w:rPr>
        <w:t>Equity Incentive Plan</w:t>
      </w:r>
      <w:r>
        <w:rPr>
          <w:rFonts w:ascii="Arial" w:cs="Arial" w:eastAsia="Arial" w:hAnsi="Arial"/>
          <w:sz w:val="17"/>
          <w:szCs w:val="17"/>
          <w:color w:val="auto"/>
        </w:rPr>
        <w:t>—In 2012, the Company’s Board of Directors approved the adoption of the 2012 Equity Incentive Plan (the “Plan”).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provides for the grant of incentive and non-statutory stock options, stock appreciation rights, restricted stock units, and restricted stock awards to employees, non-employee directors, and consultants of the Company. Options to purchase Class A common stock granted under the Plan continue to vest until the last day of employment and generally will vest 25% in the first year and monthly thereafter over 4 years, and expire 10 years from the date of grant. Class A common stock awards are generally issued to officers, directors, employees and consultants, and vest according to an award-specific schedule as approved by the Board of Directors. The Plan was authorized to grant share-based awards for up to 42.1 million shares of common stock as of December 31, 2019 and 2020, and 47.1 million shares of common stock as of June 30, 2021 (unaudited).</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exercise price of incentive stock options granted under the Plan must be at least equal to 100% of the fair market value of the Company’s Class A common stock at the date of grant, as determined by the Board of Directors. The exercise price must not be less than 110% of the fair market value of the Company’s Class A common stock at the date of grant for incentive stock options granted to an employee that owns greater than 10% of the Company stock.</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stock option activity for its Plan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Weighted</w:t>
            </w:r>
          </w:p>
        </w:tc>
        <w:tc>
          <w:tcPr>
            <w:tcW w:w="1440" w:type="dxa"/>
            <w:vAlign w:val="bottom"/>
          </w:tcPr>
          <w:p>
            <w:pPr>
              <w:spacing w:after="0"/>
              <w:rPr>
                <w:sz w:val="14"/>
                <w:szCs w:val="14"/>
                <w:color w:val="auto"/>
              </w:rPr>
            </w:pPr>
          </w:p>
        </w:tc>
      </w:tr>
      <w:tr>
        <w:trPr>
          <w:trHeight w:val="162"/>
        </w:trPr>
        <w:tc>
          <w:tcPr>
            <w:tcW w:w="5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1440" w:type="dxa"/>
            <w:vAlign w:val="bottom"/>
          </w:tcPr>
          <w:p>
            <w:pPr>
              <w:spacing w:after="0"/>
              <w:rPr>
                <w:sz w:val="14"/>
                <w:szCs w:val="14"/>
                <w:color w:val="auto"/>
              </w:rPr>
            </w:pPr>
          </w:p>
        </w:tc>
      </w:tr>
      <w:tr>
        <w:trPr>
          <w:trHeight w:val="162"/>
        </w:trPr>
        <w:tc>
          <w:tcPr>
            <w:tcW w:w="52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Contractual</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Aggregate Intrinsic</w:t>
            </w:r>
          </w:p>
        </w:tc>
      </w:tr>
      <w:tr>
        <w:trPr>
          <w:trHeight w:val="162"/>
        </w:trPr>
        <w:tc>
          <w:tcPr>
            <w:tcW w:w="52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Exercise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Life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6"/>
              </w:rPr>
              <w:t>Value</w:t>
            </w:r>
          </w:p>
        </w:tc>
      </w:tr>
      <w:tr>
        <w:trPr>
          <w:trHeight w:val="186"/>
        </w:trPr>
        <w:tc>
          <w:tcPr>
            <w:tcW w:w="52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6"/>
                <w:szCs w:val="16"/>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Price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r>
      <w:tr>
        <w:trPr>
          <w:trHeight w:val="25"/>
        </w:trPr>
        <w:tc>
          <w:tcPr>
            <w:tcW w:w="5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24,292,454</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2,202,350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(5,401,322)</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Cancelled/forfeited</w:t>
            </w:r>
          </w:p>
        </w:tc>
        <w:tc>
          <w:tcPr>
            <w:tcW w:w="1440" w:type="dxa"/>
            <w:vAlign w:val="bottom"/>
          </w:tcPr>
          <w:p>
            <w:pPr>
              <w:jc w:val="right"/>
              <w:spacing w:after="0"/>
              <w:rPr>
                <w:sz w:val="20"/>
                <w:szCs w:val="20"/>
                <w:color w:val="auto"/>
              </w:rPr>
            </w:pPr>
            <w:r>
              <w:rPr>
                <w:rFonts w:ascii="Arial" w:cs="Arial" w:eastAsia="Arial" w:hAnsi="Arial"/>
                <w:sz w:val="18"/>
                <w:szCs w:val="18"/>
                <w:color w:val="auto"/>
              </w:rPr>
              <w:t>(3,706,119)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6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17,387,363</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w:t>
            </w: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Granted (unaudited)</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1,589,166</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5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Exercised (unaudited)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(3,029,302)</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Cancelled/forfeited (unaudited)</w:t>
            </w:r>
          </w:p>
        </w:tc>
        <w:tc>
          <w:tcPr>
            <w:tcW w:w="1440" w:type="dxa"/>
            <w:vAlign w:val="bottom"/>
          </w:tcPr>
          <w:p>
            <w:pPr>
              <w:jc w:val="right"/>
              <w:spacing w:after="0"/>
              <w:rPr>
                <w:sz w:val="20"/>
                <w:szCs w:val="20"/>
                <w:color w:val="auto"/>
              </w:rPr>
            </w:pPr>
            <w:r>
              <w:rPr>
                <w:rFonts w:ascii="Arial" w:cs="Arial" w:eastAsia="Arial" w:hAnsi="Arial"/>
                <w:sz w:val="18"/>
                <w:szCs w:val="18"/>
                <w:color w:val="auto"/>
              </w:rPr>
              <w:t>(1,039,549)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6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2021 (unaudited)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14,907,678</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w:t>
            </w: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Vested and exercisable as of December 31, 2020</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10,621,463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$49.3</w:t>
            </w:r>
          </w:p>
        </w:tc>
      </w:tr>
      <w:tr>
        <w:trPr>
          <w:trHeight w:val="27"/>
        </w:trPr>
        <w:tc>
          <w:tcPr>
            <w:tcW w:w="5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and exercisable as of June 30, 2021 (unaudited)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8,659,463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r>
      <w:tr>
        <w:trPr>
          <w:trHeight w:val="27"/>
        </w:trPr>
        <w:tc>
          <w:tcPr>
            <w:tcW w:w="52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F-29</w:t>
      </w:r>
    </w:p>
    <w:p>
      <w:pPr>
        <w:sectPr>
          <w:pgSz w:w="11900" w:h="16838" w:orient="portrait"/>
          <w:cols w:equalWidth="0" w:num="1">
            <w:col w:w="11240"/>
          </w:cols>
          <w:pgMar w:left="320" w:top="175" w:right="339" w:bottom="1440" w:gutter="0" w:footer="0" w:header="0"/>
        </w:sectPr>
      </w:pPr>
    </w:p>
    <w:bookmarkStart w:id="179" w:name="page180"/>
    <w:bookmarkEnd w:id="179"/>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weighted-average grant-date fair value of options granted during the years ended December 31, 2019 and 2020 and six months ended June 30, 2021 (unaudited) was $2.26, $3.14 and $5.19 per share, respectively. The intrinsic value of options exercised was $3.7 million, $25.9 million and $17.1 million during the years ended December 31, 2019 and 2020 and six months ended June 30, 2021 (unaudited), respectively. Tax benefits from the exercise of stock options during the years ended December 31, 2019 and 2020 and six months ended June 30, 2021 (unaudited) were $0.3 million, $4.7 million and $2.2 million, including excess tax benefits of an immaterial amount, $3.7 million and $1.8 million, respectively.</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December 31, 2020 and June 30, 2021 (unaudited), there was $15.3 million and $18.8 million, respectively, of total unrecognized compensation cost related to non-vested stock options granted under the Plan, with the cost expected to be recognized over a weighted-average period of 2.6 years and 2.9 years, respectively.</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estimates the fair values of options awarded on the date of grant using the Black-Scholes-Merton option-pricing model, which requires inputs, including the fair value of common stock, expected term, expected volatility, risk-free interest, and dividend yield.</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Company estimates the expected term of options using the simplified method described in Staff Accounting Bulletin Topic 14, as amended, as it does not have sufficient historical experience for determining the expected term of the awards granted. Since the Company’s shares are not publicly traded, expected volatility is estimated based on the average historical volatility of similar entities with publicly traded shares. The risk-free rate for the expected term of the option is based on the U.S. Treasury yield curve at the date of grant. The expected dividend yield was 0% as the Company has not paid, and does not expect to pay cash dividends. Given the absence of a public trading market, the Company’s Board of Directors considered numerous objective and subjective factors to determine the fair value of the Company’s Class A common stock at each meeting at which awards were approved. These factors included, but were not limited to (i) contemporaneous third-party valuations of Class A common stock; (ii) the rights and preferences of Redeemable Convertible Preferred Stock compared to Class A common stock; (iii) the lack of marketability of Class A common stock; (iv) developments in the business; and (v) the likelihood of achieving a liquidity event, such as an IPO or sale of the Company, given prevailing market conditions.</w:t>
      </w:r>
    </w:p>
    <w:p>
      <w:pPr>
        <w:spacing w:after="0" w:line="1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per-share fair value of each stock option was determined on the date of grant using the following weighted-average assumptions and ranges of fair value of common stock:</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3220" w:type="dxa"/>
            <w:vAlign w:val="bottom"/>
            <w:gridSpan w:val="3"/>
          </w:tcPr>
          <w:p>
            <w:pPr>
              <w:jc w:val="right"/>
              <w:ind w:right="733"/>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6"/>
                <w:szCs w:val="16"/>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25"/>
        </w:trPr>
        <w:tc>
          <w:tcPr>
            <w:tcW w:w="63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360" w:type="dxa"/>
            <w:vAlign w:val="bottom"/>
          </w:tcPr>
          <w:p>
            <w:pPr>
              <w:spacing w:after="0"/>
              <w:rPr>
                <w:sz w:val="16"/>
                <w:szCs w:val="16"/>
                <w:color w:val="auto"/>
              </w:rPr>
            </w:pPr>
          </w:p>
        </w:tc>
        <w:tc>
          <w:tcPr>
            <w:tcW w:w="1560" w:type="dxa"/>
            <w:vAlign w:val="bottom"/>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56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June 30, 2021</w:t>
            </w:r>
          </w:p>
        </w:tc>
        <w:tc>
          <w:tcPr>
            <w:tcW w:w="0" w:type="dxa"/>
            <w:vAlign w:val="bottom"/>
          </w:tcPr>
          <w:p>
            <w:pPr>
              <w:spacing w:after="0"/>
              <w:rPr>
                <w:sz w:val="1"/>
                <w:szCs w:val="1"/>
                <w:color w:val="auto"/>
              </w:rPr>
            </w:pPr>
          </w:p>
        </w:tc>
      </w:tr>
      <w:tr>
        <w:trPr>
          <w:trHeight w:val="25"/>
        </w:trPr>
        <w:tc>
          <w:tcPr>
            <w:tcW w:w="63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5"/>
        </w:trPr>
        <w:tc>
          <w:tcPr>
            <w:tcW w:w="6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52.2 %</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54.5 %</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5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6.1</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56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0.6 %</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common stock</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$3.90-$6.00</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$5.28-$7.00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$7.00-$10.36</w:t>
            </w:r>
          </w:p>
        </w:tc>
        <w:tc>
          <w:tcPr>
            <w:tcW w:w="0" w:type="dxa"/>
            <w:vAlign w:val="bottom"/>
          </w:tcPr>
          <w:p>
            <w:pPr>
              <w:spacing w:after="0"/>
              <w:rPr>
                <w:sz w:val="1"/>
                <w:szCs w:val="1"/>
                <w:color w:val="auto"/>
              </w:rPr>
            </w:pPr>
          </w:p>
        </w:tc>
      </w:tr>
      <w:tr>
        <w:trPr>
          <w:trHeight w:val="27"/>
        </w:trPr>
        <w:tc>
          <w:tcPr>
            <w:tcW w:w="63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modified the terms of approximately 0.7 million, 2.0 million and 0.5 million stock options, respectively, in connection with various termination agreements during the year ended December 31, 2019 and 2020, and the six months ended June 30, 2021 (unaudited). These modifications resulted in additional stock-based compensation expense of $0.1 million, $0.2 million, and $0.1 million, respectively, which was fully recognized at the modification date and included within sales and marketing and general and administrative expense in the consolidated statement of operations and comprehensive income (loss).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August 2019, the Company entered into an Option Cancellation Agreement with a former member of our board of directors and an affiliated entity, pursuant to which the Company cancelled an option to purchase 0.2 million shares of Class A common stock held by Camelot Financial Capital Management LLC for consideration equal to $5.10 per share, minus the exercise price for the shares underlying such option. The total consideration paid to Camelot Financial Capital Management LLC was $0.8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F-30</w:t>
      </w:r>
    </w:p>
    <w:p>
      <w:pPr>
        <w:sectPr>
          <w:pgSz w:w="11900" w:h="16838" w:orient="portrait"/>
          <w:cols w:equalWidth="0" w:num="1">
            <w:col w:w="11240"/>
          </w:cols>
          <w:pgMar w:left="320" w:top="175" w:right="339" w:bottom="1440" w:gutter="0" w:footer="0" w:header="0"/>
        </w:sectPr>
      </w:pPr>
    </w:p>
    <w:bookmarkStart w:id="180" w:name="page181"/>
    <w:bookmarkEnd w:id="180"/>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color w:val="auto"/>
        </w:rPr>
        <w:t>Performance-based Options</w:t>
      </w:r>
      <w:r>
        <w:rPr>
          <w:rFonts w:ascii="Arial" w:cs="Arial" w:eastAsia="Arial" w:hAnsi="Arial"/>
          <w:sz w:val="17"/>
          <w:szCs w:val="17"/>
          <w:color w:val="auto"/>
        </w:rPr>
        <w:t>—Under the Plan, the Company has granted certain key employees performance-based stock options of</w:t>
      </w:r>
      <w:r>
        <w:rPr>
          <w:rFonts w:ascii="Arial" w:cs="Arial" w:eastAsia="Arial" w:hAnsi="Arial"/>
          <w:sz w:val="17"/>
          <w:szCs w:val="17"/>
          <w:b w:val="1"/>
          <w:bCs w:val="1"/>
          <w:color w:val="auto"/>
        </w:rPr>
        <w:t xml:space="preserve"> </w:t>
      </w:r>
      <w:r>
        <w:rPr>
          <w:rFonts w:ascii="Arial" w:cs="Arial" w:eastAsia="Arial" w:hAnsi="Arial"/>
          <w:sz w:val="17"/>
          <w:szCs w:val="17"/>
          <w:color w:val="auto"/>
        </w:rPr>
        <w:t>4.1 million shares in June 2018 to incentivize their performance and retention. Subject to the employees’ continued employment with the Company, the performance-based stock options would fully vest in the first quarter of fiscal year 2021 if certain performance metrics are achieved in the year 2020. Performance metrics include both financial performance and non-financial performance. For awards that include a performance condition, compensation expense is recognized when the performance condition is probable of being achieved, at which time the cumulative compensation expense from the grant date will be recognized. As of the grant date, the options were valued using the Black-Scholes-Merton option-pricing model based on the consistent assumption used for the options issued to employees of the Company. As of December 31, 2019, the Company had 2.3 million performance-based stock options outstanding with a total grant-date fair value of $3.4 million. As of December 31, 2020, the Company had no performance-based stock options outstanding as the Company determined that the performance metrics were unlikely to be met and the stock options were canceled during 2020. Accordingly compensation cost associated with unvested options at the date the plan was canceled was reversed. For the years ended December 31, 2019 and 2020, the Company recorded $0.6 million and $(0.6) million, respectively, of stock-based compensation expense (credit) associated with the performance-based options.</w:t>
      </w:r>
    </w:p>
    <w:p>
      <w:pPr>
        <w:spacing w:after="0" w:line="12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Restricted Stock Units</w:t>
      </w:r>
      <w:r>
        <w:rPr>
          <w:rFonts w:ascii="Arial" w:cs="Arial" w:eastAsia="Arial" w:hAnsi="Arial"/>
          <w:sz w:val="18"/>
          <w:szCs w:val="18"/>
          <w:color w:val="auto"/>
        </w:rPr>
        <w:t>—The Plan also provides for the issuance of RSUs of the Company’s common stock to eligible participants. During the year</w:t>
      </w:r>
      <w:r>
        <w:rPr>
          <w:rFonts w:ascii="Arial" w:cs="Arial" w:eastAsia="Arial" w:hAnsi="Arial"/>
          <w:sz w:val="18"/>
          <w:szCs w:val="18"/>
          <w:b w:val="1"/>
          <w:bCs w:val="1"/>
          <w:color w:val="auto"/>
        </w:rPr>
        <w:t xml:space="preserve"> </w:t>
      </w:r>
      <w:r>
        <w:rPr>
          <w:rFonts w:ascii="Arial" w:cs="Arial" w:eastAsia="Arial" w:hAnsi="Arial"/>
          <w:sz w:val="18"/>
          <w:szCs w:val="18"/>
          <w:color w:val="auto"/>
        </w:rPr>
        <w:t>ended December 31, 2020, the Company began issuing RSUs to certain employees and directors under the Plan. These RSUs are subject to service-based vesting conditions. The service-based vesting condition is generally satisfied over four years.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outstanding nonvested RSUs for its Plan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right"/>
              <w:ind w:right="132"/>
              <w:spacing w:after="0"/>
              <w:rPr>
                <w:sz w:val="20"/>
                <w:szCs w:val="20"/>
                <w:color w:val="auto"/>
              </w:rPr>
            </w:pPr>
            <w:r>
              <w:rPr>
                <w:rFonts w:ascii="Arial" w:cs="Arial" w:eastAsia="Arial" w:hAnsi="Arial"/>
                <w:sz w:val="14"/>
                <w:szCs w:val="14"/>
                <w:b w:val="1"/>
                <w:bCs w:val="1"/>
                <w:color w:val="auto"/>
                <w:w w:val="94"/>
              </w:rPr>
              <w:t>Weighted Average</w:t>
            </w:r>
          </w:p>
        </w:tc>
      </w:tr>
      <w:tr>
        <w:trPr>
          <w:trHeight w:val="186"/>
        </w:trPr>
        <w:tc>
          <w:tcPr>
            <w:tcW w:w="8020" w:type="dxa"/>
            <w:vAlign w:val="bottom"/>
          </w:tcPr>
          <w:p>
            <w:pPr>
              <w:spacing w:after="0"/>
              <w:rPr>
                <w:sz w:val="16"/>
                <w:szCs w:val="16"/>
                <w:color w:val="auto"/>
              </w:rPr>
            </w:pPr>
          </w:p>
        </w:tc>
        <w:tc>
          <w:tcPr>
            <w:tcW w:w="1560" w:type="dxa"/>
            <w:vAlign w:val="bottom"/>
          </w:tcPr>
          <w:p>
            <w:pPr>
              <w:jc w:val="right"/>
              <w:ind w:right="172"/>
              <w:spacing w:after="0"/>
              <w:rPr>
                <w:sz w:val="20"/>
                <w:szCs w:val="20"/>
                <w:color w:val="auto"/>
              </w:rPr>
            </w:pPr>
            <w:r>
              <w:rPr>
                <w:rFonts w:ascii="Arial" w:cs="Arial" w:eastAsia="Arial" w:hAnsi="Arial"/>
                <w:sz w:val="14"/>
                <w:szCs w:val="14"/>
                <w:b w:val="1"/>
                <w:bCs w:val="1"/>
                <w:color w:val="auto"/>
              </w:rPr>
              <w:t>Number of Units</w:t>
            </w:r>
          </w:p>
        </w:tc>
        <w:tc>
          <w:tcPr>
            <w:tcW w:w="100" w:type="dxa"/>
            <w:vAlign w:val="bottom"/>
          </w:tcPr>
          <w:p>
            <w:pPr>
              <w:spacing w:after="0"/>
              <w:rPr>
                <w:sz w:val="16"/>
                <w:szCs w:val="16"/>
                <w:color w:val="auto"/>
              </w:rPr>
            </w:pPr>
          </w:p>
        </w:tc>
        <w:tc>
          <w:tcPr>
            <w:tcW w:w="15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Grant Date Fair Value</w:t>
            </w:r>
          </w:p>
        </w:tc>
      </w:tr>
      <w:tr>
        <w:trPr>
          <w:trHeight w:val="26"/>
        </w:trPr>
        <w:tc>
          <w:tcPr>
            <w:tcW w:w="80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as of December 31, 2019</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2,966,678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6.33</w:t>
            </w:r>
          </w:p>
        </w:tc>
      </w:tr>
      <w:tr>
        <w:trPr>
          <w:trHeight w:val="27"/>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(167,832)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Pr>
          <w:p>
            <w:pPr>
              <w:jc w:val="right"/>
              <w:spacing w:after="0"/>
              <w:rPr>
                <w:sz w:val="20"/>
                <w:szCs w:val="20"/>
                <w:color w:val="auto"/>
              </w:rPr>
            </w:pPr>
            <w:r>
              <w:rPr>
                <w:rFonts w:ascii="Arial" w:cs="Arial" w:eastAsia="Arial" w:hAnsi="Arial"/>
                <w:sz w:val="18"/>
                <w:szCs w:val="18"/>
                <w:color w:val="auto"/>
              </w:rPr>
              <w:t>(66,353)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6.39</w:t>
            </w:r>
          </w:p>
        </w:tc>
      </w:tr>
      <w:tr>
        <w:trPr>
          <w:trHeight w:val="27"/>
        </w:trPr>
        <w:tc>
          <w:tcPr>
            <w:tcW w:w="80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6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as of December 31, 2020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2,732,493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r>
      <w:tr>
        <w:trPr>
          <w:trHeight w:val="270"/>
        </w:trPr>
        <w:tc>
          <w:tcPr>
            <w:tcW w:w="8020" w:type="dxa"/>
            <w:vAlign w:val="bottom"/>
          </w:tcPr>
          <w:p>
            <w:pPr>
              <w:ind w:left="20"/>
              <w:spacing w:after="0"/>
              <w:rPr>
                <w:sz w:val="20"/>
                <w:szCs w:val="20"/>
                <w:color w:val="auto"/>
              </w:rPr>
            </w:pPr>
            <w:r>
              <w:rPr>
                <w:rFonts w:ascii="Arial" w:cs="Arial" w:eastAsia="Arial" w:hAnsi="Arial"/>
                <w:sz w:val="18"/>
                <w:szCs w:val="18"/>
                <w:color w:val="auto"/>
              </w:rPr>
              <w:t>Granted (unaudited)</w:t>
            </w:r>
          </w:p>
        </w:tc>
        <w:tc>
          <w:tcPr>
            <w:tcW w:w="1560" w:type="dxa"/>
            <w:vAlign w:val="bottom"/>
          </w:tcPr>
          <w:p>
            <w:pPr>
              <w:jc w:val="right"/>
              <w:spacing w:after="0"/>
              <w:rPr>
                <w:sz w:val="20"/>
                <w:szCs w:val="20"/>
                <w:color w:val="auto"/>
              </w:rPr>
            </w:pPr>
            <w:r>
              <w:rPr>
                <w:rFonts w:ascii="Arial" w:cs="Arial" w:eastAsia="Arial" w:hAnsi="Arial"/>
                <w:sz w:val="18"/>
                <w:szCs w:val="18"/>
                <w:color w:val="auto"/>
              </w:rPr>
              <w:t>3,581,616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9.27</w:t>
            </w:r>
          </w:p>
        </w:tc>
      </w:tr>
      <w:tr>
        <w:trPr>
          <w:trHeight w:val="27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(unaudited)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(431,185)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r>
      <w:tr>
        <w:trPr>
          <w:trHeight w:val="27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(unaudited)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(340,249)</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6.87</w:t>
            </w:r>
          </w:p>
        </w:tc>
      </w:tr>
      <w:tr>
        <w:trPr>
          <w:trHeight w:val="28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as of June 30, 2021 (unaudited)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5,542,675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total fair value of RSUs that vested during the year ended December 31, 2020 was $1.0 million, and during the six months ended June 30, 2021 (unaudited) was $3.1 million. Tax benefits from vesting of RSUs were not material for the year ended December 31, 2020, and $0.2 million for the six months ended June 30, 2021 (unaudited).</w:t>
      </w:r>
    </w:p>
    <w:p>
      <w:pPr>
        <w:spacing w:after="0" w:line="13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As of December 31, 2020 and June 30, 2021 (unaudited), there was approximately $16.5 million and $42.9 million, respectively, of unrecognized compensation cost related to RSUs, with these costs expected to be recognized over a weighted-average period of approximately 3.6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F-31</w:t>
      </w:r>
    </w:p>
    <w:p>
      <w:pPr>
        <w:sectPr>
          <w:pgSz w:w="11900" w:h="16838" w:orient="portrait"/>
          <w:cols w:equalWidth="0" w:num="1">
            <w:col w:w="11240"/>
          </w:cols>
          <w:pgMar w:left="320" w:top="175" w:right="339" w:bottom="1440" w:gutter="0" w:footer="0" w:header="0"/>
        </w:sectPr>
      </w:pPr>
    </w:p>
    <w:bookmarkStart w:id="181" w:name="page182"/>
    <w:bookmarkEnd w:id="181"/>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Stock-Based Compensation</w:t>
      </w:r>
      <w:r>
        <w:rPr>
          <w:rFonts w:ascii="Arial" w:cs="Arial" w:eastAsia="Arial" w:hAnsi="Arial"/>
          <w:sz w:val="16"/>
          <w:szCs w:val="16"/>
          <w:color w:val="auto"/>
        </w:rPr>
        <w:t>—The Company recognized stock-based compensation expense under the Plan as follows (in millions):</w:t>
      </w:r>
    </w:p>
    <w:p>
      <w:pPr>
        <w:sectPr>
          <w:pgSz w:w="11900" w:h="16838" w:orient="portrait"/>
          <w:cols w:equalWidth="0" w:num="1">
            <w:col w:w="11240"/>
          </w:cols>
          <w:pgMar w:left="320" w:top="175" w:right="339" w:bottom="1440" w:gutter="0" w:footer="0" w:header="0"/>
        </w:sectPr>
      </w:pPr>
    </w:p>
    <w:p>
      <w:pPr>
        <w:spacing w:after="0" w:line="244" w:lineRule="exact"/>
        <w:rPr>
          <w:sz w:val="20"/>
          <w:szCs w:val="20"/>
          <w:color w:val="auto"/>
        </w:rPr>
      </w:pPr>
    </w:p>
    <w:p>
      <w:pPr>
        <w:jc w:val="center"/>
        <w:ind w:left="52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32385</wp:posOffset>
            </wp:positionV>
            <wp:extent cx="18770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49" w:lineRule="exact"/>
        <w:rPr>
          <w:sz w:val="20"/>
          <w:szCs w:val="20"/>
          <w:color w:val="auto"/>
        </w:rPr>
      </w:pPr>
    </w:p>
    <w:p>
      <w:pPr>
        <w:ind w:left="5780"/>
        <w:spacing w:after="0"/>
        <w:tabs>
          <w:tab w:leader="none" w:pos="7280" w:val="left"/>
        </w:tabs>
        <w:rPr>
          <w:sz w:val="20"/>
          <w:szCs w:val="20"/>
          <w:color w:val="auto"/>
        </w:rPr>
      </w:pPr>
      <w:r>
        <w:rPr>
          <w:rFonts w:ascii="Arial" w:cs="Arial" w:eastAsia="Arial" w:hAnsi="Arial"/>
          <w:sz w:val="13"/>
          <w:szCs w:val="13"/>
          <w:b w:val="1"/>
          <w:bCs w:val="1"/>
          <w:color w:val="auto"/>
        </w:rPr>
        <w:t>2019</w:t>
      </w:r>
      <w:r>
        <w:rPr>
          <w:sz w:val="20"/>
          <w:szCs w:val="20"/>
          <w:color w:val="auto"/>
        </w:rPr>
        <w:tab/>
      </w:r>
      <w:r>
        <w:rPr>
          <w:rFonts w:ascii="Arial" w:cs="Arial" w:eastAsia="Arial" w:hAnsi="Arial"/>
          <w:sz w:val="13"/>
          <w:szCs w:val="13"/>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39370</wp:posOffset>
            </wp:positionV>
            <wp:extent cx="18770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58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32385</wp:posOffset>
            </wp:positionV>
            <wp:extent cx="18942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49" w:lineRule="exact"/>
        <w:rPr>
          <w:sz w:val="20"/>
          <w:szCs w:val="20"/>
          <w:color w:val="auto"/>
        </w:rPr>
      </w:pPr>
    </w:p>
    <w:p>
      <w:pPr>
        <w:spacing w:after="0"/>
        <w:tabs>
          <w:tab w:leader="none" w:pos="1520" w:val="left"/>
        </w:tabs>
        <w:rPr>
          <w:sz w:val="20"/>
          <w:szCs w:val="20"/>
          <w:color w:val="auto"/>
        </w:rPr>
      </w:pPr>
      <w:r>
        <w:rPr>
          <w:rFonts w:ascii="Arial" w:cs="Arial" w:eastAsia="Arial" w:hAnsi="Arial"/>
          <w:sz w:val="12"/>
          <w:szCs w:val="12"/>
          <w:b w:val="1"/>
          <w:bCs w:val="1"/>
          <w:color w:val="auto"/>
        </w:rPr>
        <w:t>2020</w:t>
      </w:r>
      <w:r>
        <w:rPr>
          <w:sz w:val="20"/>
          <w:szCs w:val="20"/>
          <w:color w:val="auto"/>
        </w:rPr>
        <w:tab/>
      </w:r>
      <w:r>
        <w:rPr>
          <w:rFonts w:ascii="Arial" w:cs="Arial" w:eastAsia="Arial" w:hAnsi="Arial"/>
          <w:sz w:val="12"/>
          <w:szCs w:val="12"/>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46990</wp:posOffset>
            </wp:positionV>
            <wp:extent cx="18942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72"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(unaudited)</w:t>
      </w:r>
    </w:p>
    <w:p>
      <w:pPr>
        <w:spacing w:after="0" w:line="51" w:lineRule="exact"/>
        <w:rPr>
          <w:sz w:val="20"/>
          <w:szCs w:val="20"/>
          <w:color w:val="auto"/>
        </w:rPr>
      </w:pPr>
    </w:p>
    <w:p>
      <w:pPr>
        <w:sectPr>
          <w:pgSz w:w="11900" w:h="16838" w:orient="portrait"/>
          <w:cols w:equalWidth="0" w:num="2">
            <w:col w:w="8120" w:space="720"/>
            <w:col w:w="2400"/>
          </w:cols>
          <w:pgMar w:left="320" w:top="175"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6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5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6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63"/>
        </w:trPr>
        <w:tc>
          <w:tcPr>
            <w:tcW w:w="5200" w:type="dxa"/>
            <w:vAlign w:val="bottom"/>
          </w:tcPr>
          <w:p>
            <w:pPr>
              <w:ind w:left="20"/>
              <w:spacing w:after="0"/>
              <w:rPr>
                <w:sz w:val="20"/>
                <w:szCs w:val="20"/>
                <w:color w:val="auto"/>
              </w:rPr>
            </w:pPr>
            <w:r>
              <w:rPr>
                <w:rFonts w:ascii="Arial" w:cs="Arial" w:eastAsia="Arial" w:hAnsi="Arial"/>
                <w:sz w:val="18"/>
                <w:szCs w:val="18"/>
                <w:color w:val="auto"/>
              </w:rPr>
              <w:t>Total</w:t>
            </w: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1"/>
        </w:trPr>
        <w:tc>
          <w:tcPr>
            <w:tcW w:w="5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$1.1 million and $1.6 million of stock-based compensation for the years ended December 31, 2019 and 2020, respectively, and $0.8 million and $1.4 million for the six months ended June 30, 2020 and 2021 (unaudited), respectively, was capitalized related to software development costs.</w:t>
      </w:r>
    </w:p>
    <w:p>
      <w:pPr>
        <w:spacing w:after="0" w:line="126" w:lineRule="exact"/>
        <w:rPr>
          <w:sz w:val="20"/>
          <w:szCs w:val="20"/>
          <w:color w:val="auto"/>
        </w:rPr>
      </w:pPr>
    </w:p>
    <w:p>
      <w:pPr>
        <w:ind w:left="640" w:hanging="632"/>
        <w:spacing w:after="0"/>
        <w:tabs>
          <w:tab w:leader="none" w:pos="6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Income before the provision for (benefit from) income taxes consisted of the following for the years ended December 31, 2019 and 2020, are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720" w:type="dxa"/>
            <w:vAlign w:val="bottom"/>
            <w:gridSpan w:val="4"/>
          </w:tcPr>
          <w:p>
            <w:pPr>
              <w:jc w:val="right"/>
              <w:ind w:right="236"/>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Pr>
          <w:p>
            <w:pPr>
              <w:spacing w:after="0"/>
              <w:rPr>
                <w:sz w:val="16"/>
                <w:szCs w:val="16"/>
                <w:color w:val="auto"/>
              </w:rPr>
            </w:pPr>
          </w:p>
        </w:tc>
      </w:tr>
      <w:tr>
        <w:trPr>
          <w:trHeight w:val="216"/>
        </w:trPr>
        <w:tc>
          <w:tcPr>
            <w:tcW w:w="80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8"/>
                <w:szCs w:val="18"/>
                <w:color w:val="auto"/>
              </w:rPr>
            </w:pPr>
          </w:p>
        </w:tc>
      </w:tr>
      <w:tr>
        <w:trPr>
          <w:trHeight w:val="26"/>
        </w:trPr>
        <w:tc>
          <w:tcPr>
            <w:tcW w:w="80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7"/>
              </w:rPr>
              <w:t>1.9</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Foreign</w:t>
            </w:r>
          </w:p>
        </w:tc>
        <w:tc>
          <w:tcPr>
            <w:tcW w:w="10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jc w:val="center"/>
              <w:ind w:left="10"/>
              <w:spacing w:after="0"/>
              <w:rPr>
                <w:sz w:val="20"/>
                <w:szCs w:val="20"/>
                <w:color w:val="auto"/>
              </w:rPr>
            </w:pPr>
            <w:r>
              <w:rPr>
                <w:rFonts w:ascii="Arial" w:cs="Arial" w:eastAsia="Arial" w:hAnsi="Arial"/>
                <w:sz w:val="18"/>
                <w:szCs w:val="18"/>
                <w:color w:val="auto"/>
                <w:w w:val="97"/>
              </w:rPr>
              <w:t>(1.0)</w:t>
            </w:r>
          </w:p>
        </w:tc>
      </w:tr>
      <w:tr>
        <w:trPr>
          <w:trHeight w:val="27"/>
        </w:trPr>
        <w:tc>
          <w:tcPr>
            <w:tcW w:w="80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8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7"/>
              </w:rPr>
              <w:t>0.9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provision for income taxes for the years ended December 31, 2019 and 2020, are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720" w:type="dxa"/>
            <w:vAlign w:val="bottom"/>
            <w:gridSpan w:val="4"/>
          </w:tcPr>
          <w:p>
            <w:pPr>
              <w:jc w:val="right"/>
              <w:ind w:right="236"/>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Pr>
          <w:p>
            <w:pPr>
              <w:spacing w:after="0"/>
              <w:rPr>
                <w:sz w:val="16"/>
                <w:szCs w:val="16"/>
                <w:color w:val="auto"/>
              </w:rPr>
            </w:pPr>
          </w:p>
        </w:tc>
      </w:tr>
      <w:tr>
        <w:trPr>
          <w:trHeight w:val="216"/>
        </w:trPr>
        <w:tc>
          <w:tcPr>
            <w:tcW w:w="802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8"/>
                <w:szCs w:val="18"/>
                <w:color w:val="auto"/>
              </w:rPr>
            </w:pPr>
          </w:p>
        </w:tc>
      </w:tr>
      <w:tr>
        <w:trPr>
          <w:trHeight w:val="25"/>
        </w:trPr>
        <w:tc>
          <w:tcPr>
            <w:tcW w:w="80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Federal</w:t>
            </w:r>
          </w:p>
        </w:tc>
        <w:tc>
          <w:tcPr>
            <w:tcW w:w="1100" w:type="dxa"/>
            <w:vAlign w:val="bottom"/>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060" w:type="dxa"/>
            <w:vAlign w:val="bottom"/>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8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Foreign</w:t>
            </w:r>
          </w:p>
        </w:tc>
        <w:tc>
          <w:tcPr>
            <w:tcW w:w="1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0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Deferred:</w:t>
            </w: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7"/>
        </w:trPr>
        <w:tc>
          <w:tcPr>
            <w:tcW w:w="8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State</w:t>
            </w:r>
          </w:p>
        </w:tc>
        <w:tc>
          <w:tcPr>
            <w:tcW w:w="1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80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6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64"/>
        </w:trPr>
        <w:tc>
          <w:tcPr>
            <w:tcW w:w="8020" w:type="dxa"/>
            <w:vAlign w:val="bottom"/>
          </w:tcPr>
          <w:p>
            <w:pPr>
              <w:ind w:left="20"/>
              <w:spacing w:after="0"/>
              <w:rPr>
                <w:sz w:val="20"/>
                <w:szCs w:val="20"/>
                <w:color w:val="auto"/>
              </w:rPr>
            </w:pPr>
            <w:r>
              <w:rPr>
                <w:rFonts w:ascii="Arial" w:cs="Arial" w:eastAsia="Arial" w:hAnsi="Arial"/>
                <w:sz w:val="18"/>
                <w:szCs w:val="18"/>
                <w:color w:val="auto"/>
              </w:rPr>
              <w:t>Total provision for (benefit from) income taxes</w:t>
            </w:r>
          </w:p>
        </w:tc>
        <w:tc>
          <w:tcPr>
            <w:tcW w:w="1100" w:type="dxa"/>
            <w:vAlign w:val="bottom"/>
            <w:tcBorders>
              <w:top w:val="single" w:sz="8" w:color="auto"/>
              <w:bottom w:val="single" w:sz="8" w:color="auto"/>
            </w:tcBorders>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80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F-32</w:t>
      </w:r>
    </w:p>
    <w:p>
      <w:pPr>
        <w:sectPr>
          <w:pgSz w:w="11900" w:h="16838" w:orient="portrait"/>
          <w:cols w:equalWidth="0" w:num="1">
            <w:col w:w="11240"/>
          </w:cols>
          <w:pgMar w:left="320" w:top="175" w:right="339" w:bottom="1440" w:gutter="0" w:footer="0" w:header="0"/>
          <w:type w:val="continuous"/>
        </w:sectPr>
      </w:pPr>
    </w:p>
    <w:bookmarkStart w:id="182" w:name="page183"/>
    <w:bookmarkEnd w:id="182"/>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reconciliation of the statutory federal income tax rate to the Company’s effective tax rate for the years ended December 31, 2019 and 2020 is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720" w:type="dxa"/>
            <w:vAlign w:val="bottom"/>
            <w:gridSpan w:val="4"/>
          </w:tcPr>
          <w:p>
            <w:pPr>
              <w:jc w:val="right"/>
              <w:ind w:right="236"/>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Pr>
          <w:p>
            <w:pPr>
              <w:spacing w:after="0"/>
              <w:rPr>
                <w:sz w:val="16"/>
                <w:szCs w:val="16"/>
                <w:color w:val="auto"/>
              </w:rPr>
            </w:pPr>
          </w:p>
        </w:tc>
      </w:tr>
      <w:tr>
        <w:trPr>
          <w:trHeight w:val="216"/>
        </w:trPr>
        <w:tc>
          <w:tcPr>
            <w:tcW w:w="802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8"/>
                <w:szCs w:val="18"/>
                <w:color w:val="auto"/>
              </w:rPr>
            </w:pPr>
          </w:p>
        </w:tc>
      </w:tr>
      <w:tr>
        <w:trPr>
          <w:trHeight w:val="26"/>
        </w:trPr>
        <w:tc>
          <w:tcPr>
            <w:tcW w:w="80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at federal statutory rate</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7"/>
              </w:rPr>
              <w:t>0.4</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Permanent items</w:t>
            </w:r>
          </w:p>
        </w:tc>
        <w:tc>
          <w:tcPr>
            <w:tcW w:w="10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jc w:val="center"/>
              <w:ind w:left="30"/>
              <w:spacing w:after="0"/>
              <w:rPr>
                <w:sz w:val="20"/>
                <w:szCs w:val="20"/>
                <w:color w:val="auto"/>
              </w:rPr>
            </w:pPr>
            <w:r>
              <w:rPr>
                <w:rFonts w:ascii="Arial" w:cs="Arial" w:eastAsia="Arial" w:hAnsi="Arial"/>
                <w:sz w:val="18"/>
                <w:szCs w:val="18"/>
                <w:color w:val="auto"/>
                <w:w w:val="87"/>
              </w:rPr>
              <w:t>0.5</w:t>
            </w:r>
          </w:p>
        </w:tc>
      </w:tr>
      <w:tr>
        <w:trPr>
          <w:trHeight w:val="27"/>
        </w:trPr>
        <w:tc>
          <w:tcPr>
            <w:tcW w:w="8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rate differential</w:t>
            </w: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7"/>
              </w:rPr>
              <w:t>0.2</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0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jc w:val="center"/>
              <w:ind w:left="10"/>
              <w:spacing w:after="0"/>
              <w:rPr>
                <w:sz w:val="20"/>
                <w:szCs w:val="20"/>
                <w:color w:val="auto"/>
              </w:rPr>
            </w:pPr>
            <w:r>
              <w:rPr>
                <w:rFonts w:ascii="Arial" w:cs="Arial" w:eastAsia="Arial" w:hAnsi="Arial"/>
                <w:sz w:val="18"/>
                <w:szCs w:val="18"/>
                <w:color w:val="auto"/>
                <w:w w:val="97"/>
              </w:rPr>
              <w:t>(3.1)</w:t>
            </w:r>
          </w:p>
        </w:tc>
      </w:tr>
      <w:tr>
        <w:trPr>
          <w:trHeight w:val="27"/>
        </w:trPr>
        <w:tc>
          <w:tcPr>
            <w:tcW w:w="8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credits</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7"/>
              </w:rPr>
              <w:t>(4.9)</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10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jc w:val="center"/>
              <w:ind w:left="30"/>
              <w:spacing w:after="0"/>
              <w:rPr>
                <w:sz w:val="20"/>
                <w:szCs w:val="20"/>
                <w:color w:val="auto"/>
              </w:rPr>
            </w:pPr>
            <w:r>
              <w:rPr>
                <w:rFonts w:ascii="Arial" w:cs="Arial" w:eastAsia="Arial" w:hAnsi="Arial"/>
                <w:sz w:val="18"/>
                <w:szCs w:val="18"/>
                <w:color w:val="auto"/>
                <w:w w:val="87"/>
              </w:rPr>
              <w:t>1.1</w:t>
            </w:r>
          </w:p>
        </w:tc>
      </w:tr>
      <w:tr>
        <w:trPr>
          <w:trHeight w:val="27"/>
        </w:trPr>
        <w:tc>
          <w:tcPr>
            <w:tcW w:w="8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contingency &amp; interest</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7"/>
              </w:rPr>
              <w:t>1.1</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State taxes</w:t>
            </w:r>
          </w:p>
        </w:tc>
        <w:tc>
          <w:tcPr>
            <w:tcW w:w="10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jc w:val="center"/>
              <w:ind w:left="30"/>
              <w:spacing w:after="0"/>
              <w:rPr>
                <w:sz w:val="20"/>
                <w:szCs w:val="20"/>
                <w:color w:val="auto"/>
              </w:rPr>
            </w:pPr>
            <w:r>
              <w:rPr>
                <w:rFonts w:ascii="Arial" w:cs="Arial" w:eastAsia="Arial" w:hAnsi="Arial"/>
                <w:sz w:val="18"/>
                <w:szCs w:val="18"/>
                <w:color w:val="auto"/>
                <w:w w:val="87"/>
              </w:rPr>
              <w:t>0.1</w:t>
            </w:r>
          </w:p>
        </w:tc>
      </w:tr>
      <w:tr>
        <w:trPr>
          <w:trHeight w:val="27"/>
        </w:trPr>
        <w:tc>
          <w:tcPr>
            <w:tcW w:w="8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7"/>
              </w:rPr>
              <w:t>0.2</w:t>
            </w:r>
          </w:p>
        </w:tc>
      </w:tr>
      <w:tr>
        <w:trPr>
          <w:trHeight w:val="263"/>
        </w:trPr>
        <w:tc>
          <w:tcPr>
            <w:tcW w:w="8020" w:type="dxa"/>
            <w:vAlign w:val="bottom"/>
          </w:tcPr>
          <w:p>
            <w:pPr>
              <w:ind w:left="20"/>
              <w:spacing w:after="0"/>
              <w:rPr>
                <w:sz w:val="20"/>
                <w:szCs w:val="20"/>
                <w:color w:val="auto"/>
              </w:rPr>
            </w:pPr>
            <w:r>
              <w:rPr>
                <w:rFonts w:ascii="Arial" w:cs="Arial" w:eastAsia="Arial" w:hAnsi="Arial"/>
                <w:sz w:val="18"/>
                <w:szCs w:val="18"/>
                <w:color w:val="auto"/>
              </w:rPr>
              <w:t>Tax at effective tax rate</w:t>
            </w: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center"/>
              <w:ind w:left="10"/>
              <w:spacing w:after="0"/>
              <w:rPr>
                <w:sz w:val="20"/>
                <w:szCs w:val="20"/>
                <w:color w:val="auto"/>
              </w:rPr>
            </w:pPr>
            <w:r>
              <w:rPr>
                <w:rFonts w:ascii="Arial" w:cs="Arial" w:eastAsia="Arial" w:hAnsi="Arial"/>
                <w:sz w:val="18"/>
                <w:szCs w:val="18"/>
                <w:color w:val="auto"/>
                <w:w w:val="97"/>
              </w:rPr>
              <w:t>(4.4)</w:t>
            </w:r>
          </w:p>
        </w:tc>
      </w:tr>
      <w:tr>
        <w:trPr>
          <w:trHeight w:val="21"/>
        </w:trPr>
        <w:tc>
          <w:tcPr>
            <w:tcW w:w="8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The Company’s deferred tax assets and liabilities as of December 31, 2019 and 2020, are as follows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gridSpan w:val="3"/>
          </w:tcPr>
          <w:p>
            <w:pPr>
              <w:ind w:left="14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16"/>
                <w:szCs w:val="16"/>
                <w:color w:val="auto"/>
              </w:rPr>
            </w:pPr>
          </w:p>
        </w:tc>
      </w:tr>
      <w:tr>
        <w:trPr>
          <w:trHeight w:val="25"/>
        </w:trPr>
        <w:tc>
          <w:tcPr>
            <w:tcW w:w="8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8020" w:type="dxa"/>
            <w:vAlign w:val="bottom"/>
          </w:tcPr>
          <w:p>
            <w:pPr>
              <w:spacing w:after="0"/>
              <w:rPr>
                <w:sz w:val="16"/>
                <w:szCs w:val="16"/>
                <w:color w:val="auto"/>
              </w:rPr>
            </w:pPr>
          </w:p>
        </w:tc>
        <w:tc>
          <w:tcPr>
            <w:tcW w:w="1040" w:type="dxa"/>
            <w:vAlign w:val="bottom"/>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5"/>
        </w:trPr>
        <w:tc>
          <w:tcPr>
            <w:tcW w:w="80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0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Accruals and reserves</w:t>
            </w:r>
          </w:p>
        </w:tc>
        <w:tc>
          <w:tcPr>
            <w:tcW w:w="1040" w:type="dxa"/>
            <w:vAlign w:val="bottom"/>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8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and state tax credits</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8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operating loss carryforwards</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Lease liability</w:t>
            </w:r>
          </w:p>
        </w:tc>
        <w:tc>
          <w:tcPr>
            <w:tcW w:w="10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8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7"/>
        </w:trPr>
        <w:tc>
          <w:tcPr>
            <w:tcW w:w="8020" w:type="dxa"/>
            <w:vAlign w:val="bottom"/>
          </w:tcPr>
          <w:p>
            <w:pPr>
              <w:ind w:left="20"/>
              <w:spacing w:after="0"/>
              <w:rPr>
                <w:sz w:val="20"/>
                <w:szCs w:val="20"/>
                <w:color w:val="auto"/>
              </w:rPr>
            </w:pPr>
            <w:r>
              <w:rPr>
                <w:rFonts w:ascii="Arial" w:cs="Arial" w:eastAsia="Arial" w:hAnsi="Arial"/>
                <w:sz w:val="18"/>
                <w:szCs w:val="18"/>
                <w:color w:val="auto"/>
              </w:rPr>
              <w:t>Total gross deferred tax assets</w:t>
            </w:r>
          </w:p>
        </w:tc>
        <w:tc>
          <w:tcPr>
            <w:tcW w:w="10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w:t>
            </w:r>
          </w:p>
        </w:tc>
      </w:tr>
      <w:tr>
        <w:trPr>
          <w:trHeight w:val="27"/>
        </w:trPr>
        <w:tc>
          <w:tcPr>
            <w:tcW w:w="8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Prepaid expense and other</w:t>
            </w:r>
          </w:p>
        </w:tc>
        <w:tc>
          <w:tcPr>
            <w:tcW w:w="1040" w:type="dxa"/>
            <w:vAlign w:val="bottom"/>
          </w:tcPr>
          <w:p>
            <w:pPr>
              <w:spacing w:after="0"/>
              <w:rPr>
                <w:sz w:val="21"/>
                <w:szCs w:val="21"/>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8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asset</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7"/>
              </w:rPr>
              <w:t>(3.4)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Basis difference for fixed assets and intangibles</w:t>
            </w:r>
          </w:p>
        </w:tc>
        <w:tc>
          <w:tcPr>
            <w:tcW w:w="1040" w:type="dxa"/>
            <w:vAlign w:val="bottom"/>
          </w:tcPr>
          <w:p>
            <w:pPr>
              <w:spacing w:after="0"/>
              <w:rPr>
                <w:sz w:val="21"/>
                <w:szCs w:val="21"/>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w w:val="97"/>
              </w:rPr>
              <w:t>(4.6)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7"/>
        </w:trPr>
        <w:tc>
          <w:tcPr>
            <w:tcW w:w="80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gross deferred tax 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7"/>
              </w:rPr>
              <w:t>(8.0)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Valuation allowance for deferred tax assets</w:t>
            </w:r>
          </w:p>
        </w:tc>
        <w:tc>
          <w:tcPr>
            <w:tcW w:w="1040" w:type="dxa"/>
            <w:vAlign w:val="bottom"/>
          </w:tcPr>
          <w:p>
            <w:pPr>
              <w:spacing w:after="0"/>
              <w:rPr>
                <w:sz w:val="21"/>
                <w:szCs w:val="21"/>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w w:val="97"/>
              </w:rPr>
              <w:t>(6.2)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80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assets</w:t>
            </w: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2020, the Company has federal net operating loss carryforwards of approximately $31.6 million, of which $13.1 million, if not utilized, will begin to expire in 2033, and the remaining $18.5 million can be carried forward indefinitely. As of December 31, 2020, the Company has state net operating loss carryforwards of approximately $17.4 million. The majority of state net operating loss carryforwards, if not utilized, will begin to expire on various dates beginning in 2032.</w:t>
      </w:r>
    </w:p>
    <w:p>
      <w:pPr>
        <w:spacing w:after="0" w:line="133"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In addition, as of December 31, 2020, the Company has approximately $8.8 million and $10.6 million of federal and California research and development credit carryforwards, respectively. The federal credits will start to expire in 2037. The California credits can be carried forward indefinitely.</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F-33</w:t>
      </w:r>
    </w:p>
    <w:p>
      <w:pPr>
        <w:sectPr>
          <w:pgSz w:w="11900" w:h="16838" w:orient="portrait"/>
          <w:cols w:equalWidth="0" w:num="1">
            <w:col w:w="11240"/>
          </w:cols>
          <w:pgMar w:left="320" w:top="175" w:right="339" w:bottom="1440" w:gutter="0" w:footer="0" w:header="0"/>
          <w:type w:val="continuous"/>
        </w:sectPr>
      </w:pPr>
    </w:p>
    <w:bookmarkStart w:id="183" w:name="page184"/>
    <w:bookmarkEnd w:id="183"/>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California Competes Tax Credit (“CCTC”) is an income tax credit available to businesses that invest and expand its operations within the state. As of December 31, 2020, the Company has approximately $1.3 million of CCTC carryforwards. The CCTC can be carried forward for 6 years, and will start to expire in 2021.</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projected future taxable income and tax-planning strategies in making this assessment. Based on all available evidence, both positive and negative, the Company concludes that on a more-likely-than-not basis, it will be able to realize its federal and state deferred tax assets, except for California. As of December 31, 2020, the Company has a full valuation allowance on its California deferred tax assets, and the change in current year valuation allowance is approximately $1.0 million, which is primarily related to R&amp;D credits generated in the current year.</w:t>
      </w:r>
    </w:p>
    <w:p>
      <w:pPr>
        <w:spacing w:after="0" w:line="14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 reconciliation of the unrecognized tax benefits, excluding accrued interest and penalties, as of December 31, 2019 and 2020, are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720" w:type="dxa"/>
            <w:vAlign w:val="bottom"/>
            <w:gridSpan w:val="4"/>
          </w:tcPr>
          <w:p>
            <w:pPr>
              <w:jc w:val="right"/>
              <w:ind w:right="236"/>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Pr>
          <w:p>
            <w:pPr>
              <w:spacing w:after="0"/>
              <w:rPr>
                <w:sz w:val="16"/>
                <w:szCs w:val="16"/>
                <w:color w:val="auto"/>
              </w:rPr>
            </w:pPr>
          </w:p>
        </w:tc>
      </w:tr>
      <w:tr>
        <w:trPr>
          <w:trHeight w:val="26"/>
        </w:trPr>
        <w:tc>
          <w:tcPr>
            <w:tcW w:w="80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84"/>
        </w:trPr>
        <w:tc>
          <w:tcPr>
            <w:tcW w:w="8020" w:type="dxa"/>
            <w:vAlign w:val="bottom"/>
          </w:tcPr>
          <w:p>
            <w:pPr>
              <w:spacing w:after="0"/>
              <w:rPr>
                <w:sz w:val="16"/>
                <w:szCs w:val="16"/>
                <w:color w:val="auto"/>
              </w:rPr>
            </w:pPr>
          </w:p>
        </w:tc>
        <w:tc>
          <w:tcPr>
            <w:tcW w:w="1060" w:type="dxa"/>
            <w:vAlign w:val="bottom"/>
          </w:tcPr>
          <w:p>
            <w:pPr>
              <w:jc w:val="right"/>
              <w:ind w:right="59"/>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6"/>
                <w:szCs w:val="16"/>
                <w:color w:val="auto"/>
              </w:rPr>
            </w:pPr>
          </w:p>
        </w:tc>
      </w:tr>
      <w:tr>
        <w:trPr>
          <w:trHeight w:val="26"/>
        </w:trPr>
        <w:tc>
          <w:tcPr>
            <w:tcW w:w="80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the beginning of the year</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7"/>
              </w:rPr>
              <w:t>4.8</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Increases related to prior year tax positions</w:t>
            </w:r>
          </w:p>
        </w:tc>
        <w:tc>
          <w:tcPr>
            <w:tcW w:w="10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jc w:val="center"/>
              <w:ind w:left="30"/>
              <w:spacing w:after="0"/>
              <w:rPr>
                <w:sz w:val="20"/>
                <w:szCs w:val="20"/>
                <w:color w:val="auto"/>
              </w:rPr>
            </w:pPr>
            <w:r>
              <w:rPr>
                <w:rFonts w:ascii="Arial" w:cs="Arial" w:eastAsia="Arial" w:hAnsi="Arial"/>
                <w:sz w:val="18"/>
                <w:szCs w:val="18"/>
                <w:color w:val="auto"/>
                <w:w w:val="87"/>
              </w:rPr>
              <w:t>0.3</w:t>
            </w:r>
          </w:p>
        </w:tc>
      </w:tr>
      <w:tr>
        <w:trPr>
          <w:trHeight w:val="27"/>
        </w:trPr>
        <w:tc>
          <w:tcPr>
            <w:tcW w:w="8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Decreases related to prior year tax positions</w:t>
            </w: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7"/>
              </w:rPr>
              <w:t>(0.1)</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Expiration of statute of limitations</w:t>
            </w:r>
          </w:p>
        </w:tc>
        <w:tc>
          <w:tcPr>
            <w:tcW w:w="10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jc w:val="center"/>
              <w:ind w:left="10"/>
              <w:spacing w:after="0"/>
              <w:rPr>
                <w:sz w:val="20"/>
                <w:szCs w:val="20"/>
                <w:color w:val="auto"/>
              </w:rPr>
            </w:pPr>
            <w:r>
              <w:rPr>
                <w:rFonts w:ascii="Arial" w:cs="Arial" w:eastAsia="Arial" w:hAnsi="Arial"/>
                <w:sz w:val="18"/>
                <w:szCs w:val="18"/>
                <w:color w:val="auto"/>
                <w:w w:val="97"/>
              </w:rPr>
              <w:t>(0.1)</w:t>
            </w:r>
          </w:p>
        </w:tc>
      </w:tr>
      <w:tr>
        <w:trPr>
          <w:trHeight w:val="27"/>
        </w:trPr>
        <w:tc>
          <w:tcPr>
            <w:tcW w:w="8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year increases</w:t>
            </w:r>
          </w:p>
        </w:tc>
        <w:tc>
          <w:tcPr>
            <w:tcW w:w="10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7"/>
              </w:rPr>
              <w:t>1.4</w:t>
            </w:r>
          </w:p>
        </w:tc>
      </w:tr>
      <w:tr>
        <w:trPr>
          <w:trHeight w:val="263"/>
        </w:trPr>
        <w:tc>
          <w:tcPr>
            <w:tcW w:w="8020" w:type="dxa"/>
            <w:vAlign w:val="bottom"/>
          </w:tcPr>
          <w:p>
            <w:pPr>
              <w:ind w:left="20"/>
              <w:spacing w:after="0"/>
              <w:rPr>
                <w:sz w:val="20"/>
                <w:szCs w:val="20"/>
                <w:color w:val="auto"/>
              </w:rPr>
            </w:pPr>
            <w:r>
              <w:rPr>
                <w:rFonts w:ascii="Arial" w:cs="Arial" w:eastAsia="Arial" w:hAnsi="Arial"/>
                <w:sz w:val="18"/>
                <w:szCs w:val="18"/>
                <w:color w:val="auto"/>
              </w:rPr>
              <w:t>Balance at the end of the year</w:t>
            </w: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center"/>
              <w:ind w:left="30"/>
              <w:spacing w:after="0"/>
              <w:rPr>
                <w:sz w:val="20"/>
                <w:szCs w:val="20"/>
                <w:color w:val="auto"/>
              </w:rPr>
            </w:pPr>
            <w:r>
              <w:rPr>
                <w:rFonts w:ascii="Arial" w:cs="Arial" w:eastAsia="Arial" w:hAnsi="Arial"/>
                <w:sz w:val="18"/>
                <w:szCs w:val="18"/>
                <w:color w:val="auto"/>
                <w:w w:val="87"/>
              </w:rPr>
              <w:t>6.3</w:t>
            </w:r>
          </w:p>
        </w:tc>
      </w:tr>
      <w:tr>
        <w:trPr>
          <w:trHeight w:val="20"/>
        </w:trPr>
        <w:tc>
          <w:tcPr>
            <w:tcW w:w="8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For the year ended December 31, 2019, interest and penalties were not material. For the year ended December 31, 2020, the Company accrued $0.1 million for interest and penalties on its uncertain tax positions. The Company does not anticipate that its total unrecognized tax benefits will significantly change due to settlement of examination or the expiration of statute of limitations during the next 12 months.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files income tax returns in the U.S. federal and various state jurisdictions. The Company’s tax years for 2013 and forward are subject to examination by the U.S. tax authorities due to certain acquired attribute carryforwards. The Company’s tax years for 2013 and forward are subject to examination by various state tax authorities due to certain acquired attribute carryforwards.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recorded income tax benefits of $2.0 million and $8.6 million, representing effective tax rates of (175.8%) and 24.2%, for the six months ended June 30, 2020 and 2021 (unaudited), respectively. The changes in income tax benefits were primarily driven by increases in the Company’s pre-tax losses incurred during the six months ended June 30, 2021.</w:t>
      </w:r>
    </w:p>
    <w:p>
      <w:pPr>
        <w:spacing w:after="0" w:line="126" w:lineRule="exact"/>
        <w:rPr>
          <w:sz w:val="20"/>
          <w:szCs w:val="20"/>
          <w:color w:val="auto"/>
        </w:rPr>
      </w:pPr>
    </w:p>
    <w:p>
      <w:pPr>
        <w:ind w:left="660" w:hanging="652"/>
        <w:spacing w:after="0"/>
        <w:tabs>
          <w:tab w:leader="none" w:pos="6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BASIC AND DILUTED SHARE</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computes earnings per share (“EPS”) in conformity with the two-class method required for participating securities. The two-class method is an earnings allocation method that determines net income (loss) per share for each class of common stock and participating securities according to dividends declared (or accumulated) and participation rights in undistributed earnings or losses. We consider early exercised share options to be participating securities. The early exercised share options were immaterial for the years ended December 31, 2019 and 2020 and the six months ended June 30, 2021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F-34</w:t>
      </w:r>
    </w:p>
    <w:p>
      <w:pPr>
        <w:sectPr>
          <w:pgSz w:w="11900" w:h="16838" w:orient="portrait"/>
          <w:cols w:equalWidth="0" w:num="1">
            <w:col w:w="11240"/>
          </w:cols>
          <w:pgMar w:left="320" w:top="175" w:right="339" w:bottom="1440" w:gutter="0" w:footer="0" w:header="0"/>
        </w:sectPr>
      </w:pPr>
    </w:p>
    <w:bookmarkStart w:id="184" w:name="page185"/>
    <w:bookmarkEnd w:id="184"/>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Basic EPS is computed by dividing net income (loss) available to common stockholders by the weighted average number of common stock outstanding during the period. Diluted EPS is computed by dividing income (loss) attributable to common stockholders by the number of diluted shares outstanding. Diluted shares equal the total of the basic shares outstanding and all potentially issuable shares, other than antidilutive shares, if any, weighted for the average days outstanding for the period. The dilutive effect of outstanding awards and convertible securities is reflected in diluted earnings per share by application of the treasury stock method.</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a reconciliation of the numerators and denominators of the basic and diluted per share computations for net income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attributable to common stockholders (in millions,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0" w:type="dxa"/>
            <w:vAlign w:val="bottom"/>
            <w:gridSpan w:val="5"/>
          </w:tcPr>
          <w:p>
            <w:pPr>
              <w:ind w:left="50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2019</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2020</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Class A</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Class F</w:t>
            </w:r>
          </w:p>
        </w:tc>
        <w:tc>
          <w:tcPr>
            <w:tcW w:w="32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Class A</w:t>
            </w:r>
          </w:p>
        </w:tc>
        <w:tc>
          <w:tcPr>
            <w:tcW w:w="320" w:type="dxa"/>
            <w:vAlign w:val="bottom"/>
          </w:tcPr>
          <w:p>
            <w:pPr>
              <w:spacing w:after="0"/>
              <w:rPr>
                <w:sz w:val="16"/>
                <w:szCs w:val="16"/>
                <w:color w:val="auto"/>
              </w:rPr>
            </w:pPr>
          </w:p>
        </w:tc>
        <w:tc>
          <w:tcPr>
            <w:tcW w:w="1240" w:type="dxa"/>
            <w:vAlign w:val="bottom"/>
          </w:tcPr>
          <w:p>
            <w:pPr>
              <w:jc w:val="right"/>
              <w:ind w:right="472"/>
              <w:spacing w:after="0"/>
              <w:rPr>
                <w:sz w:val="20"/>
                <w:szCs w:val="20"/>
                <w:color w:val="auto"/>
              </w:rPr>
            </w:pPr>
            <w:r>
              <w:rPr>
                <w:rFonts w:ascii="Arial" w:cs="Arial" w:eastAsia="Arial" w:hAnsi="Arial"/>
                <w:sz w:val="14"/>
                <w:szCs w:val="14"/>
                <w:b w:val="1"/>
                <w:bCs w:val="1"/>
                <w:color w:val="auto"/>
              </w:rPr>
              <w:t>Class F</w:t>
            </w:r>
          </w:p>
        </w:tc>
        <w:tc>
          <w:tcPr>
            <w:tcW w:w="0" w:type="dxa"/>
            <w:vAlign w:val="bottom"/>
          </w:tcPr>
          <w:p>
            <w:pPr>
              <w:spacing w:after="0"/>
              <w:rPr>
                <w:sz w:val="1"/>
                <w:szCs w:val="1"/>
                <w:color w:val="auto"/>
              </w:rPr>
            </w:pPr>
          </w:p>
        </w:tc>
      </w:tr>
      <w:tr>
        <w:trPr>
          <w:trHeight w:val="26"/>
        </w:trPr>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Reallocation of net income to Class A common stock</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63"/>
        </w:trPr>
        <w:tc>
          <w:tcPr>
            <w:tcW w:w="4700" w:type="dxa"/>
            <w:vAlign w:val="bottom"/>
          </w:tcPr>
          <w:p>
            <w:pPr>
              <w:ind w:left="20"/>
              <w:spacing w:after="0"/>
              <w:rPr>
                <w:sz w:val="20"/>
                <w:szCs w:val="20"/>
                <w:color w:val="auto"/>
              </w:rPr>
            </w:pPr>
            <w:r>
              <w:rPr>
                <w:rFonts w:ascii="Arial" w:cs="Arial" w:eastAsia="Arial" w:hAnsi="Arial"/>
                <w:sz w:val="18"/>
                <w:szCs w:val="18"/>
                <w:color w:val="auto"/>
              </w:rPr>
              <w:t>Net income attributable to common stockholders – diluted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Weighted-average shares of common stock – basic</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dilutive stock options and restricted stock units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w w:val="97"/>
              </w:rPr>
              <w:t>Effect of potentially dilutive Series A redeemable convertible</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preferred stock</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of common stock – diluted</w:t>
            </w:r>
          </w:p>
        </w:tc>
        <w:tc>
          <w:tcPr>
            <w:tcW w:w="3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share attributable to common stockholders: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F-35</w:t>
      </w:r>
    </w:p>
    <w:p>
      <w:pPr>
        <w:sectPr>
          <w:pgSz w:w="11900" w:h="16838" w:orient="portrait"/>
          <w:cols w:equalWidth="0" w:num="1">
            <w:col w:w="11240"/>
          </w:cols>
          <w:pgMar w:left="320" w:top="175" w:right="339" w:bottom="1440" w:gutter="0" w:footer="0" w:header="0"/>
        </w:sectPr>
      </w:pPr>
    </w:p>
    <w:bookmarkStart w:id="185" w:name="page186"/>
    <w:bookmarkEnd w:id="185"/>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20" w:type="dxa"/>
            <w:vAlign w:val="bottom"/>
            <w:gridSpan w:val="6"/>
          </w:tcPr>
          <w:p>
            <w:pPr>
              <w:ind w:left="480"/>
              <w:spacing w:after="0"/>
              <w:rPr>
                <w:sz w:val="20"/>
                <w:szCs w:val="20"/>
                <w:color w:val="auto"/>
              </w:rPr>
            </w:pPr>
            <w:r>
              <w:rPr>
                <w:rFonts w:ascii="Arial" w:cs="Arial" w:eastAsia="Arial" w:hAnsi="Arial"/>
                <w:sz w:val="14"/>
                <w:szCs w:val="14"/>
                <w:b w:val="1"/>
                <w:bCs w:val="1"/>
                <w:color w:val="auto"/>
              </w:rPr>
              <w:t>Six Months Ended June 30,</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w w:val="89"/>
              </w:rPr>
              <w:t>2020</w:t>
            </w: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392"/>
              <w:spacing w:after="0"/>
              <w:rPr>
                <w:sz w:val="20"/>
                <w:szCs w:val="20"/>
                <w:color w:val="auto"/>
              </w:rPr>
            </w:pPr>
            <w:r>
              <w:rPr>
                <w:rFonts w:ascii="Arial" w:cs="Arial" w:eastAsia="Arial" w:hAnsi="Arial"/>
                <w:sz w:val="14"/>
                <w:szCs w:val="14"/>
                <w:b w:val="1"/>
                <w:bCs w:val="1"/>
                <w:color w:val="auto"/>
              </w:rPr>
              <w:t>Class A</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2"/>
          </w:tcPr>
          <w:p>
            <w:pPr>
              <w:ind w:left="220"/>
              <w:spacing w:after="0"/>
              <w:rPr>
                <w:sz w:val="20"/>
                <w:szCs w:val="20"/>
                <w:color w:val="auto"/>
              </w:rPr>
            </w:pPr>
            <w:r>
              <w:rPr>
                <w:rFonts w:ascii="Arial" w:cs="Arial" w:eastAsia="Arial" w:hAnsi="Arial"/>
                <w:sz w:val="14"/>
                <w:szCs w:val="14"/>
                <w:b w:val="1"/>
                <w:bCs w:val="1"/>
                <w:color w:val="auto"/>
              </w:rPr>
              <w:t>Class F</w:t>
            </w:r>
          </w:p>
        </w:tc>
        <w:tc>
          <w:tcPr>
            <w:tcW w:w="380" w:type="dxa"/>
            <w:vAlign w:val="bottom"/>
          </w:tcPr>
          <w:p>
            <w:pPr>
              <w:spacing w:after="0"/>
              <w:rPr>
                <w:sz w:val="16"/>
                <w:szCs w:val="16"/>
                <w:color w:val="auto"/>
              </w:rPr>
            </w:pPr>
          </w:p>
        </w:tc>
        <w:tc>
          <w:tcPr>
            <w:tcW w:w="1400" w:type="dxa"/>
            <w:vAlign w:val="bottom"/>
            <w:gridSpan w:val="3"/>
          </w:tcPr>
          <w:p>
            <w:pPr>
              <w:ind w:left="140"/>
              <w:spacing w:after="0"/>
              <w:rPr>
                <w:sz w:val="20"/>
                <w:szCs w:val="20"/>
                <w:color w:val="auto"/>
              </w:rPr>
            </w:pPr>
            <w:r>
              <w:rPr>
                <w:rFonts w:ascii="Arial" w:cs="Arial" w:eastAsia="Arial" w:hAnsi="Arial"/>
                <w:sz w:val="14"/>
                <w:szCs w:val="14"/>
                <w:b w:val="1"/>
                <w:bCs w:val="1"/>
                <w:color w:val="auto"/>
              </w:rPr>
              <w:t>Class A</w:t>
            </w:r>
          </w:p>
        </w:tc>
        <w:tc>
          <w:tcPr>
            <w:tcW w:w="300" w:type="dxa"/>
            <w:vAlign w:val="bottom"/>
          </w:tcPr>
          <w:p>
            <w:pPr>
              <w:spacing w:after="0"/>
              <w:rPr>
                <w:sz w:val="16"/>
                <w:szCs w:val="16"/>
                <w:color w:val="auto"/>
              </w:rPr>
            </w:pPr>
          </w:p>
        </w:tc>
        <w:tc>
          <w:tcPr>
            <w:tcW w:w="1180" w:type="dxa"/>
            <w:vAlign w:val="bottom"/>
          </w:tcPr>
          <w:p>
            <w:pPr>
              <w:jc w:val="right"/>
              <w:ind w:right="432"/>
              <w:spacing w:after="0"/>
              <w:rPr>
                <w:sz w:val="20"/>
                <w:szCs w:val="20"/>
                <w:color w:val="auto"/>
              </w:rPr>
            </w:pPr>
            <w:r>
              <w:rPr>
                <w:rFonts w:ascii="Arial" w:cs="Arial" w:eastAsia="Arial" w:hAnsi="Arial"/>
                <w:sz w:val="14"/>
                <w:szCs w:val="14"/>
                <w:b w:val="1"/>
                <w:bCs w:val="1"/>
                <w:color w:val="auto"/>
              </w:rPr>
              <w:t>Class F</w:t>
            </w:r>
          </w:p>
        </w:tc>
        <w:tc>
          <w:tcPr>
            <w:tcW w:w="0" w:type="dxa"/>
            <w:vAlign w:val="bottom"/>
          </w:tcPr>
          <w:p>
            <w:pPr>
              <w:spacing w:after="0"/>
              <w:rPr>
                <w:sz w:val="1"/>
                <w:szCs w:val="1"/>
                <w:color w:val="auto"/>
              </w:rPr>
            </w:pPr>
          </w:p>
        </w:tc>
      </w:tr>
      <w:tr>
        <w:trPr>
          <w:trHeight w:val="26"/>
        </w:trPr>
        <w:tc>
          <w:tcPr>
            <w:tcW w:w="4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gridSpan w:val="3"/>
          </w:tcPr>
          <w:p>
            <w:pPr>
              <w:ind w:left="960"/>
              <w:spacing w:after="0"/>
              <w:rPr>
                <w:sz w:val="20"/>
                <w:szCs w:val="20"/>
                <w:color w:val="auto"/>
              </w:rPr>
            </w:pPr>
            <w:r>
              <w:rPr>
                <w:rFonts w:ascii="Arial" w:cs="Arial" w:eastAsia="Arial" w:hAnsi="Arial"/>
                <w:sz w:val="14"/>
                <w:szCs w:val="14"/>
                <w:b w:val="1"/>
                <w:bCs w:val="1"/>
                <w:color w:val="auto"/>
              </w:rPr>
              <w:t>(unaudited)</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0.6</w:t>
            </w:r>
          </w:p>
        </w:tc>
        <w:tc>
          <w:tcPr>
            <w:tcW w:w="60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(9.3)</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Reallocation of net income (loss) to Class A common stock</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480" w:type="dxa"/>
            <w:vAlign w:val="bottom"/>
          </w:tcPr>
          <w:p>
            <w:pPr>
              <w:ind w:left="20"/>
              <w:spacing w:after="0"/>
              <w:rPr>
                <w:sz w:val="20"/>
                <w:szCs w:val="20"/>
                <w:color w:val="auto"/>
              </w:rPr>
            </w:pPr>
            <w:r>
              <w:rPr>
                <w:rFonts w:ascii="Arial" w:cs="Arial" w:eastAsia="Arial" w:hAnsi="Arial"/>
                <w:sz w:val="18"/>
                <w:szCs w:val="18"/>
                <w:color w:val="auto"/>
                <w:w w:val="98"/>
              </w:rPr>
              <w:t>Net income (loss) attributable to common stockholders –</w:t>
            </w:r>
          </w:p>
        </w:tc>
        <w:tc>
          <w:tcPr>
            <w:tcW w:w="30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w:t>
            </w:r>
          </w:p>
        </w:tc>
        <w:tc>
          <w:tcPr>
            <w:tcW w:w="40" w:type="dxa"/>
            <w:vAlign w:val="bottom"/>
            <w:tcBorders>
              <w:top w:val="single" w:sz="8" w:color="auto"/>
            </w:tcBorders>
            <w:vMerge w:val="restart"/>
          </w:tcPr>
          <w:p>
            <w:pPr>
              <w:spacing w:after="0"/>
              <w:rPr>
                <w:sz w:val="18"/>
                <w:szCs w:val="18"/>
                <w:color w:val="auto"/>
              </w:rPr>
            </w:pPr>
          </w:p>
        </w:tc>
        <w:tc>
          <w:tcPr>
            <w:tcW w:w="260" w:type="dxa"/>
            <w:vAlign w:val="bottom"/>
            <w:vMerge w:val="restart"/>
          </w:tcPr>
          <w:p>
            <w:pPr>
              <w:spacing w:after="0"/>
              <w:rPr>
                <w:sz w:val="18"/>
                <w:szCs w:val="18"/>
                <w:color w:val="auto"/>
              </w:rPr>
            </w:pPr>
          </w:p>
        </w:tc>
        <w:tc>
          <w:tcPr>
            <w:tcW w:w="30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38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(9.3)</w:t>
            </w:r>
          </w:p>
        </w:tc>
        <w:tc>
          <w:tcPr>
            <w:tcW w:w="2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vMerge w:val="restart"/>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0"/>
        </w:trPr>
        <w:tc>
          <w:tcPr>
            <w:tcW w:w="4480" w:type="dxa"/>
            <w:vAlign w:val="bottom"/>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40" w:type="dxa"/>
            <w:vAlign w:val="bottom"/>
            <w:tcBorders>
              <w:bottom w:val="single" w:sz="8" w:color="auto"/>
            </w:tcBorders>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Weighted-average shares of common stock – basic</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17.5</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68.6</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33.9</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dilutive stock options and restricted stock units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 —</w:t>
            </w: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 —</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w w:val="92"/>
              </w:rPr>
              <w:t>Effect of potentially dilutive Series A redeemable convertible</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180"/>
              <w:spacing w:after="0"/>
              <w:rPr>
                <w:sz w:val="20"/>
                <w:szCs w:val="20"/>
                <w:color w:val="auto"/>
              </w:rPr>
            </w:pPr>
            <w:r>
              <w:rPr>
                <w:rFonts w:ascii="Arial" w:cs="Arial" w:eastAsia="Arial" w:hAnsi="Arial"/>
                <w:sz w:val="18"/>
                <w:szCs w:val="18"/>
                <w:color w:val="auto"/>
              </w:rPr>
              <w:t>preferred stock</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w:t>
            </w:r>
          </w:p>
        </w:tc>
        <w:tc>
          <w:tcPr>
            <w:tcW w:w="40" w:type="dxa"/>
            <w:vAlign w:val="bottom"/>
          </w:tcPr>
          <w:p>
            <w:pPr>
              <w:spacing w:after="0"/>
              <w:rPr>
                <w:sz w:val="20"/>
                <w:szCs w:val="20"/>
                <w:color w:val="auto"/>
              </w:rPr>
            </w:pPr>
          </w:p>
        </w:tc>
        <w:tc>
          <w:tcPr>
            <w:tcW w:w="560" w:type="dxa"/>
            <w:vAlign w:val="bottom"/>
            <w:gridSpan w:val="2"/>
          </w:tcPr>
          <w:p>
            <w:pPr>
              <w:jc w:val="right"/>
              <w:ind w:right="27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ind w:left="940"/>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20"/>
                <w:szCs w:val="20"/>
                <w:color w:val="auto"/>
              </w:rPr>
            </w:pPr>
          </w:p>
        </w:tc>
        <w:tc>
          <w:tcPr>
            <w:tcW w:w="1400" w:type="dxa"/>
            <w:vAlign w:val="bottom"/>
            <w:gridSpan w:val="3"/>
          </w:tcPr>
          <w:p>
            <w:pPr>
              <w:ind w:left="880"/>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of common stock – diluted</w:t>
            </w:r>
          </w:p>
        </w:tc>
        <w:tc>
          <w:tcPr>
            <w:tcW w:w="3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4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2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(loss) per share attributable to common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180"/>
              <w:spacing w:after="0"/>
              <w:rPr>
                <w:sz w:val="20"/>
                <w:szCs w:val="20"/>
                <w:color w:val="auto"/>
              </w:rPr>
            </w:pPr>
            <w:r>
              <w:rPr>
                <w:rFonts w:ascii="Arial" w:cs="Arial" w:eastAsia="Arial" w:hAnsi="Arial"/>
                <w:sz w:val="18"/>
                <w:szCs w:val="18"/>
                <w:color w:val="auto"/>
              </w:rPr>
              <w:t>stockholders:</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60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0.03</w:t>
            </w:r>
          </w:p>
        </w:tc>
        <w:tc>
          <w:tcPr>
            <w:tcW w:w="60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0.03</w:t>
            </w:r>
          </w:p>
        </w:tc>
        <w:tc>
          <w:tcPr>
            <w:tcW w:w="26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(0.27)</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common stock equivalents were excluded from the computation of diluted earnings (loss) per share for the periods presented because including them would have been antidilutive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320" w:type="dxa"/>
            <w:vAlign w:val="bottom"/>
            <w:gridSpan w:val="6"/>
          </w:tcPr>
          <w:p>
            <w:pPr>
              <w:jc w:val="center"/>
              <w:ind w:right="720"/>
              <w:spacing w:after="0"/>
              <w:rPr>
                <w:sz w:val="20"/>
                <w:szCs w:val="20"/>
                <w:color w:val="auto"/>
              </w:rPr>
            </w:pPr>
            <w:r>
              <w:rPr>
                <w:rFonts w:ascii="Arial" w:cs="Arial" w:eastAsia="Arial" w:hAnsi="Arial"/>
                <w:sz w:val="14"/>
                <w:szCs w:val="14"/>
                <w:b w:val="1"/>
                <w:bCs w:val="1"/>
                <w:color w:val="auto"/>
                <w:w w:val="93"/>
              </w:rPr>
              <w:t>Year Ended December 31,</w:t>
            </w:r>
          </w:p>
        </w:tc>
        <w:tc>
          <w:tcPr>
            <w:tcW w:w="1240" w:type="dxa"/>
            <w:vAlign w:val="bottom"/>
          </w:tcPr>
          <w:p>
            <w:pPr>
              <w:spacing w:after="0"/>
              <w:rPr>
                <w:sz w:val="16"/>
                <w:szCs w:val="16"/>
                <w:color w:val="auto"/>
              </w:rPr>
            </w:pPr>
          </w:p>
        </w:tc>
      </w:tr>
      <w:tr>
        <w:trPr>
          <w:trHeight w:val="25"/>
        </w:trPr>
        <w:tc>
          <w:tcPr>
            <w:tcW w:w="4700" w:type="dxa"/>
            <w:vAlign w:val="bottom"/>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4"/>
        </w:trPr>
        <w:tc>
          <w:tcPr>
            <w:tcW w:w="4700" w:type="dxa"/>
            <w:vAlign w:val="bottom"/>
          </w:tcPr>
          <w:p>
            <w:pPr>
              <w:spacing w:after="0"/>
              <w:rPr>
                <w:sz w:val="16"/>
                <w:szCs w:val="16"/>
                <w:color w:val="auto"/>
              </w:rPr>
            </w:pPr>
          </w:p>
        </w:tc>
        <w:tc>
          <w:tcPr>
            <w:tcW w:w="19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1240" w:type="dxa"/>
            <w:vAlign w:val="bottom"/>
          </w:tcPr>
          <w:p>
            <w:pPr>
              <w:spacing w:after="0"/>
              <w:rPr>
                <w:sz w:val="16"/>
                <w:szCs w:val="16"/>
                <w:color w:val="auto"/>
              </w:rPr>
            </w:pPr>
          </w:p>
        </w:tc>
      </w:tr>
      <w:tr>
        <w:trPr>
          <w:trHeight w:val="25"/>
        </w:trPr>
        <w:tc>
          <w:tcPr>
            <w:tcW w:w="4700" w:type="dxa"/>
            <w:vAlign w:val="bottom"/>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4"/>
        </w:trPr>
        <w:tc>
          <w:tcPr>
            <w:tcW w:w="4700" w:type="dxa"/>
            <w:vAlign w:val="bottom"/>
          </w:tcPr>
          <w:p>
            <w:pPr>
              <w:spacing w:after="0"/>
              <w:rPr>
                <w:sz w:val="16"/>
                <w:szCs w:val="16"/>
                <w:color w:val="auto"/>
              </w:rPr>
            </w:pPr>
          </w:p>
        </w:tc>
        <w:tc>
          <w:tcPr>
            <w:tcW w:w="1980" w:type="dxa"/>
            <w:vAlign w:val="bottom"/>
            <w:gridSpan w:val="3"/>
          </w:tcPr>
          <w:p>
            <w:pPr>
              <w:jc w:val="right"/>
              <w:ind w:right="960"/>
              <w:spacing w:after="0"/>
              <w:rPr>
                <w:sz w:val="20"/>
                <w:szCs w:val="20"/>
                <w:color w:val="auto"/>
              </w:rPr>
            </w:pPr>
            <w:r>
              <w:rPr>
                <w:rFonts w:ascii="Arial" w:cs="Arial" w:eastAsia="Arial" w:hAnsi="Arial"/>
                <w:sz w:val="14"/>
                <w:szCs w:val="14"/>
                <w:b w:val="1"/>
                <w:bCs w:val="1"/>
                <w:color w:val="auto"/>
              </w:rPr>
              <w:t>Class A</w:t>
            </w:r>
          </w:p>
        </w:tc>
        <w:tc>
          <w:tcPr>
            <w:tcW w:w="1760" w:type="dxa"/>
            <w:vAlign w:val="bottom"/>
            <w:gridSpan w:val="3"/>
          </w:tcPr>
          <w:p>
            <w:pPr>
              <w:ind w:left="240"/>
              <w:spacing w:after="0"/>
              <w:rPr>
                <w:sz w:val="20"/>
                <w:szCs w:val="20"/>
                <w:color w:val="auto"/>
              </w:rPr>
            </w:pPr>
            <w:r>
              <w:rPr>
                <w:rFonts w:ascii="Arial" w:cs="Arial" w:eastAsia="Arial" w:hAnsi="Arial"/>
                <w:sz w:val="14"/>
                <w:szCs w:val="14"/>
                <w:b w:val="1"/>
                <w:bCs w:val="1"/>
                <w:color w:val="auto"/>
              </w:rPr>
              <w:t>Class F</w:t>
            </w:r>
          </w:p>
        </w:tc>
        <w:tc>
          <w:tcPr>
            <w:tcW w:w="1560" w:type="dxa"/>
            <w:vAlign w:val="bottom"/>
            <w:gridSpan w:val="3"/>
          </w:tcPr>
          <w:p>
            <w:pPr>
              <w:jc w:val="right"/>
              <w:ind w:right="960"/>
              <w:spacing w:after="0"/>
              <w:rPr>
                <w:sz w:val="20"/>
                <w:szCs w:val="20"/>
                <w:color w:val="auto"/>
              </w:rPr>
            </w:pPr>
            <w:r>
              <w:rPr>
                <w:rFonts w:ascii="Arial" w:cs="Arial" w:eastAsia="Arial" w:hAnsi="Arial"/>
                <w:sz w:val="14"/>
                <w:szCs w:val="14"/>
                <w:b w:val="1"/>
                <w:bCs w:val="1"/>
                <w:color w:val="auto"/>
              </w:rPr>
              <w:t>Class A</w:t>
            </w:r>
          </w:p>
        </w:tc>
        <w:tc>
          <w:tcPr>
            <w:tcW w:w="1240" w:type="dxa"/>
            <w:vAlign w:val="bottom"/>
          </w:tcPr>
          <w:p>
            <w:pPr>
              <w:ind w:left="240"/>
              <w:spacing w:after="0"/>
              <w:rPr>
                <w:sz w:val="20"/>
                <w:szCs w:val="20"/>
                <w:color w:val="auto"/>
              </w:rPr>
            </w:pPr>
            <w:r>
              <w:rPr>
                <w:rFonts w:ascii="Arial" w:cs="Arial" w:eastAsia="Arial" w:hAnsi="Arial"/>
                <w:sz w:val="14"/>
                <w:szCs w:val="14"/>
                <w:b w:val="1"/>
                <w:bCs w:val="1"/>
                <w:color w:val="auto"/>
              </w:rPr>
              <w:t>Class F</w:t>
            </w:r>
          </w:p>
        </w:tc>
      </w:tr>
      <w:tr>
        <w:trPr>
          <w:trHeight w:val="25"/>
        </w:trPr>
        <w:tc>
          <w:tcPr>
            <w:tcW w:w="47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Shares subject to outstanding stock options and restricted stock</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gridSpan w:val="3"/>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380"/>
        </w:trPr>
        <w:tc>
          <w:tcPr>
            <w:tcW w:w="47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20" w:type="dxa"/>
            <w:vAlign w:val="bottom"/>
            <w:gridSpan w:val="6"/>
          </w:tcPr>
          <w:p>
            <w:pPr>
              <w:jc w:val="center"/>
              <w:ind w:right="720"/>
              <w:spacing w:after="0"/>
              <w:rPr>
                <w:sz w:val="20"/>
                <w:szCs w:val="20"/>
                <w:color w:val="auto"/>
              </w:rPr>
            </w:pPr>
            <w:r>
              <w:rPr>
                <w:rFonts w:ascii="Arial" w:cs="Arial" w:eastAsia="Arial" w:hAnsi="Arial"/>
                <w:sz w:val="14"/>
                <w:szCs w:val="14"/>
                <w:b w:val="1"/>
                <w:bCs w:val="1"/>
                <w:color w:val="auto"/>
                <w:w w:val="92"/>
              </w:rPr>
              <w:t>Six Months Ended June 30,</w:t>
            </w:r>
          </w:p>
        </w:tc>
        <w:tc>
          <w:tcPr>
            <w:tcW w:w="1240" w:type="dxa"/>
            <w:vAlign w:val="bottom"/>
          </w:tcPr>
          <w:p>
            <w:pPr>
              <w:spacing w:after="0"/>
              <w:rPr>
                <w:sz w:val="24"/>
                <w:szCs w:val="24"/>
                <w:color w:val="auto"/>
              </w:rPr>
            </w:pPr>
          </w:p>
        </w:tc>
      </w:tr>
      <w:tr>
        <w:trPr>
          <w:trHeight w:val="25"/>
        </w:trPr>
        <w:tc>
          <w:tcPr>
            <w:tcW w:w="4700" w:type="dxa"/>
            <w:vAlign w:val="bottom"/>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4"/>
        </w:trPr>
        <w:tc>
          <w:tcPr>
            <w:tcW w:w="4700" w:type="dxa"/>
            <w:vAlign w:val="bottom"/>
          </w:tcPr>
          <w:p>
            <w:pPr>
              <w:spacing w:after="0"/>
              <w:rPr>
                <w:sz w:val="16"/>
                <w:szCs w:val="16"/>
                <w:color w:val="auto"/>
              </w:rPr>
            </w:pPr>
          </w:p>
        </w:tc>
        <w:tc>
          <w:tcPr>
            <w:tcW w:w="19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2021</w:t>
            </w:r>
          </w:p>
        </w:tc>
        <w:tc>
          <w:tcPr>
            <w:tcW w:w="1240" w:type="dxa"/>
            <w:vAlign w:val="bottom"/>
          </w:tcPr>
          <w:p>
            <w:pPr>
              <w:spacing w:after="0"/>
              <w:rPr>
                <w:sz w:val="16"/>
                <w:szCs w:val="16"/>
                <w:color w:val="auto"/>
              </w:rPr>
            </w:pPr>
          </w:p>
        </w:tc>
      </w:tr>
      <w:tr>
        <w:trPr>
          <w:trHeight w:val="25"/>
        </w:trPr>
        <w:tc>
          <w:tcPr>
            <w:tcW w:w="4700" w:type="dxa"/>
            <w:vAlign w:val="bottom"/>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4"/>
        </w:trPr>
        <w:tc>
          <w:tcPr>
            <w:tcW w:w="4700" w:type="dxa"/>
            <w:vAlign w:val="bottom"/>
          </w:tcPr>
          <w:p>
            <w:pPr>
              <w:spacing w:after="0"/>
              <w:rPr>
                <w:sz w:val="16"/>
                <w:szCs w:val="16"/>
                <w:color w:val="auto"/>
              </w:rPr>
            </w:pPr>
          </w:p>
        </w:tc>
        <w:tc>
          <w:tcPr>
            <w:tcW w:w="1980" w:type="dxa"/>
            <w:vAlign w:val="bottom"/>
            <w:gridSpan w:val="3"/>
          </w:tcPr>
          <w:p>
            <w:pPr>
              <w:jc w:val="right"/>
              <w:ind w:right="960"/>
              <w:spacing w:after="0"/>
              <w:rPr>
                <w:sz w:val="20"/>
                <w:szCs w:val="20"/>
                <w:color w:val="auto"/>
              </w:rPr>
            </w:pPr>
            <w:r>
              <w:rPr>
                <w:rFonts w:ascii="Arial" w:cs="Arial" w:eastAsia="Arial" w:hAnsi="Arial"/>
                <w:sz w:val="14"/>
                <w:szCs w:val="14"/>
                <w:b w:val="1"/>
                <w:bCs w:val="1"/>
                <w:color w:val="auto"/>
              </w:rPr>
              <w:t>Class A</w:t>
            </w:r>
          </w:p>
        </w:tc>
        <w:tc>
          <w:tcPr>
            <w:tcW w:w="1760" w:type="dxa"/>
            <w:vAlign w:val="bottom"/>
            <w:gridSpan w:val="3"/>
          </w:tcPr>
          <w:p>
            <w:pPr>
              <w:ind w:left="240"/>
              <w:spacing w:after="0"/>
              <w:rPr>
                <w:sz w:val="20"/>
                <w:szCs w:val="20"/>
                <w:color w:val="auto"/>
              </w:rPr>
            </w:pPr>
            <w:r>
              <w:rPr>
                <w:rFonts w:ascii="Arial" w:cs="Arial" w:eastAsia="Arial" w:hAnsi="Arial"/>
                <w:sz w:val="14"/>
                <w:szCs w:val="14"/>
                <w:b w:val="1"/>
                <w:bCs w:val="1"/>
                <w:color w:val="auto"/>
              </w:rPr>
              <w:t>Class F</w:t>
            </w:r>
          </w:p>
        </w:tc>
        <w:tc>
          <w:tcPr>
            <w:tcW w:w="1560" w:type="dxa"/>
            <w:vAlign w:val="bottom"/>
            <w:gridSpan w:val="3"/>
          </w:tcPr>
          <w:p>
            <w:pPr>
              <w:jc w:val="right"/>
              <w:ind w:right="960"/>
              <w:spacing w:after="0"/>
              <w:rPr>
                <w:sz w:val="20"/>
                <w:szCs w:val="20"/>
                <w:color w:val="auto"/>
              </w:rPr>
            </w:pPr>
            <w:r>
              <w:rPr>
                <w:rFonts w:ascii="Arial" w:cs="Arial" w:eastAsia="Arial" w:hAnsi="Arial"/>
                <w:sz w:val="14"/>
                <w:szCs w:val="14"/>
                <w:b w:val="1"/>
                <w:bCs w:val="1"/>
                <w:color w:val="auto"/>
              </w:rPr>
              <w:t>Class A</w:t>
            </w:r>
          </w:p>
        </w:tc>
        <w:tc>
          <w:tcPr>
            <w:tcW w:w="1240" w:type="dxa"/>
            <w:vAlign w:val="bottom"/>
          </w:tcPr>
          <w:p>
            <w:pPr>
              <w:ind w:left="240"/>
              <w:spacing w:after="0"/>
              <w:rPr>
                <w:sz w:val="20"/>
                <w:szCs w:val="20"/>
                <w:color w:val="auto"/>
              </w:rPr>
            </w:pPr>
            <w:r>
              <w:rPr>
                <w:rFonts w:ascii="Arial" w:cs="Arial" w:eastAsia="Arial" w:hAnsi="Arial"/>
                <w:sz w:val="14"/>
                <w:szCs w:val="14"/>
                <w:b w:val="1"/>
                <w:bCs w:val="1"/>
                <w:color w:val="auto"/>
              </w:rPr>
              <w:t>Class F</w:t>
            </w:r>
          </w:p>
        </w:tc>
      </w:tr>
      <w:tr>
        <w:trPr>
          <w:trHeight w:val="25"/>
        </w:trPr>
        <w:tc>
          <w:tcPr>
            <w:tcW w:w="47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4"/>
        </w:trPr>
        <w:tc>
          <w:tcPr>
            <w:tcW w:w="47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gridSpan w:val="3"/>
          </w:tcPr>
          <w:p>
            <w:pPr>
              <w:jc w:val="center"/>
              <w:ind w:left="761"/>
              <w:spacing w:after="0"/>
              <w:rPr>
                <w:sz w:val="20"/>
                <w:szCs w:val="20"/>
                <w:color w:val="auto"/>
              </w:rPr>
            </w:pPr>
            <w:r>
              <w:rPr>
                <w:rFonts w:ascii="Arial" w:cs="Arial" w:eastAsia="Arial" w:hAnsi="Arial"/>
                <w:sz w:val="14"/>
                <w:szCs w:val="14"/>
                <w:b w:val="1"/>
                <w:bCs w:val="1"/>
                <w:color w:val="auto"/>
                <w:w w:val="94"/>
              </w:rPr>
              <w:t>(unaudited)</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5"/>
        </w:trPr>
        <w:tc>
          <w:tcPr>
            <w:tcW w:w="4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Shares subject to outstanding stock options and restricted stock</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gridSpan w:val="3"/>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Series A redeemable convertible preferred stock</w:t>
            </w:r>
          </w:p>
        </w:tc>
        <w:tc>
          <w:tcPr>
            <w:tcW w:w="19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760" w:type="dxa"/>
            <w:vAlign w:val="bottom"/>
            <w:gridSpan w:val="3"/>
          </w:tcPr>
          <w:p>
            <w:pPr>
              <w:ind w:left="9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r>
    </w:tbl>
    <w:p>
      <w:pPr>
        <w:spacing w:after="0" w:line="265" w:lineRule="exact"/>
        <w:rPr>
          <w:sz w:val="20"/>
          <w:szCs w:val="20"/>
          <w:color w:val="auto"/>
        </w:rPr>
      </w:pPr>
    </w:p>
    <w:p>
      <w:pPr>
        <w:ind w:left="660" w:hanging="652"/>
        <w:spacing w:after="0"/>
        <w:tabs>
          <w:tab w:leader="none" w:pos="6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sponsors a 401(k) savings plan (the Savings Plan). All employees are eligible to participate in the Savings Plan after meeting certain eligibility requirements. Participants may elect to have a portion of their salary deferred and contributed to the Savings Plan up to the limit allowed by the applicable income tax regulations. The Company’s current policy is to match employee contributions up to certain overall limits. The Company made matching contributions of $2.3 million and $2.7 million during the years ended December 31, 2019 and 2020, respectively, and $1.3 million and $1.7 million for the six months ended June 30, 2020 and 2021 (unaudited),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F-36</w:t>
      </w:r>
    </w:p>
    <w:p>
      <w:pPr>
        <w:sectPr>
          <w:pgSz w:w="11900" w:h="16838" w:orient="portrait"/>
          <w:cols w:equalWidth="0" w:num="1">
            <w:col w:w="11240"/>
          </w:cols>
          <w:pgMar w:left="320" w:top="175" w:right="339" w:bottom="1440" w:gutter="0" w:footer="0" w:header="0"/>
        </w:sectPr>
      </w:pPr>
    </w:p>
    <w:bookmarkStart w:id="186" w:name="page187"/>
    <w:bookmarkEnd w:id="186"/>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hanging="652"/>
        <w:spacing w:after="0"/>
        <w:tabs>
          <w:tab w:leader="none" w:pos="6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During 2017, the Company entered into a stock repurchase agreement to repurchase a specific number of shares of Class G common stock from one of the Company’s co-founders. In connection with the stock repurchase agreement, the Company issued subordinated promissory notes (the “Notes”) with a principal amount totaling $28.5 million to the co-founder. The Notes bear interest on the outstanding principal amount at the rate of 4.2922% per year and mature in 2026. In the event of a deemed liquidation event or initial public offering while the Notes remain outstanding, the Company must repay the Notes in an amount equal to the outstanding principal plus an unpaid accrued interest, to the extent there are proceeds available after payment of senior obligations. The Company continues to make annual interest payments in relation to this agreement. Refer to Note 7 – Debt for further discussion. There were no other material related party transactions during the years ended December 31, 2019 and 2020, or the six months ended June 30, 2021 (unaudited).</w:t>
      </w:r>
    </w:p>
    <w:p>
      <w:pPr>
        <w:spacing w:after="0" w:line="108" w:lineRule="exact"/>
        <w:rPr>
          <w:sz w:val="20"/>
          <w:szCs w:val="20"/>
          <w:color w:val="auto"/>
        </w:rPr>
      </w:pPr>
    </w:p>
    <w:p>
      <w:pPr>
        <w:ind w:left="660" w:hanging="652"/>
        <w:spacing w:after="0"/>
        <w:tabs>
          <w:tab w:leader="none" w:pos="6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evaluated subsequent events pertaining to the annual consolidated financial statements through May 3, 2021, the date the financial statements were issued.</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January 2021, the Company waived its right of first refusal and the CEO entered into a stock transfer agreement to sell approximately 2.1 million shares of Class F common stock to an existing investor at $7.00 per share for an aggregate purchase price of $15.0 million. Upon consummation of the sale to the third party, the shares of Class F common stock were automatically converted into shares of Class A common stock on a 1:1 basis in accordance with the rights and preferences of the Class F common stock. The price per share was equivalent to the estimated fair value of the Company’s common stock on December 31, 2020 as determined by its Board of Directors with the assistance of a third-party valuation specialist.</w:t>
      </w:r>
    </w:p>
    <w:p>
      <w:pPr>
        <w:spacing w:after="0" w:line="10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Also in January 2021, the Company entered into a repurchase agreement with the CEO to repurchase approximately 1.8 million shares of Class F common stock at $7.00 per share for an aggregate purchase price of approximately $12.6 million.</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February 2021, the Company waived its right of first refusal and the CEO entered into a stock transfer agreement to sell approximately 0.3 million shares of Class A common stock to an existing investor at $7.00 per share for an aggregate purchase price of $2.1 million. The price per share was equivalent to the estimated fair value of the Company’s common stock on December 31, 2020 as determined by its Board of Directors with the assistance of a third-party valuation specialist.</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Also in February 2021, the Company amended and restated the Credit Agreement to increase the revolving line of credit from up to $50.0 million to up to $100.0 million with the option to increase up to an additional $25.0 million. The Credit Agreement financial covenants requiring the Company to maintain minimum EBITDA and an adjusted quick ratio above specified levels, measured in each case at the end of each fiscal quarter, were updated accordingly. In addition, the margin for outstanding ABR loans was increased from 0.75% or 0.50% to 1.75% or 2.00%. The termination date of the Credit Agreement has been extended to September 2, 2023.</w:t>
      </w:r>
    </w:p>
    <w:p>
      <w:pPr>
        <w:spacing w:after="0" w:line="13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March 2021, the Company entered into an Option Cancellation Agreement with a former member of its board of directors and an affiliated entity, pursuant to which the Company cancelled options to purchase an aggregate of 0.3 million shares of Class A common stock. The total consideration paid for the option cancellation was $2.4 million, of which $1.0 million was recognized as compensation expense for the excess amount paid over the purchase-date fair market value of the options. In addition, in March 2021, the Company repurchased 0.2 million shares of Series A redeemable convertible preferred stock from an affiliated entity of a former member of its Board of Directors for approximately $2.0 million.</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April 2021, the Company signed an agreement to sublease office space in San Francisco, California, commencing November 2021. The sublease has a term of three years and nine months, and rental costs of approximately $0.2 million per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F-37</w:t>
      </w:r>
    </w:p>
    <w:p>
      <w:pPr>
        <w:sectPr>
          <w:pgSz w:w="11900" w:h="16838" w:orient="portrait"/>
          <w:cols w:equalWidth="0" w:num="1">
            <w:col w:w="11240"/>
          </w:cols>
          <w:pgMar w:left="320" w:top="175" w:right="339" w:bottom="1440" w:gutter="0" w:footer="0" w:header="0"/>
        </w:sectPr>
      </w:pPr>
    </w:p>
    <w:bookmarkStart w:id="187" w:name="page188"/>
    <w:bookmarkEnd w:id="187"/>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hanging="652"/>
        <w:spacing w:after="0"/>
        <w:tabs>
          <w:tab w:leader="none" w:pos="6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 (UNAUDITED)</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preparing the unaudited interim consolidated financial statements for the six months ended June 30, 2020 and 2021, the Company evaluated subsequent events through October 8, 2021, the date the unaudited interim consolidated financial statements were issued.</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May 2021, the Company amended and restated the Credit Agreement to update the financial covenants requiring the Company to maintain minimum EBITDA and an adjusted quick ratio above specified levels, measured in each case at the end of each fiscal quarter. There were no changes to the line of credit amount, interest rate margins or termination date for the Credit Agreement.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F-38</w:t>
      </w:r>
    </w:p>
    <w:p>
      <w:pPr>
        <w:sectPr>
          <w:pgSz w:w="11900" w:h="16838" w:orient="portrait"/>
          <w:cols w:equalWidth="0" w:num="1">
            <w:col w:w="11240"/>
          </w:cols>
          <w:pgMar w:left="320" w:top="175" w:right="339" w:bottom="1440" w:gutter="0" w:footer="0" w:header="0"/>
        </w:sectPr>
      </w:pPr>
    </w:p>
    <w:bookmarkStart w:id="188" w:name="page189"/>
    <w:bookmarkEnd w:id="188"/>
    <w:p>
      <w:pPr>
        <w:spacing w:after="0" w:line="14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indicates the expenses to be incurred in connection with the offering described in this registration statement, other than underwriting discounts and commissions, all of which will be paid by us. All amounts are estimated except the SEC registration fee, the Financial Industry Regulatory Authority, Inc., or FINRA, filing fee and the exchange listing fee.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jc w:val="right"/>
              <w:ind w:right="55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6"/>
        </w:trPr>
        <w:tc>
          <w:tcPr>
            <w:tcW w:w="93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 registration fee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340" w:type="dxa"/>
            <w:vAlign w:val="bottom"/>
          </w:tcPr>
          <w:p>
            <w:pPr>
              <w:ind w:left="20"/>
              <w:spacing w:after="0"/>
              <w:rPr>
                <w:sz w:val="20"/>
                <w:szCs w:val="20"/>
                <w:color w:val="auto"/>
              </w:rPr>
            </w:pPr>
            <w:r>
              <w:rPr>
                <w:rFonts w:ascii="Arial" w:cs="Arial" w:eastAsia="Arial" w:hAnsi="Arial"/>
                <w:sz w:val="18"/>
                <w:szCs w:val="18"/>
                <w:color w:val="auto"/>
              </w:rPr>
              <w:t>FINRA filing fee</w:t>
            </w: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Exchange listing fee</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340" w:type="dxa"/>
            <w:vAlign w:val="bottom"/>
          </w:tcPr>
          <w:p>
            <w:pPr>
              <w:ind w:left="20"/>
              <w:spacing w:after="0"/>
              <w:rPr>
                <w:sz w:val="20"/>
                <w:szCs w:val="20"/>
                <w:color w:val="auto"/>
              </w:rPr>
            </w:pPr>
            <w:r>
              <w:rPr>
                <w:rFonts w:ascii="Arial" w:cs="Arial" w:eastAsia="Arial" w:hAnsi="Arial"/>
                <w:sz w:val="18"/>
                <w:szCs w:val="18"/>
                <w:color w:val="auto"/>
              </w:rPr>
              <w:t>Accountants’ fees and expenses</w:t>
            </w: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Legal fees and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340" w:type="dxa"/>
            <w:vAlign w:val="bottom"/>
          </w:tcPr>
          <w:p>
            <w:pPr>
              <w:ind w:left="20"/>
              <w:spacing w:after="0"/>
              <w:rPr>
                <w:sz w:val="20"/>
                <w:szCs w:val="20"/>
                <w:color w:val="auto"/>
              </w:rPr>
            </w:pPr>
            <w:r>
              <w:rPr>
                <w:rFonts w:ascii="Arial" w:cs="Arial" w:eastAsia="Arial" w:hAnsi="Arial"/>
                <w:sz w:val="18"/>
                <w:szCs w:val="18"/>
                <w:color w:val="auto"/>
              </w:rPr>
              <w:t>Transfer Agent’s fees and expenses</w:t>
            </w: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Printing and engraving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340" w:type="dxa"/>
            <w:vAlign w:val="bottom"/>
          </w:tcPr>
          <w:p>
            <w:pPr>
              <w:ind w:left="20"/>
              <w:spacing w:after="0"/>
              <w:rPr>
                <w:sz w:val="20"/>
                <w:szCs w:val="20"/>
                <w:color w:val="auto"/>
              </w:rPr>
            </w:pPr>
            <w:r>
              <w:rPr>
                <w:rFonts w:ascii="Arial" w:cs="Arial" w:eastAsia="Arial" w:hAnsi="Arial"/>
                <w:sz w:val="18"/>
                <w:szCs w:val="18"/>
                <w:color w:val="auto"/>
              </w:rPr>
              <w:t>Miscellaneous</w:t>
            </w: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3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3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To be provided by amendment.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amended and restated certificate of incorporation that will be in effect on the completion of this offering permits indemnification of our directors, officers, employees and other agents to the maximum extent permitted by the Delaware General Corporation Law, and our amended and restated bylaws that will be in effect on the completion of this offering provide that we will indemnify our directors and officers and permit us to indemnify our employees and other agents, in each case to the maximum extent permitted by the Delaware General Corporation Law.</w:t>
      </w:r>
    </w:p>
    <w:p>
      <w:pPr>
        <w:spacing w:after="0" w:line="11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NerdWallet, Inc., provided that such director or officer acted in good faith and in a manner that the director or officer reasonably believed to be in, or not opposed to, the best interest of NerdWallet, Inc. At present, there is no pending litigation or proceeding involving a director or officer of NerdWallet, Inc. regarding which indemnification is sought, nor is the registrant aware of any threatened litigation that may result in claims for indemnification.</w:t>
      </w:r>
    </w:p>
    <w:p>
      <w:pPr>
        <w:spacing w:after="0" w:line="11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indemnification provisions in our second amended and restated certificate of incorporation, amended and restated bylaws, and the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At present, there is no pending litigation or proceeding involving a director or officer of ours regarding which indemnification is sought, nor is the registrant aware of any threatened litigation that may result in claims for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II-1</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4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maintain insurance policies that indemnify our directors and officers against various liabilities arising under the Securities Act and the Exchange Act of 1934, as amended, that might be incurred by any director or officer in his or her capacity as such.</w:t>
      </w:r>
    </w:p>
    <w:p>
      <w:pPr>
        <w:spacing w:after="0" w:line="11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Certain of our non-employee directors may, through their relationships with their employers, be insured and/or indemnified against certain liabilities incurred in their capacity as members of our board of directors.</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underwriting agreement to be filed as Exhibit 1.1 to this registration statement will provide for indemnification by the underwriters of us and our officers and directors for certain liabilities arising under the Securities Act or otherwise.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Since January 1, 2018 we have issued the following unregistered securities: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of Class A common stock</w:t>
      </w:r>
    </w:p>
    <w:p>
      <w:pPr>
        <w:spacing w:after="0" w:line="171" w:lineRule="exact"/>
        <w:rPr>
          <w:sz w:val="20"/>
          <w:szCs w:val="20"/>
          <w:color w:val="auto"/>
        </w:rPr>
      </w:pPr>
    </w:p>
    <w:p>
      <w:pPr>
        <w:ind w:right="20" w:firstLine="332"/>
        <w:spacing w:after="0" w:line="277" w:lineRule="auto"/>
        <w:tabs>
          <w:tab w:leader="none" w:pos="64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November 2020, we issued and sold 7,757,141 shares of our Class A common stock to accredited investors for an aggregate purchase price of approximately $54.3 million.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Plan-Related Issuances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ind w:left="340"/>
              <w:spacing w:after="0"/>
              <w:rPr>
                <w:sz w:val="20"/>
                <w:szCs w:val="20"/>
                <w:color w:val="auto"/>
              </w:rPr>
            </w:pPr>
            <w:r>
              <w:rPr>
                <w:rFonts w:ascii="Arial" w:cs="Arial" w:eastAsia="Arial" w:hAnsi="Arial"/>
                <w:sz w:val="18"/>
                <w:szCs w:val="18"/>
                <w:color w:val="auto"/>
              </w:rPr>
              <w:t>(2)</w:t>
            </w:r>
          </w:p>
        </w:tc>
        <w:tc>
          <w:tcPr>
            <w:tcW w:w="10640" w:type="dxa"/>
            <w:vAlign w:val="bottom"/>
            <w:gridSpan w:val="7"/>
          </w:tcPr>
          <w:p>
            <w:pPr>
              <w:jc w:val="right"/>
              <w:spacing w:after="0"/>
              <w:rPr>
                <w:sz w:val="20"/>
                <w:szCs w:val="20"/>
                <w:color w:val="auto"/>
              </w:rPr>
            </w:pPr>
            <w:r>
              <w:rPr>
                <w:rFonts w:ascii="Arial" w:cs="Arial" w:eastAsia="Arial" w:hAnsi="Arial"/>
                <w:sz w:val="18"/>
                <w:szCs w:val="18"/>
                <w:color w:val="auto"/>
                <w:w w:val="92"/>
              </w:rPr>
              <w:t>From January 1, 2018 through the date of this registration statement, we granted to certain directors, officers, employees, consultants and other</w:t>
            </w:r>
          </w:p>
        </w:tc>
      </w:tr>
      <w:tr>
        <w:trPr>
          <w:trHeight w:val="216"/>
        </w:trPr>
        <w:tc>
          <w:tcPr>
            <w:tcW w:w="4460" w:type="dxa"/>
            <w:vAlign w:val="bottom"/>
            <w:gridSpan w:val="4"/>
          </w:tcPr>
          <w:p>
            <w:pPr>
              <w:spacing w:after="0"/>
              <w:rPr>
                <w:sz w:val="20"/>
                <w:szCs w:val="20"/>
                <w:color w:val="auto"/>
              </w:rPr>
            </w:pPr>
            <w:r>
              <w:rPr>
                <w:rFonts w:ascii="Arial" w:cs="Arial" w:eastAsia="Arial" w:hAnsi="Arial"/>
                <w:sz w:val="18"/>
                <w:szCs w:val="18"/>
                <w:color w:val="auto"/>
              </w:rPr>
              <w:t>service providers options to purchase an aggregate of</w:t>
            </w:r>
          </w:p>
        </w:tc>
        <w:tc>
          <w:tcPr>
            <w:tcW w:w="6780" w:type="dxa"/>
            <w:vAlign w:val="bottom"/>
            <w:gridSpan w:val="4"/>
          </w:tcPr>
          <w:p>
            <w:pPr>
              <w:jc w:val="right"/>
              <w:spacing w:after="0"/>
              <w:rPr>
                <w:sz w:val="20"/>
                <w:szCs w:val="20"/>
                <w:color w:val="auto"/>
              </w:rPr>
            </w:pPr>
            <w:r>
              <w:rPr>
                <w:rFonts w:ascii="Arial" w:cs="Arial" w:eastAsia="Arial" w:hAnsi="Arial"/>
                <w:sz w:val="18"/>
                <w:szCs w:val="18"/>
                <w:color w:val="auto"/>
              </w:rPr>
              <w:t>shares of our Class A common stock under our 2012 Plan at exercise prices ranging</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from</w:t>
            </w:r>
          </w:p>
        </w:tc>
        <w:tc>
          <w:tcPr>
            <w:tcW w:w="900" w:type="dxa"/>
            <w:vAlign w:val="bottom"/>
          </w:tcPr>
          <w:p>
            <w:pPr>
              <w:ind w:left="380"/>
              <w:spacing w:after="0"/>
              <w:rPr>
                <w:sz w:val="20"/>
                <w:szCs w:val="20"/>
                <w:color w:val="auto"/>
              </w:rPr>
            </w:pPr>
            <w:r>
              <w:rPr>
                <w:rFonts w:ascii="Arial" w:cs="Arial" w:eastAsia="Arial" w:hAnsi="Arial"/>
                <w:sz w:val="18"/>
                <w:szCs w:val="18"/>
                <w:color w:val="auto"/>
              </w:rPr>
              <w:t>to</w:t>
            </w:r>
          </w:p>
        </w:tc>
        <w:tc>
          <w:tcPr>
            <w:tcW w:w="4940" w:type="dxa"/>
            <w:vAlign w:val="bottom"/>
            <w:gridSpan w:val="3"/>
          </w:tcPr>
          <w:p>
            <w:pPr>
              <w:ind w:left="260"/>
              <w:spacing w:after="0"/>
              <w:rPr>
                <w:sz w:val="20"/>
                <w:szCs w:val="20"/>
                <w:color w:val="auto"/>
              </w:rPr>
            </w:pPr>
            <w:r>
              <w:rPr>
                <w:rFonts w:ascii="Arial" w:cs="Arial" w:eastAsia="Arial" w:hAnsi="Arial"/>
                <w:sz w:val="18"/>
                <w:szCs w:val="18"/>
                <w:color w:val="auto"/>
                <w:w w:val="98"/>
              </w:rPr>
              <w:t>per share, for an aggregate exercise price of approximately</w:t>
            </w:r>
          </w:p>
        </w:tc>
        <w:tc>
          <w:tcPr>
            <w:tcW w:w="1100" w:type="dxa"/>
            <w:vAlign w:val="bottom"/>
          </w:tcPr>
          <w:p>
            <w:pPr>
              <w:ind w:left="140"/>
              <w:spacing w:after="0"/>
              <w:rPr>
                <w:sz w:val="20"/>
                <w:szCs w:val="20"/>
                <w:color w:val="auto"/>
              </w:rPr>
            </w:pPr>
            <w:r>
              <w:rPr>
                <w:rFonts w:ascii="Arial" w:cs="Arial" w:eastAsia="Arial" w:hAnsi="Arial"/>
                <w:sz w:val="18"/>
                <w:szCs w:val="18"/>
                <w:color w:val="auto"/>
              </w:rPr>
              <w:t>per share.</w:t>
            </w:r>
          </w:p>
        </w:tc>
        <w:tc>
          <w:tcPr>
            <w:tcW w:w="136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64"/>
        </w:trPr>
        <w:tc>
          <w:tcPr>
            <w:tcW w:w="600" w:type="dxa"/>
            <w:vAlign w:val="bottom"/>
          </w:tcPr>
          <w:p>
            <w:pPr>
              <w:ind w:left="340"/>
              <w:spacing w:after="0"/>
              <w:rPr>
                <w:sz w:val="20"/>
                <w:szCs w:val="20"/>
                <w:color w:val="auto"/>
              </w:rPr>
            </w:pPr>
            <w:r>
              <w:rPr>
                <w:rFonts w:ascii="Arial" w:cs="Arial" w:eastAsia="Arial" w:hAnsi="Arial"/>
                <w:sz w:val="18"/>
                <w:szCs w:val="18"/>
                <w:color w:val="auto"/>
              </w:rPr>
              <w:t>(3)</w:t>
            </w:r>
          </w:p>
        </w:tc>
        <w:tc>
          <w:tcPr>
            <w:tcW w:w="10640" w:type="dxa"/>
            <w:vAlign w:val="bottom"/>
            <w:gridSpan w:val="7"/>
          </w:tcPr>
          <w:p>
            <w:pPr>
              <w:jc w:val="right"/>
              <w:spacing w:after="0"/>
              <w:rPr>
                <w:sz w:val="20"/>
                <w:szCs w:val="20"/>
                <w:color w:val="auto"/>
              </w:rPr>
            </w:pPr>
            <w:r>
              <w:rPr>
                <w:rFonts w:ascii="Arial" w:cs="Arial" w:eastAsia="Arial" w:hAnsi="Arial"/>
                <w:sz w:val="18"/>
                <w:szCs w:val="18"/>
                <w:color w:val="auto"/>
                <w:w w:val="92"/>
              </w:rPr>
              <w:t>From January 1, 2018 through the date of this registration statement, we granted to certain directors, officers, employees, consultants and other</w:t>
            </w:r>
          </w:p>
        </w:tc>
      </w:tr>
      <w:tr>
        <w:trPr>
          <w:trHeight w:val="230"/>
        </w:trPr>
        <w:tc>
          <w:tcPr>
            <w:tcW w:w="2820" w:type="dxa"/>
            <w:vAlign w:val="bottom"/>
            <w:gridSpan w:val="3"/>
          </w:tcPr>
          <w:p>
            <w:pPr>
              <w:spacing w:after="0"/>
              <w:rPr>
                <w:sz w:val="20"/>
                <w:szCs w:val="20"/>
                <w:color w:val="auto"/>
              </w:rPr>
            </w:pPr>
            <w:r>
              <w:rPr>
                <w:rFonts w:ascii="Arial" w:cs="Arial" w:eastAsia="Arial" w:hAnsi="Arial"/>
                <w:sz w:val="18"/>
                <w:szCs w:val="18"/>
                <w:color w:val="auto"/>
              </w:rPr>
              <w:t>service providers an aggregate of</w:t>
            </w:r>
          </w:p>
        </w:tc>
        <w:tc>
          <w:tcPr>
            <w:tcW w:w="6080" w:type="dxa"/>
            <w:vAlign w:val="bottom"/>
            <w:gridSpan w:val="4"/>
          </w:tcPr>
          <w:p>
            <w:pPr>
              <w:ind w:left="260"/>
              <w:spacing w:after="0"/>
              <w:rPr>
                <w:sz w:val="20"/>
                <w:szCs w:val="20"/>
                <w:color w:val="auto"/>
              </w:rPr>
            </w:pPr>
            <w:r>
              <w:rPr>
                <w:rFonts w:ascii="Arial" w:cs="Arial" w:eastAsia="Arial" w:hAnsi="Arial"/>
                <w:sz w:val="18"/>
                <w:szCs w:val="18"/>
                <w:color w:val="auto"/>
                <w:w w:val="90"/>
              </w:rPr>
              <w:t>RSUs to be settled in shares of our Class A common stock under our 2012 Plan.</w:t>
            </w:r>
          </w:p>
        </w:tc>
        <w:tc>
          <w:tcPr>
            <w:tcW w:w="2340" w:type="dxa"/>
            <w:vAlign w:val="bottom"/>
          </w:tcPr>
          <w:p>
            <w:pPr>
              <w:spacing w:after="0"/>
              <w:rPr>
                <w:sz w:val="20"/>
                <w:szCs w:val="20"/>
                <w:color w:val="auto"/>
              </w:rPr>
            </w:pPr>
          </w:p>
        </w:tc>
      </w:tr>
      <w:tr>
        <w:trPr>
          <w:trHeight w:val="364"/>
        </w:trPr>
        <w:tc>
          <w:tcPr>
            <w:tcW w:w="600" w:type="dxa"/>
            <w:vAlign w:val="bottom"/>
          </w:tcPr>
          <w:p>
            <w:pPr>
              <w:ind w:left="340"/>
              <w:spacing w:after="0"/>
              <w:rPr>
                <w:sz w:val="20"/>
                <w:szCs w:val="20"/>
                <w:color w:val="auto"/>
              </w:rPr>
            </w:pPr>
            <w:r>
              <w:rPr>
                <w:rFonts w:ascii="Arial" w:cs="Arial" w:eastAsia="Arial" w:hAnsi="Arial"/>
                <w:sz w:val="18"/>
                <w:szCs w:val="18"/>
                <w:color w:val="auto"/>
              </w:rPr>
              <w:t>(4)</w:t>
            </w:r>
          </w:p>
        </w:tc>
        <w:tc>
          <w:tcPr>
            <w:tcW w:w="8300" w:type="dxa"/>
            <w:vAlign w:val="bottom"/>
            <w:gridSpan w:val="6"/>
          </w:tcPr>
          <w:p>
            <w:pPr>
              <w:ind w:left="40"/>
              <w:spacing w:after="0"/>
              <w:rPr>
                <w:sz w:val="20"/>
                <w:szCs w:val="20"/>
                <w:color w:val="auto"/>
              </w:rPr>
            </w:pPr>
            <w:r>
              <w:rPr>
                <w:rFonts w:ascii="Arial" w:cs="Arial" w:eastAsia="Arial" w:hAnsi="Arial"/>
                <w:sz w:val="18"/>
                <w:szCs w:val="18"/>
                <w:color w:val="auto"/>
                <w:w w:val="98"/>
              </w:rPr>
              <w:t>From January 1, 2018 through the date of this registration statement, we issued and sold an aggregate of</w:t>
            </w:r>
          </w:p>
        </w:tc>
        <w:tc>
          <w:tcPr>
            <w:tcW w:w="2340" w:type="dxa"/>
            <w:vAlign w:val="bottom"/>
          </w:tcPr>
          <w:p>
            <w:pPr>
              <w:jc w:val="right"/>
              <w:spacing w:after="0"/>
              <w:rPr>
                <w:sz w:val="20"/>
                <w:szCs w:val="20"/>
                <w:color w:val="auto"/>
              </w:rPr>
            </w:pPr>
            <w:r>
              <w:rPr>
                <w:rFonts w:ascii="Arial" w:cs="Arial" w:eastAsia="Arial" w:hAnsi="Arial"/>
                <w:sz w:val="18"/>
                <w:szCs w:val="18"/>
                <w:color w:val="auto"/>
                <w:w w:val="94"/>
              </w:rPr>
              <w:t>shares of our Class A common</w:t>
            </w:r>
          </w:p>
        </w:tc>
      </w:tr>
      <w:tr>
        <w:trPr>
          <w:trHeight w:val="216"/>
        </w:trPr>
        <w:tc>
          <w:tcPr>
            <w:tcW w:w="6440" w:type="dxa"/>
            <w:vAlign w:val="bottom"/>
            <w:gridSpan w:val="5"/>
          </w:tcPr>
          <w:p>
            <w:pPr>
              <w:spacing w:after="0"/>
              <w:rPr>
                <w:sz w:val="20"/>
                <w:szCs w:val="20"/>
                <w:color w:val="auto"/>
              </w:rPr>
            </w:pPr>
            <w:r>
              <w:rPr>
                <w:rFonts w:ascii="Arial" w:cs="Arial" w:eastAsia="Arial" w:hAnsi="Arial"/>
                <w:sz w:val="18"/>
                <w:szCs w:val="18"/>
                <w:color w:val="auto"/>
                <w:w w:val="92"/>
              </w:rPr>
              <w:t>stock upon the exercise of options under our 2012 Plan, at exercise prices ranging from</w:t>
            </w:r>
          </w:p>
        </w:tc>
        <w:tc>
          <w:tcPr>
            <w:tcW w:w="1100" w:type="dxa"/>
            <w:vAlign w:val="bottom"/>
          </w:tcPr>
          <w:p>
            <w:pPr>
              <w:ind w:left="520"/>
              <w:spacing w:after="0"/>
              <w:rPr>
                <w:sz w:val="20"/>
                <w:szCs w:val="20"/>
                <w:color w:val="auto"/>
              </w:rPr>
            </w:pPr>
            <w:r>
              <w:rPr>
                <w:rFonts w:ascii="Arial" w:cs="Arial" w:eastAsia="Arial" w:hAnsi="Arial"/>
                <w:sz w:val="18"/>
                <w:szCs w:val="18"/>
                <w:color w:val="auto"/>
              </w:rPr>
              <w:t>to</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w w:val="95"/>
              </w:rPr>
              <w:t>per share, for a weighted average exercise price</w:t>
            </w:r>
          </w:p>
        </w:tc>
      </w:tr>
      <w:tr>
        <w:trPr>
          <w:trHeight w:val="230"/>
        </w:trPr>
        <w:tc>
          <w:tcPr>
            <w:tcW w:w="1500" w:type="dxa"/>
            <w:vAlign w:val="bottom"/>
            <w:gridSpan w:val="2"/>
          </w:tcPr>
          <w:p>
            <w:pPr>
              <w:spacing w:after="0"/>
              <w:rPr>
                <w:sz w:val="20"/>
                <w:szCs w:val="20"/>
                <w:color w:val="auto"/>
              </w:rPr>
            </w:pPr>
            <w:r>
              <w:rPr>
                <w:rFonts w:ascii="Arial" w:cs="Arial" w:eastAsia="Arial" w:hAnsi="Arial"/>
                <w:sz w:val="18"/>
                <w:szCs w:val="18"/>
                <w:color w:val="auto"/>
              </w:rPr>
              <w:t>of approximately</w:t>
            </w:r>
          </w:p>
        </w:tc>
        <w:tc>
          <w:tcPr>
            <w:tcW w:w="1320" w:type="dxa"/>
            <w:vAlign w:val="bottom"/>
          </w:tcPr>
          <w:p>
            <w:pPr>
              <w:ind w:left="380"/>
              <w:spacing w:after="0"/>
              <w:rPr>
                <w:sz w:val="20"/>
                <w:szCs w:val="20"/>
                <w:color w:val="auto"/>
              </w:rPr>
            </w:pPr>
            <w:r>
              <w:rPr>
                <w:rFonts w:ascii="Arial" w:cs="Arial" w:eastAsia="Arial" w:hAnsi="Arial"/>
                <w:sz w:val="18"/>
                <w:szCs w:val="18"/>
                <w:color w:val="auto"/>
              </w:rPr>
              <w:t>per share.</w:t>
            </w:r>
          </w:p>
        </w:tc>
        <w:tc>
          <w:tcPr>
            <w:tcW w:w="16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340" w:type="dxa"/>
            <w:vAlign w:val="bottom"/>
          </w:tcPr>
          <w:p>
            <w:pPr>
              <w:spacing w:after="0"/>
              <w:rPr>
                <w:sz w:val="20"/>
                <w:szCs w:val="20"/>
                <w:color w:val="auto"/>
              </w:rPr>
            </w:pPr>
          </w:p>
        </w:tc>
      </w:tr>
    </w:tbl>
    <w:p>
      <w:pPr>
        <w:spacing w:after="0" w:line="1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Unless otherwise stated, the sales of the above securities were deemed to be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II-2</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gridSpan w:val="2"/>
          </w:tcPr>
          <w:p>
            <w:pPr>
              <w:ind w:left="26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6"/>
        </w:trPr>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780" w:type="dxa"/>
            <w:vAlign w:val="bottom"/>
            <w:gridSpan w:val="12"/>
          </w:tcPr>
          <w:p>
            <w:pPr>
              <w:ind w:left="1000"/>
              <w:spacing w:after="0"/>
              <w:rPr>
                <w:sz w:val="20"/>
                <w:szCs w:val="20"/>
                <w:color w:val="auto"/>
              </w:rPr>
            </w:pPr>
            <w:r>
              <w:rPr>
                <w:rFonts w:ascii="Arial" w:cs="Arial" w:eastAsia="Arial" w:hAnsi="Arial"/>
                <w:sz w:val="14"/>
                <w:szCs w:val="14"/>
                <w:b w:val="1"/>
                <w:bCs w:val="1"/>
                <w:color w:val="auto"/>
              </w:rPr>
              <w:t>Description of Exhibit</w:t>
            </w:r>
          </w:p>
        </w:tc>
      </w:tr>
      <w:tr>
        <w:trPr>
          <w:trHeight w:val="26"/>
        </w:trPr>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77"/>
        </w:trPr>
        <w:tc>
          <w:tcPr>
            <w:tcW w:w="960" w:type="dxa"/>
            <w:vAlign w:val="bottom"/>
          </w:tcPr>
          <w:p>
            <w:pPr>
              <w:ind w:left="2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15"/>
          </w:tcPr>
          <w:p>
            <w:pPr>
              <w:spacing w:after="0"/>
              <w:rPr>
                <w:sz w:val="20"/>
                <w:szCs w:val="20"/>
                <w:color w:val="auto"/>
              </w:rPr>
            </w:pPr>
            <w:r>
              <w:rPr>
                <w:rFonts w:ascii="Arial" w:cs="Arial" w:eastAsia="Arial" w:hAnsi="Arial"/>
                <w:sz w:val="18"/>
                <w:szCs w:val="18"/>
                <w:color w:val="auto"/>
              </w:rPr>
              <w:t>Form of Underwriting Agreement.</w:t>
            </w:r>
          </w:p>
        </w:tc>
      </w:tr>
      <w:tr>
        <w:trPr>
          <w:trHeight w:val="283"/>
        </w:trPr>
        <w:tc>
          <w:tcPr>
            <w:tcW w:w="960" w:type="dxa"/>
            <w:vAlign w:val="bottom"/>
          </w:tcPr>
          <w:p>
            <w:pPr>
              <w:ind w:left="2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40" w:type="dxa"/>
            <w:vAlign w:val="bottom"/>
            <w:tcBorders>
              <w:bottom w:val="single" w:sz="8" w:color="0000FF"/>
            </w:tcBorders>
            <w:gridSpan w:val="4"/>
          </w:tcPr>
          <w:p>
            <w:pPr>
              <w:spacing w:after="0"/>
              <w:rPr>
                <w:rFonts w:ascii="Arial" w:cs="Arial" w:eastAsia="Arial" w:hAnsi="Arial"/>
                <w:sz w:val="18"/>
                <w:szCs w:val="18"/>
                <w:color w:val="0000FF"/>
                <w:w w:val="90"/>
              </w:rPr>
            </w:pPr>
            <w:hyperlink w:anchor="page195">
              <w:r>
                <w:rPr>
                  <w:rFonts w:ascii="Arial" w:cs="Arial" w:eastAsia="Arial" w:hAnsi="Arial"/>
                  <w:sz w:val="18"/>
                  <w:szCs w:val="18"/>
                  <w:color w:val="0000FF"/>
                  <w:w w:val="90"/>
                </w:rPr>
                <w:t>Second Amended and Restated Certificate of Incorporation of the Registrant, as currently in effect.</w:t>
              </w:r>
            </w:hyperlink>
          </w:p>
        </w:tc>
        <w:tc>
          <w:tcPr>
            <w:tcW w:w="3040" w:type="dxa"/>
            <w:vAlign w:val="bottom"/>
            <w:gridSpan w:val="11"/>
          </w:tcPr>
          <w:p>
            <w:pPr>
              <w:spacing w:after="0"/>
              <w:rPr>
                <w:sz w:val="24"/>
                <w:szCs w:val="24"/>
                <w:color w:val="auto"/>
              </w:rPr>
            </w:pPr>
          </w:p>
        </w:tc>
      </w:tr>
      <w:tr>
        <w:trPr>
          <w:trHeight w:val="304"/>
        </w:trPr>
        <w:tc>
          <w:tcPr>
            <w:tcW w:w="960" w:type="dxa"/>
            <w:vAlign w:val="bottom"/>
          </w:tcPr>
          <w:p>
            <w:pPr>
              <w:ind w:left="2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12"/>
          </w:tcPr>
          <w:p>
            <w:pPr>
              <w:spacing w:after="0"/>
              <w:rPr>
                <w:rFonts w:ascii="Arial" w:cs="Arial" w:eastAsia="Arial" w:hAnsi="Arial"/>
                <w:sz w:val="18"/>
                <w:szCs w:val="18"/>
                <w:color w:val="0000FF"/>
                <w:w w:val="91"/>
              </w:rPr>
            </w:pPr>
            <w:hyperlink w:anchor="page225">
              <w:r>
                <w:rPr>
                  <w:rFonts w:ascii="Arial" w:cs="Arial" w:eastAsia="Arial" w:hAnsi="Arial"/>
                  <w:sz w:val="18"/>
                  <w:szCs w:val="18"/>
                  <w:color w:val="0000FF"/>
                  <w:w w:val="91"/>
                </w:rPr>
                <w:t>Certificate of Validation of Certificate of Amendment of the Second Amended and Restated Certificate of Incorporation, dated August 28,</w:t>
              </w:r>
            </w:hyperlink>
          </w:p>
        </w:tc>
        <w:tc>
          <w:tcPr>
            <w:tcW w:w="220" w:type="dxa"/>
            <w:vAlign w:val="bottom"/>
            <w:gridSpan w:val="3"/>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rFonts w:ascii="Arial" w:cs="Arial" w:eastAsia="Arial" w:hAnsi="Arial"/>
                <w:sz w:val="18"/>
                <w:szCs w:val="18"/>
                <w:color w:val="0000FF"/>
                <w:w w:val="88"/>
              </w:rPr>
            </w:pPr>
            <w:hyperlink w:anchor="page225">
              <w:r>
                <w:rPr>
                  <w:rFonts w:ascii="Arial" w:cs="Arial" w:eastAsia="Arial" w:hAnsi="Arial"/>
                  <w:sz w:val="18"/>
                  <w:szCs w:val="18"/>
                  <w:color w:val="0000FF"/>
                  <w:w w:val="88"/>
                </w:rPr>
                <w:t>2019.</w:t>
              </w:r>
            </w:hyperlink>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04"/>
        </w:trPr>
        <w:tc>
          <w:tcPr>
            <w:tcW w:w="960" w:type="dxa"/>
            <w:vAlign w:val="bottom"/>
          </w:tcPr>
          <w:p>
            <w:pPr>
              <w:ind w:left="2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15"/>
          </w:tcPr>
          <w:p>
            <w:pPr>
              <w:spacing w:after="0"/>
              <w:rPr>
                <w:rFonts w:ascii="Arial" w:cs="Arial" w:eastAsia="Arial" w:hAnsi="Arial"/>
                <w:sz w:val="18"/>
                <w:szCs w:val="18"/>
                <w:color w:val="0000FF"/>
              </w:rPr>
            </w:pPr>
            <w:hyperlink w:anchor="page233">
              <w:r>
                <w:rPr>
                  <w:rFonts w:ascii="Arial" w:cs="Arial" w:eastAsia="Arial" w:hAnsi="Arial"/>
                  <w:sz w:val="18"/>
                  <w:szCs w:val="18"/>
                  <w:color w:val="0000FF"/>
                </w:rPr>
                <w:t>Certificate of Amendment to the Second Amended and Restated Certificate of Incorporation, dated April 7, 2020.</w:t>
              </w:r>
            </w:hyperlink>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7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960" w:type="dxa"/>
            <w:vAlign w:val="bottom"/>
          </w:tcPr>
          <w:p>
            <w:pPr>
              <w:ind w:left="2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8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235">
              <w:r>
                <w:rPr>
                  <w:rFonts w:ascii="Arial" w:cs="Arial" w:eastAsia="Arial" w:hAnsi="Arial"/>
                  <w:sz w:val="18"/>
                  <w:szCs w:val="18"/>
                  <w:color w:val="0000FF"/>
                  <w:w w:val="90"/>
                </w:rPr>
                <w:t>Certificate of Amendment to the Second Amended and Restated Certificate of Incorporation, dated September 2, 2020.</w:t>
              </w:r>
            </w:hyperlink>
          </w:p>
        </w:tc>
        <w:tc>
          <w:tcPr>
            <w:tcW w:w="1600" w:type="dxa"/>
            <w:vAlign w:val="bottom"/>
            <w:gridSpan w:val="8"/>
          </w:tcPr>
          <w:p>
            <w:pPr>
              <w:spacing w:after="0"/>
              <w:rPr>
                <w:sz w:val="24"/>
                <w:szCs w:val="24"/>
                <w:color w:val="auto"/>
              </w:rPr>
            </w:pPr>
          </w:p>
        </w:tc>
      </w:tr>
      <w:tr>
        <w:trPr>
          <w:trHeight w:val="304"/>
        </w:trPr>
        <w:tc>
          <w:tcPr>
            <w:tcW w:w="960" w:type="dxa"/>
            <w:vAlign w:val="bottom"/>
          </w:tcPr>
          <w:p>
            <w:pPr>
              <w:ind w:left="2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15"/>
          </w:tcPr>
          <w:p>
            <w:pPr>
              <w:spacing w:after="0"/>
              <w:rPr>
                <w:rFonts w:ascii="Arial" w:cs="Arial" w:eastAsia="Arial" w:hAnsi="Arial"/>
                <w:sz w:val="18"/>
                <w:szCs w:val="18"/>
                <w:color w:val="0000FF"/>
              </w:rPr>
            </w:pPr>
            <w:hyperlink w:anchor="page237">
              <w:r>
                <w:rPr>
                  <w:rFonts w:ascii="Arial" w:cs="Arial" w:eastAsia="Arial" w:hAnsi="Arial"/>
                  <w:sz w:val="18"/>
                  <w:szCs w:val="18"/>
                  <w:color w:val="0000FF"/>
                </w:rPr>
                <w:t>Certificate of Amendment to the Second Amended and Restated Certificate of Incorporation, dated March 25, 2021.</w:t>
              </w:r>
            </w:hyperlink>
          </w:p>
        </w:tc>
      </w:tr>
      <w:tr>
        <w:trPr>
          <w:trHeight w:val="304"/>
        </w:trPr>
        <w:tc>
          <w:tcPr>
            <w:tcW w:w="960" w:type="dxa"/>
            <w:vAlign w:val="bottom"/>
          </w:tcPr>
          <w:p>
            <w:pPr>
              <w:ind w:left="2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60" w:type="dxa"/>
            <w:vAlign w:val="bottom"/>
            <w:tcBorders>
              <w:top w:val="single" w:sz="8" w:color="0000FF"/>
            </w:tcBorders>
            <w:gridSpan w:val="6"/>
          </w:tcPr>
          <w:p>
            <w:pPr>
              <w:spacing w:after="0"/>
              <w:rPr>
                <w:rFonts w:ascii="Arial" w:cs="Arial" w:eastAsia="Arial" w:hAnsi="Arial"/>
                <w:sz w:val="18"/>
                <w:szCs w:val="18"/>
                <w:color w:val="0000FF"/>
              </w:rPr>
            </w:pPr>
            <w:hyperlink w:anchor="page238">
              <w:r>
                <w:rPr>
                  <w:rFonts w:ascii="Arial" w:cs="Arial" w:eastAsia="Arial" w:hAnsi="Arial"/>
                  <w:sz w:val="18"/>
                  <w:szCs w:val="18"/>
                  <w:color w:val="0000FF"/>
                </w:rPr>
                <w:t>Bylaws of the Registrant, as currently in effect.</w:t>
              </w:r>
            </w:hyperlink>
          </w:p>
        </w:tc>
        <w:tc>
          <w:tcPr>
            <w:tcW w:w="1820" w:type="dxa"/>
            <w:vAlign w:val="bottom"/>
            <w:gridSpan w:val="9"/>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55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960" w:type="dxa"/>
            <w:vAlign w:val="bottom"/>
          </w:tcPr>
          <w:p>
            <w:pPr>
              <w:ind w:left="2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15"/>
          </w:tcPr>
          <w:p>
            <w:pPr>
              <w:spacing w:after="0"/>
              <w:rPr>
                <w:sz w:val="20"/>
                <w:szCs w:val="20"/>
                <w:color w:val="auto"/>
              </w:rPr>
            </w:pPr>
            <w:r>
              <w:rPr>
                <w:rFonts w:ascii="Arial" w:cs="Arial" w:eastAsia="Arial" w:hAnsi="Arial"/>
                <w:sz w:val="18"/>
                <w:szCs w:val="18"/>
                <w:color w:val="auto"/>
              </w:rPr>
              <w:t>Form of Amended and Restated Certificate of Incorporation of the Registrant, to be effective on the completion of this offering.</w:t>
            </w:r>
          </w:p>
        </w:tc>
      </w:tr>
      <w:tr>
        <w:trPr>
          <w:trHeight w:val="324"/>
        </w:trPr>
        <w:tc>
          <w:tcPr>
            <w:tcW w:w="960" w:type="dxa"/>
            <w:vAlign w:val="bottom"/>
          </w:tcPr>
          <w:p>
            <w:pPr>
              <w:ind w:left="2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15"/>
          </w:tcPr>
          <w:p>
            <w:pPr>
              <w:spacing w:after="0"/>
              <w:rPr>
                <w:sz w:val="20"/>
                <w:szCs w:val="20"/>
                <w:color w:val="auto"/>
              </w:rPr>
            </w:pPr>
            <w:r>
              <w:rPr>
                <w:rFonts w:ascii="Arial" w:cs="Arial" w:eastAsia="Arial" w:hAnsi="Arial"/>
                <w:sz w:val="18"/>
                <w:szCs w:val="18"/>
                <w:color w:val="auto"/>
              </w:rPr>
              <w:t>Form of Amended and Restated Bylaws of the Registrant, to be effective on the completion of this offering.</w:t>
            </w:r>
          </w:p>
        </w:tc>
      </w:tr>
      <w:tr>
        <w:trPr>
          <w:trHeight w:val="324"/>
        </w:trPr>
        <w:tc>
          <w:tcPr>
            <w:tcW w:w="960" w:type="dxa"/>
            <w:vAlign w:val="bottom"/>
          </w:tcPr>
          <w:p>
            <w:pPr>
              <w:ind w:left="2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15"/>
          </w:tcPr>
          <w:p>
            <w:pPr>
              <w:spacing w:after="0"/>
              <w:rPr>
                <w:sz w:val="20"/>
                <w:szCs w:val="20"/>
                <w:color w:val="auto"/>
              </w:rPr>
            </w:pPr>
            <w:r>
              <w:rPr>
                <w:rFonts w:ascii="Arial" w:cs="Arial" w:eastAsia="Arial" w:hAnsi="Arial"/>
                <w:sz w:val="18"/>
                <w:szCs w:val="18"/>
                <w:color w:val="auto"/>
              </w:rPr>
              <w:t>Form of common stock certificate of the Registrant.</w:t>
            </w:r>
          </w:p>
        </w:tc>
      </w:tr>
      <w:tr>
        <w:trPr>
          <w:trHeight w:val="324"/>
        </w:trPr>
        <w:tc>
          <w:tcPr>
            <w:tcW w:w="960" w:type="dxa"/>
            <w:vAlign w:val="bottom"/>
          </w:tcPr>
          <w:p>
            <w:pPr>
              <w:ind w:left="2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15"/>
          </w:tcPr>
          <w:p>
            <w:pPr>
              <w:spacing w:after="0"/>
              <w:rPr>
                <w:sz w:val="20"/>
                <w:szCs w:val="20"/>
                <w:color w:val="auto"/>
              </w:rPr>
            </w:pPr>
            <w:r>
              <w:rPr>
                <w:rFonts w:ascii="Arial" w:cs="Arial" w:eastAsia="Arial" w:hAnsi="Arial"/>
                <w:sz w:val="18"/>
                <w:szCs w:val="18"/>
                <w:color w:val="auto"/>
              </w:rPr>
              <w:t>Opinion of Cooley LLP.</w:t>
            </w:r>
          </w:p>
        </w:tc>
      </w:tr>
      <w:tr>
        <w:trPr>
          <w:trHeight w:val="283"/>
        </w:trPr>
        <w:tc>
          <w:tcPr>
            <w:tcW w:w="960" w:type="dxa"/>
            <w:vAlign w:val="bottom"/>
          </w:tcPr>
          <w:p>
            <w:pPr>
              <w:ind w:left="2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15"/>
          </w:tcPr>
          <w:p>
            <w:pPr>
              <w:spacing w:after="0"/>
              <w:rPr>
                <w:rFonts w:ascii="Arial" w:cs="Arial" w:eastAsia="Arial" w:hAnsi="Arial"/>
                <w:sz w:val="18"/>
                <w:szCs w:val="18"/>
                <w:color w:val="0000FF"/>
              </w:rPr>
            </w:pPr>
            <w:hyperlink w:anchor="page257">
              <w:r>
                <w:rPr>
                  <w:rFonts w:ascii="Arial" w:cs="Arial" w:eastAsia="Arial" w:hAnsi="Arial"/>
                  <w:sz w:val="18"/>
                  <w:szCs w:val="18"/>
                  <w:color w:val="0000FF"/>
                </w:rPr>
                <w:t>Investors’ Rights Agreement, by and between the Registrant and certain holders of its capital stock, dated January 30, 2015.</w:t>
              </w:r>
            </w:hyperlink>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6900" w:type="dxa"/>
            <w:vAlign w:val="bottom"/>
            <w:gridSpan w:val="6"/>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960" w:type="dxa"/>
            <w:vAlign w:val="bottom"/>
          </w:tcPr>
          <w:p>
            <w:pPr>
              <w:ind w:left="2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15"/>
          </w:tcPr>
          <w:p>
            <w:pPr>
              <w:spacing w:after="0"/>
              <w:rPr>
                <w:rFonts w:ascii="Arial" w:cs="Arial" w:eastAsia="Arial" w:hAnsi="Arial"/>
                <w:sz w:val="18"/>
                <w:szCs w:val="18"/>
                <w:color w:val="0000FF"/>
                <w:w w:val="93"/>
              </w:rPr>
            </w:pPr>
            <w:hyperlink w:anchor="page303">
              <w:r>
                <w:rPr>
                  <w:rFonts w:ascii="Arial" w:cs="Arial" w:eastAsia="Arial" w:hAnsi="Arial"/>
                  <w:sz w:val="18"/>
                  <w:szCs w:val="18"/>
                  <w:color w:val="0000FF"/>
                  <w:w w:val="93"/>
                </w:rPr>
                <w:t>Amendment of Investors' Rights Agreement, by and between the Registrant and certain holders of its capital stock, dated June 19, 2015.</w:t>
              </w:r>
            </w:hyperlink>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7020" w:type="dxa"/>
            <w:vAlign w:val="bottom"/>
            <w:gridSpan w:val="7"/>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960" w:type="dxa"/>
            <w:vAlign w:val="bottom"/>
          </w:tcPr>
          <w:p>
            <w:pPr>
              <w:ind w:left="2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tcBorders>
              <w:bottom w:val="single" w:sz="8" w:color="0000FF"/>
            </w:tcBorders>
            <w:gridSpan w:val="14"/>
          </w:tcPr>
          <w:p>
            <w:pPr>
              <w:spacing w:after="0"/>
              <w:rPr>
                <w:rFonts w:ascii="Arial" w:cs="Arial" w:eastAsia="Arial" w:hAnsi="Arial"/>
                <w:sz w:val="18"/>
                <w:szCs w:val="18"/>
                <w:color w:val="0000FF"/>
                <w:w w:val="90"/>
              </w:rPr>
            </w:pPr>
            <w:hyperlink w:anchor="page305">
              <w:r>
                <w:rPr>
                  <w:rFonts w:ascii="Arial" w:cs="Arial" w:eastAsia="Arial" w:hAnsi="Arial"/>
                  <w:sz w:val="18"/>
                  <w:szCs w:val="18"/>
                  <w:color w:val="0000FF"/>
                  <w:w w:val="90"/>
                </w:rPr>
                <w:t>Second Amendment of Investors' Rights Agreement, by and between the Registrant and certain holders of its capital stock, dated August 26,</w:t>
              </w:r>
            </w:hyperlink>
          </w:p>
        </w:tc>
        <w:tc>
          <w:tcPr>
            <w:tcW w:w="60" w:type="dxa"/>
            <w:vAlign w:val="bottom"/>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rFonts w:ascii="Arial" w:cs="Arial" w:eastAsia="Arial" w:hAnsi="Arial"/>
                <w:sz w:val="18"/>
                <w:szCs w:val="18"/>
                <w:color w:val="0000FF"/>
                <w:w w:val="88"/>
              </w:rPr>
            </w:pPr>
            <w:hyperlink w:anchor="page305">
              <w:r>
                <w:rPr>
                  <w:rFonts w:ascii="Arial" w:cs="Arial" w:eastAsia="Arial" w:hAnsi="Arial"/>
                  <w:sz w:val="18"/>
                  <w:szCs w:val="18"/>
                  <w:color w:val="0000FF"/>
                  <w:w w:val="88"/>
                </w:rPr>
                <w:t>2015.</w:t>
              </w:r>
            </w:hyperlink>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04"/>
        </w:trPr>
        <w:tc>
          <w:tcPr>
            <w:tcW w:w="960" w:type="dxa"/>
            <w:vAlign w:val="bottom"/>
          </w:tcPr>
          <w:p>
            <w:pPr>
              <w:ind w:lef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307">
              <w:r>
                <w:rPr>
                  <w:rFonts w:ascii="Arial" w:cs="Arial" w:eastAsia="Arial" w:hAnsi="Arial"/>
                  <w:sz w:val="18"/>
                  <w:szCs w:val="18"/>
                  <w:color w:val="0000FF"/>
                  <w:w w:val="90"/>
                </w:rPr>
                <w:t>Third Amendment of Investors' Rights Agreement, by and between the Registrant and certain holders of its capital stock, dated June 29,</w:t>
              </w:r>
            </w:hyperlink>
          </w:p>
        </w:tc>
        <w:tc>
          <w:tcPr>
            <w:tcW w:w="380" w:type="dxa"/>
            <w:vAlign w:val="bottom"/>
            <w:gridSpan w:val="4"/>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rFonts w:ascii="Arial" w:cs="Arial" w:eastAsia="Arial" w:hAnsi="Arial"/>
                <w:sz w:val="18"/>
                <w:szCs w:val="18"/>
                <w:color w:val="0000FF"/>
                <w:w w:val="88"/>
              </w:rPr>
            </w:pPr>
            <w:hyperlink w:anchor="page307">
              <w:r>
                <w:rPr>
                  <w:rFonts w:ascii="Arial" w:cs="Arial" w:eastAsia="Arial" w:hAnsi="Arial"/>
                  <w:sz w:val="18"/>
                  <w:szCs w:val="18"/>
                  <w:color w:val="0000FF"/>
                  <w:w w:val="88"/>
                </w:rPr>
                <w:t>2016.</w:t>
              </w:r>
            </w:hyperlink>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04"/>
        </w:trPr>
        <w:tc>
          <w:tcPr>
            <w:tcW w:w="960" w:type="dxa"/>
            <w:vAlign w:val="bottom"/>
          </w:tcPr>
          <w:p>
            <w:pPr>
              <w:ind w:left="2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tcBorders>
              <w:bottom w:val="single" w:sz="8" w:color="0000FF"/>
            </w:tcBorders>
            <w:gridSpan w:val="13"/>
          </w:tcPr>
          <w:p>
            <w:pPr>
              <w:spacing w:after="0"/>
              <w:rPr>
                <w:rFonts w:ascii="Arial" w:cs="Arial" w:eastAsia="Arial" w:hAnsi="Arial"/>
                <w:sz w:val="18"/>
                <w:szCs w:val="18"/>
                <w:color w:val="0000FF"/>
                <w:w w:val="90"/>
              </w:rPr>
            </w:pPr>
            <w:hyperlink w:anchor="page309">
              <w:r>
                <w:rPr>
                  <w:rFonts w:ascii="Arial" w:cs="Arial" w:eastAsia="Arial" w:hAnsi="Arial"/>
                  <w:sz w:val="18"/>
                  <w:szCs w:val="18"/>
                  <w:color w:val="0000FF"/>
                  <w:w w:val="90"/>
                </w:rPr>
                <w:t>Amendment No. 4 to the Investors' Rights Agreement, by and between the Registrant and certain holders of its capital stock, dated April 7,</w:t>
              </w:r>
            </w:hyperlink>
          </w:p>
        </w:tc>
        <w:tc>
          <w:tcPr>
            <w:tcW w:w="160" w:type="dxa"/>
            <w:vAlign w:val="bottom"/>
            <w:gridSpan w:val="2"/>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rFonts w:ascii="Arial" w:cs="Arial" w:eastAsia="Arial" w:hAnsi="Arial"/>
                <w:sz w:val="18"/>
                <w:szCs w:val="18"/>
                <w:color w:val="0000FF"/>
                <w:w w:val="88"/>
              </w:rPr>
            </w:pPr>
            <w:hyperlink w:anchor="page309">
              <w:r>
                <w:rPr>
                  <w:rFonts w:ascii="Arial" w:cs="Arial" w:eastAsia="Arial" w:hAnsi="Arial"/>
                  <w:sz w:val="18"/>
                  <w:szCs w:val="18"/>
                  <w:color w:val="0000FF"/>
                  <w:w w:val="88"/>
                </w:rPr>
                <w:t>2020.</w:t>
              </w:r>
            </w:hyperlink>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04"/>
        </w:trPr>
        <w:tc>
          <w:tcPr>
            <w:tcW w:w="960" w:type="dxa"/>
            <w:vAlign w:val="bottom"/>
          </w:tcPr>
          <w:p>
            <w:pPr>
              <w:ind w:left="2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315">
              <w:r>
                <w:rPr>
                  <w:rFonts w:ascii="Arial" w:cs="Arial" w:eastAsia="Arial" w:hAnsi="Arial"/>
                  <w:sz w:val="18"/>
                  <w:szCs w:val="18"/>
                  <w:color w:val="0000FF"/>
                  <w:w w:val="91"/>
                </w:rPr>
                <w:t>2012 Equity Incentive Plan.</w:t>
              </w:r>
            </w:hyperlink>
          </w:p>
        </w:tc>
        <w:tc>
          <w:tcPr>
            <w:tcW w:w="8160" w:type="dxa"/>
            <w:vAlign w:val="bottom"/>
            <w:gridSpan w:val="13"/>
          </w:tcPr>
          <w:p>
            <w:pPr>
              <w:spacing w:after="0"/>
              <w:rPr>
                <w:sz w:val="24"/>
                <w:szCs w:val="24"/>
                <w:color w:val="auto"/>
              </w:rPr>
            </w:pPr>
          </w:p>
        </w:tc>
      </w:tr>
      <w:tr>
        <w:trPr>
          <w:trHeight w:val="304"/>
        </w:trPr>
        <w:tc>
          <w:tcPr>
            <w:tcW w:w="960" w:type="dxa"/>
            <w:vAlign w:val="bottom"/>
          </w:tcPr>
          <w:p>
            <w:pPr>
              <w:ind w:left="2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40" w:type="dxa"/>
            <w:vAlign w:val="bottom"/>
            <w:tcBorders>
              <w:bottom w:val="single" w:sz="8" w:color="0000FF"/>
            </w:tcBorders>
            <w:gridSpan w:val="9"/>
          </w:tcPr>
          <w:p>
            <w:pPr>
              <w:spacing w:after="0"/>
              <w:rPr>
                <w:rFonts w:ascii="Arial" w:cs="Arial" w:eastAsia="Arial" w:hAnsi="Arial"/>
                <w:sz w:val="18"/>
                <w:szCs w:val="18"/>
                <w:color w:val="0000FF"/>
                <w:w w:val="91"/>
              </w:rPr>
            </w:pPr>
            <w:hyperlink w:anchor="page329">
              <w:r>
                <w:rPr>
                  <w:rFonts w:ascii="Arial" w:cs="Arial" w:eastAsia="Arial" w:hAnsi="Arial"/>
                  <w:sz w:val="18"/>
                  <w:szCs w:val="18"/>
                  <w:color w:val="0000FF"/>
                  <w:w w:val="91"/>
                </w:rPr>
                <w:t>Forms of Stock Option Agreement, Notice of Stock Option Grant, and Exercise Notice under the 2012 Equity Incentive Plan.</w:t>
              </w:r>
            </w:hyperlink>
          </w:p>
        </w:tc>
        <w:tc>
          <w:tcPr>
            <w:tcW w:w="1140" w:type="dxa"/>
            <w:vAlign w:val="bottom"/>
            <w:gridSpan w:val="6"/>
          </w:tcPr>
          <w:p>
            <w:pPr>
              <w:spacing w:after="0"/>
              <w:rPr>
                <w:sz w:val="24"/>
                <w:szCs w:val="24"/>
                <w:color w:val="auto"/>
              </w:rPr>
            </w:pPr>
          </w:p>
        </w:tc>
      </w:tr>
      <w:tr>
        <w:trPr>
          <w:trHeight w:val="304"/>
        </w:trPr>
        <w:tc>
          <w:tcPr>
            <w:tcW w:w="960" w:type="dxa"/>
            <w:vAlign w:val="bottom"/>
          </w:tcPr>
          <w:p>
            <w:pPr>
              <w:ind w:left="2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15"/>
          </w:tcPr>
          <w:p>
            <w:pPr>
              <w:spacing w:after="0"/>
              <w:rPr>
                <w:rFonts w:ascii="Arial" w:cs="Arial" w:eastAsia="Arial" w:hAnsi="Arial"/>
                <w:sz w:val="18"/>
                <w:szCs w:val="18"/>
                <w:color w:val="0000FF"/>
              </w:rPr>
            </w:pPr>
            <w:hyperlink w:anchor="page352">
              <w:r>
                <w:rPr>
                  <w:rFonts w:ascii="Arial" w:cs="Arial" w:eastAsia="Arial" w:hAnsi="Arial"/>
                  <w:sz w:val="18"/>
                  <w:szCs w:val="18"/>
                  <w:color w:val="0000FF"/>
                </w:rPr>
                <w:t>Forms of Restricted Stock Unit Grant Notice and Restricted Stock Unit Award Agreement under the 2012 Equity Incentive Plan.</w:t>
              </w:r>
            </w:hyperlink>
          </w:p>
        </w:tc>
      </w:tr>
      <w:tr>
        <w:trPr>
          <w:trHeight w:val="345"/>
        </w:trPr>
        <w:tc>
          <w:tcPr>
            <w:tcW w:w="960" w:type="dxa"/>
            <w:vAlign w:val="bottom"/>
          </w:tcPr>
          <w:p>
            <w:pPr>
              <w:ind w:left="2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6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auto"/>
              </w:rPr>
              <w:t>2021 Equity Incentive Plan and form agreements thereunder.</w:t>
            </w:r>
          </w:p>
        </w:tc>
        <w:tc>
          <w:tcPr>
            <w:tcW w:w="920" w:type="dxa"/>
            <w:vAlign w:val="bottom"/>
            <w:gridSpan w:val="5"/>
          </w:tcPr>
          <w:p>
            <w:pPr>
              <w:spacing w:after="0"/>
              <w:rPr>
                <w:sz w:val="24"/>
                <w:szCs w:val="24"/>
                <w:color w:val="auto"/>
              </w:rPr>
            </w:pPr>
          </w:p>
        </w:tc>
      </w:tr>
      <w:tr>
        <w:trPr>
          <w:trHeight w:val="324"/>
        </w:trPr>
        <w:tc>
          <w:tcPr>
            <w:tcW w:w="960" w:type="dxa"/>
            <w:vAlign w:val="bottom"/>
          </w:tcPr>
          <w:p>
            <w:pPr>
              <w:ind w:left="20"/>
              <w:spacing w:after="0"/>
              <w:rPr>
                <w:sz w:val="20"/>
                <w:szCs w:val="20"/>
                <w:color w:val="auto"/>
              </w:rPr>
            </w:pPr>
            <w:r>
              <w:rPr>
                <w:rFonts w:ascii="Arial" w:cs="Arial" w:eastAsia="Arial" w:hAnsi="Arial"/>
                <w:sz w:val="18"/>
                <w:szCs w:val="18"/>
                <w:color w:val="auto"/>
              </w:rPr>
              <w:t>10.10+*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15"/>
          </w:tcPr>
          <w:p>
            <w:pPr>
              <w:spacing w:after="0"/>
              <w:rPr>
                <w:sz w:val="20"/>
                <w:szCs w:val="20"/>
                <w:color w:val="auto"/>
              </w:rPr>
            </w:pPr>
            <w:r>
              <w:rPr>
                <w:rFonts w:ascii="Arial" w:cs="Arial" w:eastAsia="Arial" w:hAnsi="Arial"/>
                <w:sz w:val="18"/>
                <w:szCs w:val="18"/>
                <w:color w:val="auto"/>
                <w:w w:val="97"/>
              </w:rPr>
              <w:t>Forms of Notice of Stock Option Grant, Global Stock Option Agreement, and Exercise Notice under the 2021 Equity Incentive Plan.</w:t>
            </w:r>
          </w:p>
        </w:tc>
      </w:tr>
      <w:tr>
        <w:trPr>
          <w:trHeight w:val="324"/>
        </w:trPr>
        <w:tc>
          <w:tcPr>
            <w:tcW w:w="960" w:type="dxa"/>
            <w:vAlign w:val="bottom"/>
          </w:tcPr>
          <w:p>
            <w:pPr>
              <w:ind w:left="20"/>
              <w:spacing w:after="0"/>
              <w:rPr>
                <w:sz w:val="20"/>
                <w:szCs w:val="20"/>
                <w:color w:val="auto"/>
              </w:rPr>
            </w:pPr>
            <w:r>
              <w:rPr>
                <w:rFonts w:ascii="Arial" w:cs="Arial" w:eastAsia="Arial" w:hAnsi="Arial"/>
                <w:sz w:val="18"/>
                <w:szCs w:val="18"/>
                <w:color w:val="auto"/>
              </w:rPr>
              <w:t>10.11+*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15"/>
          </w:tcPr>
          <w:p>
            <w:pPr>
              <w:spacing w:after="0"/>
              <w:rPr>
                <w:sz w:val="20"/>
                <w:szCs w:val="20"/>
                <w:color w:val="auto"/>
              </w:rPr>
            </w:pPr>
            <w:r>
              <w:rPr>
                <w:rFonts w:ascii="Arial" w:cs="Arial" w:eastAsia="Arial" w:hAnsi="Arial"/>
                <w:sz w:val="18"/>
                <w:szCs w:val="18"/>
                <w:color w:val="auto"/>
              </w:rPr>
              <w:t>Form of Restricted Stock Unit Award Agreement under the 2021 Equity Incentive Plan.</w:t>
            </w:r>
          </w:p>
        </w:tc>
      </w:tr>
      <w:tr>
        <w:trPr>
          <w:trHeight w:val="324"/>
        </w:trPr>
        <w:tc>
          <w:tcPr>
            <w:tcW w:w="960" w:type="dxa"/>
            <w:vAlign w:val="bottom"/>
          </w:tcPr>
          <w:p>
            <w:pPr>
              <w:ind w:left="20"/>
              <w:spacing w:after="0"/>
              <w:rPr>
                <w:sz w:val="20"/>
                <w:szCs w:val="20"/>
                <w:color w:val="auto"/>
              </w:rPr>
            </w:pPr>
            <w:r>
              <w:rPr>
                <w:rFonts w:ascii="Arial" w:cs="Arial" w:eastAsia="Arial" w:hAnsi="Arial"/>
                <w:sz w:val="18"/>
                <w:szCs w:val="18"/>
                <w:color w:val="auto"/>
              </w:rPr>
              <w:t>10.12+*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15"/>
          </w:tcPr>
          <w:p>
            <w:pPr>
              <w:spacing w:after="0"/>
              <w:rPr>
                <w:sz w:val="20"/>
                <w:szCs w:val="20"/>
                <w:color w:val="auto"/>
              </w:rPr>
            </w:pPr>
            <w:r>
              <w:rPr>
                <w:rFonts w:ascii="Arial" w:cs="Arial" w:eastAsia="Arial" w:hAnsi="Arial"/>
                <w:sz w:val="18"/>
                <w:szCs w:val="18"/>
                <w:color w:val="auto"/>
              </w:rPr>
              <w:t>2021 Employee Stock Purchase Plan.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II-3</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10.13+</w:t>
            </w:r>
          </w:p>
        </w:tc>
        <w:tc>
          <w:tcPr>
            <w:tcW w:w="8640" w:type="dxa"/>
            <w:vAlign w:val="bottom"/>
            <w:tcBorders>
              <w:bottom w:val="single" w:sz="8" w:color="0000FF"/>
            </w:tcBorders>
            <w:gridSpan w:val="13"/>
          </w:tcPr>
          <w:p>
            <w:pPr>
              <w:spacing w:after="0"/>
              <w:rPr>
                <w:rFonts w:ascii="Arial" w:cs="Arial" w:eastAsia="Arial" w:hAnsi="Arial"/>
                <w:sz w:val="18"/>
                <w:szCs w:val="18"/>
                <w:color w:val="0000FF"/>
                <w:w w:val="90"/>
              </w:rPr>
            </w:pPr>
            <w:hyperlink w:anchor="page366">
              <w:r>
                <w:rPr>
                  <w:rFonts w:ascii="Arial" w:cs="Arial" w:eastAsia="Arial" w:hAnsi="Arial"/>
                  <w:sz w:val="18"/>
                  <w:szCs w:val="18"/>
                  <w:color w:val="0000FF"/>
                  <w:w w:val="90"/>
                </w:rPr>
                <w:t>Form of Indemnification Agreement entered into by and between the Registrant and each director and executive officer.</w:t>
              </w:r>
            </w:hyperlink>
          </w:p>
        </w:tc>
        <w:tc>
          <w:tcPr>
            <w:tcW w:w="1360" w:type="dxa"/>
            <w:vAlign w:val="bottom"/>
          </w:tcPr>
          <w:p>
            <w:pPr>
              <w:spacing w:after="0"/>
              <w:rPr>
                <w:sz w:val="17"/>
                <w:szCs w:val="17"/>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10.14</w:t>
            </w:r>
          </w:p>
        </w:tc>
        <w:tc>
          <w:tcPr>
            <w:tcW w:w="10000" w:type="dxa"/>
            <w:vAlign w:val="bottom"/>
            <w:tcBorders>
              <w:bottom w:val="single" w:sz="8" w:color="0000FF"/>
            </w:tcBorders>
            <w:gridSpan w:val="14"/>
          </w:tcPr>
          <w:p>
            <w:pPr>
              <w:spacing w:after="0"/>
              <w:rPr>
                <w:rFonts w:ascii="Arial" w:cs="Arial" w:eastAsia="Arial" w:hAnsi="Arial"/>
                <w:sz w:val="18"/>
                <w:szCs w:val="18"/>
                <w:color w:val="0000FF"/>
                <w:w w:val="90"/>
              </w:rPr>
            </w:pPr>
            <w:hyperlink w:anchor="page380">
              <w:r>
                <w:rPr>
                  <w:rFonts w:ascii="Arial" w:cs="Arial" w:eastAsia="Arial" w:hAnsi="Arial"/>
                  <w:sz w:val="18"/>
                  <w:szCs w:val="18"/>
                  <w:color w:val="0000FF"/>
                  <w:w w:val="90"/>
                </w:rPr>
                <w:t>Amended and Restated Senior Secured Credit Facilities Credit Agreement between Silicon Valley Bank and the Registrant, dated February</w:t>
              </w:r>
            </w:hyperlink>
          </w:p>
        </w:tc>
      </w:tr>
      <w:tr>
        <w:trPr>
          <w:trHeight w:val="196"/>
        </w:trPr>
        <w:tc>
          <w:tcPr>
            <w:tcW w:w="1040" w:type="dxa"/>
            <w:vAlign w:val="bottom"/>
          </w:tcPr>
          <w:p>
            <w:pPr>
              <w:spacing w:after="0"/>
              <w:rPr>
                <w:sz w:val="17"/>
                <w:szCs w:val="17"/>
                <w:color w:val="auto"/>
              </w:rPr>
            </w:pPr>
          </w:p>
        </w:tc>
        <w:tc>
          <w:tcPr>
            <w:tcW w:w="2660" w:type="dxa"/>
            <w:vAlign w:val="bottom"/>
            <w:gridSpan w:val="2"/>
          </w:tcPr>
          <w:p>
            <w:pPr>
              <w:spacing w:after="0" w:line="196" w:lineRule="exact"/>
              <w:rPr>
                <w:rFonts w:ascii="Arial" w:cs="Arial" w:eastAsia="Arial" w:hAnsi="Arial"/>
                <w:sz w:val="18"/>
                <w:szCs w:val="18"/>
                <w:color w:val="0000FF"/>
              </w:rPr>
            </w:pPr>
            <w:hyperlink w:anchor="page380">
              <w:r>
                <w:rPr>
                  <w:rFonts w:ascii="Arial" w:cs="Arial" w:eastAsia="Arial" w:hAnsi="Arial"/>
                  <w:sz w:val="18"/>
                  <w:szCs w:val="18"/>
                  <w:color w:val="0000FF"/>
                </w:rPr>
                <w:t>19, 2021.</w:t>
              </w:r>
            </w:hyperlink>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10.15</w:t>
            </w:r>
          </w:p>
        </w:tc>
        <w:tc>
          <w:tcPr>
            <w:tcW w:w="624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530">
              <w:r>
                <w:rPr>
                  <w:rFonts w:ascii="Arial" w:cs="Arial" w:eastAsia="Arial" w:hAnsi="Arial"/>
                  <w:sz w:val="18"/>
                  <w:szCs w:val="18"/>
                  <w:color w:val="0000FF"/>
                  <w:w w:val="89"/>
                </w:rPr>
                <w:t>Sublease Agreement between Twitter, Inc. and the Registrant, dated October 16, 2016.</w:t>
              </w:r>
            </w:hyperlink>
          </w:p>
        </w:tc>
        <w:tc>
          <w:tcPr>
            <w:tcW w:w="3760" w:type="dxa"/>
            <w:vAlign w:val="bottom"/>
            <w:gridSpan w:val="7"/>
          </w:tcPr>
          <w:p>
            <w:pPr>
              <w:spacing w:after="0"/>
              <w:rPr>
                <w:sz w:val="24"/>
                <w:szCs w:val="24"/>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10.16</w:t>
            </w:r>
          </w:p>
        </w:tc>
        <w:tc>
          <w:tcPr>
            <w:tcW w:w="10000" w:type="dxa"/>
            <w:vAlign w:val="bottom"/>
            <w:gridSpan w:val="14"/>
          </w:tcPr>
          <w:p>
            <w:pPr>
              <w:spacing w:after="0"/>
              <w:rPr>
                <w:rFonts w:ascii="Arial" w:cs="Arial" w:eastAsia="Arial" w:hAnsi="Arial"/>
                <w:sz w:val="18"/>
                <w:szCs w:val="18"/>
                <w:color w:val="0000FF"/>
              </w:rPr>
            </w:pPr>
            <w:hyperlink w:anchor="page582">
              <w:r>
                <w:rPr>
                  <w:rFonts w:ascii="Arial" w:cs="Arial" w:eastAsia="Arial" w:hAnsi="Arial"/>
                  <w:sz w:val="18"/>
                  <w:szCs w:val="18"/>
                  <w:color w:val="0000FF"/>
                </w:rPr>
                <w:t>First Amendment to Sublease between Twitter, Inc. and Registrant, dated May 23, 2018.</w:t>
              </w:r>
            </w:hyperlink>
          </w:p>
        </w:tc>
      </w:tr>
      <w:tr>
        <w:trPr>
          <w:trHeight w:val="20"/>
        </w:trPr>
        <w:tc>
          <w:tcPr>
            <w:tcW w:w="1040" w:type="dxa"/>
            <w:vAlign w:val="bottom"/>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10.17+</w:t>
            </w:r>
          </w:p>
        </w:tc>
        <w:tc>
          <w:tcPr>
            <w:tcW w:w="10000" w:type="dxa"/>
            <w:vAlign w:val="bottom"/>
            <w:gridSpan w:val="14"/>
          </w:tcPr>
          <w:p>
            <w:pPr>
              <w:spacing w:after="0"/>
              <w:rPr>
                <w:rFonts w:ascii="Arial" w:cs="Arial" w:eastAsia="Arial" w:hAnsi="Arial"/>
                <w:sz w:val="18"/>
                <w:szCs w:val="18"/>
                <w:color w:val="0000FF"/>
              </w:rPr>
            </w:pPr>
            <w:hyperlink w:anchor="page588">
              <w:r>
                <w:rPr>
                  <w:rFonts w:ascii="Arial" w:cs="Arial" w:eastAsia="Arial" w:hAnsi="Arial"/>
                  <w:sz w:val="18"/>
                  <w:szCs w:val="18"/>
                  <w:color w:val="0000FF"/>
                </w:rPr>
                <w:t>Offer Letter, by and between Lauren StClair and the Registrant, dated November 23, 2020.</w:t>
              </w:r>
            </w:hyperlink>
          </w:p>
        </w:tc>
      </w:tr>
      <w:tr>
        <w:trPr>
          <w:trHeight w:val="20"/>
        </w:trPr>
        <w:tc>
          <w:tcPr>
            <w:tcW w:w="1040" w:type="dxa"/>
            <w:vAlign w:val="bottom"/>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10.18+</w:t>
            </w:r>
          </w:p>
        </w:tc>
        <w:tc>
          <w:tcPr>
            <w:tcW w:w="7160" w:type="dxa"/>
            <w:vAlign w:val="bottom"/>
            <w:tcBorders>
              <w:bottom w:val="single" w:sz="8" w:color="0000FF"/>
            </w:tcBorders>
            <w:gridSpan w:val="11"/>
          </w:tcPr>
          <w:p>
            <w:pPr>
              <w:spacing w:after="0"/>
              <w:rPr>
                <w:rFonts w:ascii="Arial" w:cs="Arial" w:eastAsia="Arial" w:hAnsi="Arial"/>
                <w:sz w:val="18"/>
                <w:szCs w:val="18"/>
                <w:color w:val="0000FF"/>
                <w:w w:val="89"/>
              </w:rPr>
            </w:pPr>
            <w:hyperlink w:anchor="page599">
              <w:r>
                <w:rPr>
                  <w:rFonts w:ascii="Arial" w:cs="Arial" w:eastAsia="Arial" w:hAnsi="Arial"/>
                  <w:sz w:val="18"/>
                  <w:szCs w:val="18"/>
                  <w:color w:val="0000FF"/>
                  <w:w w:val="89"/>
                </w:rPr>
                <w:t>Separation Agreement, by and between Laura Onopchenko and the Registrant, dated April 2, 2020.</w:t>
              </w:r>
            </w:hyperlink>
          </w:p>
        </w:tc>
        <w:tc>
          <w:tcPr>
            <w:tcW w:w="2840" w:type="dxa"/>
            <w:vAlign w:val="bottom"/>
            <w:gridSpan w:val="3"/>
          </w:tcPr>
          <w:p>
            <w:pPr>
              <w:spacing w:after="0"/>
              <w:rPr>
                <w:sz w:val="24"/>
                <w:szCs w:val="24"/>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10.19</w:t>
            </w:r>
          </w:p>
        </w:tc>
        <w:tc>
          <w:tcPr>
            <w:tcW w:w="10000" w:type="dxa"/>
            <w:vAlign w:val="bottom"/>
            <w:gridSpan w:val="14"/>
          </w:tcPr>
          <w:p>
            <w:pPr>
              <w:spacing w:after="0"/>
              <w:rPr>
                <w:rFonts w:ascii="Arial" w:cs="Arial" w:eastAsia="Arial" w:hAnsi="Arial"/>
                <w:sz w:val="18"/>
                <w:szCs w:val="18"/>
                <w:color w:val="0000FF"/>
              </w:rPr>
            </w:pPr>
            <w:hyperlink w:anchor="page609">
              <w:r>
                <w:rPr>
                  <w:rFonts w:ascii="Arial" w:cs="Arial" w:eastAsia="Arial" w:hAnsi="Arial"/>
                  <w:sz w:val="18"/>
                  <w:szCs w:val="18"/>
                  <w:color w:val="0000FF"/>
                </w:rPr>
                <w:t>Side Letter, by and among entities affiliated with iGlobe Partners and the Registrant, dated November 26, 2020.</w:t>
              </w:r>
            </w:hyperlink>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10.20</w:t>
            </w:r>
          </w:p>
        </w:tc>
        <w:tc>
          <w:tcPr>
            <w:tcW w:w="8040" w:type="dxa"/>
            <w:vAlign w:val="bottom"/>
            <w:tcBorders>
              <w:top w:val="single" w:sz="8" w:color="0000FF"/>
            </w:tcBorders>
            <w:gridSpan w:val="12"/>
          </w:tcPr>
          <w:p>
            <w:pPr>
              <w:spacing w:after="0"/>
              <w:rPr>
                <w:rFonts w:ascii="Arial" w:cs="Arial" w:eastAsia="Arial" w:hAnsi="Arial"/>
                <w:sz w:val="18"/>
                <w:szCs w:val="18"/>
                <w:color w:val="0000FF"/>
              </w:rPr>
            </w:pPr>
            <w:hyperlink w:anchor="page614">
              <w:r>
                <w:rPr>
                  <w:rFonts w:ascii="Arial" w:cs="Arial" w:eastAsia="Arial" w:hAnsi="Arial"/>
                  <w:sz w:val="18"/>
                  <w:szCs w:val="18"/>
                  <w:color w:val="0000FF"/>
                </w:rPr>
                <w:t>Side Letter, by and between Innovius Capital Sirius I L.P. and the Registrant, dated July 17, 2020.</w:t>
              </w:r>
            </w:hyperlink>
          </w:p>
        </w:tc>
        <w:tc>
          <w:tcPr>
            <w:tcW w:w="1960" w:type="dxa"/>
            <w:vAlign w:val="bottom"/>
            <w:gridSpan w:val="2"/>
          </w:tcPr>
          <w:p>
            <w:pPr>
              <w:spacing w:after="0"/>
              <w:rPr>
                <w:sz w:val="24"/>
                <w:szCs w:val="24"/>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10.21+</w:t>
            </w:r>
          </w:p>
        </w:tc>
        <w:tc>
          <w:tcPr>
            <w:tcW w:w="7040" w:type="dxa"/>
            <w:vAlign w:val="bottom"/>
            <w:tcBorders>
              <w:top w:val="single" w:sz="8" w:color="0000FF"/>
            </w:tcBorders>
            <w:gridSpan w:val="10"/>
          </w:tcPr>
          <w:p>
            <w:pPr>
              <w:spacing w:after="0"/>
              <w:rPr>
                <w:rFonts w:ascii="Arial" w:cs="Arial" w:eastAsia="Arial" w:hAnsi="Arial"/>
                <w:sz w:val="18"/>
                <w:szCs w:val="18"/>
                <w:color w:val="0000FF"/>
              </w:rPr>
            </w:pPr>
            <w:hyperlink w:anchor="page625">
              <w:r>
                <w:rPr>
                  <w:rFonts w:ascii="Arial" w:cs="Arial" w:eastAsia="Arial" w:hAnsi="Arial"/>
                  <w:sz w:val="18"/>
                  <w:szCs w:val="18"/>
                  <w:color w:val="0000FF"/>
                </w:rPr>
                <w:t>Offer Letter, by and between Tim Chen and the Registrant, dated June 25, 2021.</w:t>
              </w:r>
            </w:hyperlink>
          </w:p>
        </w:tc>
        <w:tc>
          <w:tcPr>
            <w:tcW w:w="2960" w:type="dxa"/>
            <w:vAlign w:val="bottom"/>
            <w:gridSpan w:val="4"/>
          </w:tcPr>
          <w:p>
            <w:pPr>
              <w:spacing w:after="0"/>
              <w:rPr>
                <w:sz w:val="24"/>
                <w:szCs w:val="24"/>
                <w:color w:val="auto"/>
              </w:rPr>
            </w:pPr>
          </w:p>
        </w:tc>
      </w:tr>
      <w:tr>
        <w:trPr>
          <w:trHeight w:val="291"/>
        </w:trPr>
        <w:tc>
          <w:tcPr>
            <w:tcW w:w="1040" w:type="dxa"/>
            <w:vAlign w:val="bottom"/>
          </w:tcPr>
          <w:p>
            <w:pPr>
              <w:spacing w:after="0"/>
              <w:rPr>
                <w:sz w:val="20"/>
                <w:szCs w:val="20"/>
                <w:color w:val="auto"/>
              </w:rPr>
            </w:pPr>
            <w:r>
              <w:rPr>
                <w:rFonts w:ascii="Arial" w:cs="Arial" w:eastAsia="Arial" w:hAnsi="Arial"/>
                <w:sz w:val="18"/>
                <w:szCs w:val="18"/>
                <w:color w:val="auto"/>
              </w:rPr>
              <w:t>10.22+</w:t>
            </w:r>
          </w:p>
        </w:tc>
        <w:tc>
          <w:tcPr>
            <w:tcW w:w="298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9"/>
              </w:rPr>
            </w:pPr>
            <w:hyperlink w:anchor="page627">
              <w:r>
                <w:rPr>
                  <w:rFonts w:ascii="Arial" w:cs="Arial" w:eastAsia="Arial" w:hAnsi="Arial"/>
                  <w:sz w:val="18"/>
                  <w:szCs w:val="18"/>
                  <w:color w:val="0000FF"/>
                  <w:w w:val="89"/>
                </w:rPr>
                <w:t>Change of Control and Severance Policy.</w:t>
              </w:r>
            </w:hyperlink>
          </w:p>
        </w:tc>
        <w:tc>
          <w:tcPr>
            <w:tcW w:w="2780" w:type="dxa"/>
            <w:vAlign w:val="bottom"/>
            <w:tcBorders>
              <w:top w:val="single" w:sz="8" w:color="0000FF"/>
            </w:tcBorders>
            <w:gridSpan w:val="2"/>
          </w:tcPr>
          <w:p>
            <w:pPr>
              <w:spacing w:after="0"/>
              <w:rPr>
                <w:sz w:val="24"/>
                <w:szCs w:val="24"/>
                <w:color w:val="auto"/>
              </w:rPr>
            </w:pPr>
          </w:p>
        </w:tc>
        <w:tc>
          <w:tcPr>
            <w:tcW w:w="4240" w:type="dxa"/>
            <w:vAlign w:val="bottom"/>
            <w:gridSpan w:val="9"/>
          </w:tcPr>
          <w:p>
            <w:pPr>
              <w:spacing w:after="0"/>
              <w:rPr>
                <w:sz w:val="24"/>
                <w:szCs w:val="24"/>
                <w:color w:val="auto"/>
              </w:rPr>
            </w:pPr>
          </w:p>
        </w:tc>
      </w:tr>
      <w:tr>
        <w:trPr>
          <w:trHeight w:val="263"/>
        </w:trPr>
        <w:tc>
          <w:tcPr>
            <w:tcW w:w="1040" w:type="dxa"/>
            <w:vAlign w:val="bottom"/>
          </w:tcPr>
          <w:p>
            <w:pPr>
              <w:spacing w:after="0"/>
              <w:rPr>
                <w:sz w:val="20"/>
                <w:szCs w:val="20"/>
                <w:color w:val="auto"/>
              </w:rPr>
            </w:pPr>
            <w:r>
              <w:rPr>
                <w:rFonts w:ascii="Arial" w:cs="Arial" w:eastAsia="Arial" w:hAnsi="Arial"/>
                <w:sz w:val="18"/>
                <w:szCs w:val="18"/>
                <w:color w:val="auto"/>
              </w:rPr>
              <w:t>21.1</w:t>
            </w:r>
          </w:p>
        </w:tc>
        <w:tc>
          <w:tcPr>
            <w:tcW w:w="10000" w:type="dxa"/>
            <w:vAlign w:val="bottom"/>
            <w:gridSpan w:val="14"/>
          </w:tcPr>
          <w:p>
            <w:pPr>
              <w:spacing w:after="0"/>
              <w:rPr>
                <w:rFonts w:ascii="Arial" w:cs="Arial" w:eastAsia="Arial" w:hAnsi="Arial"/>
                <w:sz w:val="18"/>
                <w:szCs w:val="18"/>
                <w:color w:val="0000FF"/>
              </w:rPr>
            </w:pPr>
            <w:hyperlink w:anchor="page641">
              <w:r>
                <w:rPr>
                  <w:rFonts w:ascii="Arial" w:cs="Arial" w:eastAsia="Arial" w:hAnsi="Arial"/>
                  <w:sz w:val="18"/>
                  <w:szCs w:val="18"/>
                  <w:color w:val="0000FF"/>
                </w:rPr>
                <w:t>List of subsidiaries of the Registrant.</w:t>
              </w:r>
            </w:hyperlink>
          </w:p>
        </w:tc>
      </w:tr>
      <w:tr>
        <w:trPr>
          <w:trHeight w:val="20"/>
        </w:trPr>
        <w:tc>
          <w:tcPr>
            <w:tcW w:w="1040" w:type="dxa"/>
            <w:vAlign w:val="bottom"/>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4040" w:type="dxa"/>
            <w:vAlign w:val="bottom"/>
            <w:gridSpan w:val="8"/>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23.1</w:t>
            </w:r>
          </w:p>
        </w:tc>
        <w:tc>
          <w:tcPr>
            <w:tcW w:w="10000" w:type="dxa"/>
            <w:vAlign w:val="bottom"/>
            <w:gridSpan w:val="14"/>
          </w:tcPr>
          <w:p>
            <w:pPr>
              <w:spacing w:after="0"/>
              <w:rPr>
                <w:rFonts w:ascii="Arial" w:cs="Arial" w:eastAsia="Arial" w:hAnsi="Arial"/>
                <w:sz w:val="18"/>
                <w:szCs w:val="18"/>
                <w:color w:val="0000FF"/>
              </w:rPr>
            </w:pPr>
            <w:hyperlink w:anchor="page642">
              <w:r>
                <w:rPr>
                  <w:rFonts w:ascii="Arial" w:cs="Arial" w:eastAsia="Arial" w:hAnsi="Arial"/>
                  <w:sz w:val="18"/>
                  <w:szCs w:val="18"/>
                  <w:color w:val="0000FF"/>
                </w:rPr>
                <w:t>Consent of Deloitte &amp; Touche LLP, independent registered public accounting firm.</w:t>
              </w:r>
            </w:hyperlink>
          </w:p>
        </w:tc>
      </w:tr>
      <w:tr>
        <w:trPr>
          <w:trHeight w:val="345"/>
        </w:trPr>
        <w:tc>
          <w:tcPr>
            <w:tcW w:w="1040" w:type="dxa"/>
            <w:vAlign w:val="bottom"/>
          </w:tcPr>
          <w:p>
            <w:pPr>
              <w:spacing w:after="0"/>
              <w:rPr>
                <w:sz w:val="20"/>
                <w:szCs w:val="20"/>
                <w:color w:val="auto"/>
              </w:rPr>
            </w:pPr>
            <w:r>
              <w:rPr>
                <w:rFonts w:ascii="Arial" w:cs="Arial" w:eastAsia="Arial" w:hAnsi="Arial"/>
                <w:sz w:val="18"/>
                <w:szCs w:val="18"/>
                <w:color w:val="auto"/>
              </w:rPr>
              <w:t>23.2*</w:t>
            </w:r>
          </w:p>
        </w:tc>
        <w:tc>
          <w:tcPr>
            <w:tcW w:w="596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rPr>
              <w:t>Consent of Cooley LLP (included in Exhibit 5.1).</w:t>
            </w:r>
          </w:p>
        </w:tc>
        <w:tc>
          <w:tcPr>
            <w:tcW w:w="4040" w:type="dxa"/>
            <w:vAlign w:val="bottom"/>
            <w:gridSpan w:val="8"/>
          </w:tcPr>
          <w:p>
            <w:pPr>
              <w:spacing w:after="0"/>
              <w:rPr>
                <w:sz w:val="24"/>
                <w:szCs w:val="24"/>
                <w:color w:val="auto"/>
              </w:rPr>
            </w:pPr>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24.1</w:t>
            </w:r>
          </w:p>
        </w:tc>
        <w:tc>
          <w:tcPr>
            <w:tcW w:w="10000" w:type="dxa"/>
            <w:vAlign w:val="bottom"/>
            <w:gridSpan w:val="14"/>
          </w:tcPr>
          <w:p>
            <w:pPr>
              <w:spacing w:after="0"/>
              <w:rPr>
                <w:rFonts w:ascii="Arial" w:cs="Arial" w:eastAsia="Arial" w:hAnsi="Arial"/>
                <w:sz w:val="18"/>
                <w:szCs w:val="18"/>
                <w:color w:val="0000FF"/>
              </w:rPr>
            </w:pPr>
            <w:hyperlink w:anchor="page193">
              <w:r>
                <w:rPr>
                  <w:rFonts w:ascii="Arial" w:cs="Arial" w:eastAsia="Arial" w:hAnsi="Arial"/>
                  <w:sz w:val="18"/>
                  <w:szCs w:val="18"/>
                  <w:color w:val="0000FF"/>
                </w:rPr>
                <w:t>Power of Attorney (included on signature page).</w:t>
              </w:r>
            </w:hyperlink>
          </w:p>
        </w:tc>
      </w:tr>
      <w:tr>
        <w:trPr>
          <w:trHeight w:val="20"/>
        </w:trPr>
        <w:tc>
          <w:tcPr>
            <w:tcW w:w="10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17" w:lineRule="exact"/>
        <w:rPr>
          <w:sz w:val="20"/>
          <w:szCs w:val="20"/>
          <w:color w:val="auto"/>
        </w:rPr>
      </w:pPr>
    </w:p>
    <w:p>
      <w:pPr>
        <w:ind w:left="320" w:hanging="312"/>
        <w:spacing w:after="0"/>
        <w:tabs>
          <w:tab w:leader="none" w:pos="32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1" w:lineRule="exact"/>
        <w:rPr>
          <w:sz w:val="20"/>
          <w:szCs w:val="20"/>
          <w:color w:val="auto"/>
        </w:rPr>
      </w:pPr>
    </w:p>
    <w:p>
      <w:pPr>
        <w:ind w:left="340" w:hanging="332"/>
        <w:spacing w:after="0"/>
        <w:tabs>
          <w:tab w:leader="none" w:pos="3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Indicates a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 Financial Statement Schedules.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All financial statement schedules are omitted because the information required to be set forth therein is not applicable or is shown in the consolidated financial statements or the notes thereto.</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under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registrant hereby undertakes that:</w:t>
      </w:r>
    </w:p>
    <w:p>
      <w:pPr>
        <w:spacing w:after="0" w:line="171" w:lineRule="exact"/>
        <w:rPr>
          <w:sz w:val="20"/>
          <w:szCs w:val="20"/>
          <w:color w:val="auto"/>
        </w:rPr>
      </w:pPr>
    </w:p>
    <w:p>
      <w:pPr>
        <w:jc w:val="both"/>
        <w:ind w:firstLine="332"/>
        <w:spacing w:after="0" w:line="263" w:lineRule="auto"/>
        <w:tabs>
          <w:tab w:leader="none" w:pos="64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under Rule 424(b)(1) or (4) or 497(h) under the Securities Act shall be deemed to be part of this registration statement as of the time it was declared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II-4</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44" w:lineRule="exact"/>
        <w:rPr>
          <w:sz w:val="20"/>
          <w:szCs w:val="20"/>
          <w:color w:val="auto"/>
        </w:rPr>
      </w:pPr>
    </w:p>
    <w:p>
      <w:pPr>
        <w:jc w:val="both"/>
        <w:ind w:left="-20" w:firstLine="332"/>
        <w:spacing w:after="0" w:line="263" w:lineRule="auto"/>
        <w:tabs>
          <w:tab w:leader="none" w:pos="62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II-5</w:t>
      </w:r>
    </w:p>
    <w:p>
      <w:pPr>
        <w:sectPr>
          <w:pgSz w:w="11900" w:h="16838" w:orient="portrait"/>
          <w:cols w:equalWidth="0" w:num="1">
            <w:col w:w="11220"/>
          </w:cols>
          <w:pgMar w:left="340" w:top="1440" w:right="339" w:bottom="1440" w:gutter="0" w:footer="0" w:header="0"/>
        </w:sectPr>
      </w:pPr>
    </w:p>
    <w:bookmarkStart w:id="193" w:name="page194"/>
    <w:bookmarkEnd w:id="193"/>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San Francisco, State of California, on October 8, 2021.</w:t>
      </w:r>
    </w:p>
    <w:p>
      <w:pPr>
        <w:spacing w:after="0" w:line="166"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NERDWALLET, INC.</w:t>
      </w:r>
    </w:p>
    <w:p>
      <w:pPr>
        <w:spacing w:after="0" w:line="337"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Tim Chen</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Tim Chen, Lauren StClair, Ekumene Lysonge and Robert Lattuga,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00" w:type="dxa"/>
            <w:vAlign w:val="bottom"/>
          </w:tcPr>
          <w:p>
            <w:pPr>
              <w:spacing w:after="0"/>
              <w:rPr>
                <w:sz w:val="16"/>
                <w:szCs w:val="16"/>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83"/>
        </w:trPr>
        <w:tc>
          <w:tcPr>
            <w:tcW w:w="3660" w:type="dxa"/>
            <w:vAlign w:val="bottom"/>
          </w:tcPr>
          <w:p>
            <w:pPr>
              <w:jc w:val="center"/>
              <w:spacing w:after="0"/>
              <w:rPr>
                <w:sz w:val="20"/>
                <w:szCs w:val="20"/>
                <w:color w:val="auto"/>
              </w:rPr>
            </w:pPr>
            <w:r>
              <w:rPr>
                <w:rFonts w:ascii="Arial" w:cs="Arial" w:eastAsia="Arial" w:hAnsi="Arial"/>
                <w:sz w:val="18"/>
                <w:szCs w:val="18"/>
                <w:color w:val="auto"/>
                <w:w w:val="90"/>
              </w:rPr>
              <w:t>/s/ Tim Chen</w:t>
            </w:r>
          </w:p>
        </w:tc>
        <w:tc>
          <w:tcPr>
            <w:tcW w:w="100" w:type="dxa"/>
            <w:vAlign w:val="bottom"/>
          </w:tcPr>
          <w:p>
            <w:pPr>
              <w:spacing w:after="0"/>
              <w:rPr>
                <w:sz w:val="24"/>
                <w:szCs w:val="24"/>
                <w:color w:val="auto"/>
              </w:rPr>
            </w:pPr>
          </w:p>
        </w:tc>
        <w:tc>
          <w:tcPr>
            <w:tcW w:w="38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Chief Executive Officer and Director</w:t>
            </w:r>
          </w:p>
        </w:tc>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89"/>
              </w:rPr>
              <w:t>October 8, 2021</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2"/>
            <w:vMerge w:val="restart"/>
          </w:tcPr>
          <w:p>
            <w:pPr>
              <w:jc w:val="center"/>
              <w:ind w:right="100"/>
              <w:spacing w:after="0"/>
              <w:rPr>
                <w:sz w:val="20"/>
                <w:szCs w:val="20"/>
                <w:color w:val="auto"/>
              </w:rPr>
            </w:pPr>
            <w:r>
              <w:rPr>
                <w:rFonts w:ascii="Arial" w:cs="Arial" w:eastAsia="Arial" w:hAnsi="Arial"/>
                <w:sz w:val="18"/>
                <w:szCs w:val="18"/>
                <w:i w:val="1"/>
                <w:iCs w:val="1"/>
                <w:color w:val="auto"/>
                <w:w w:val="94"/>
              </w:rPr>
              <w:t>(Principal Executive Officer)</w:t>
            </w:r>
          </w:p>
        </w:tc>
        <w:tc>
          <w:tcPr>
            <w:tcW w:w="36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92"/>
              </w:rPr>
              <w:t>Tim Chen</w:t>
            </w:r>
          </w:p>
        </w:tc>
        <w:tc>
          <w:tcPr>
            <w:tcW w:w="100" w:type="dxa"/>
            <w:vAlign w:val="bottom"/>
          </w:tcPr>
          <w:p>
            <w:pPr>
              <w:spacing w:after="0"/>
              <w:rPr>
                <w:sz w:val="7"/>
                <w:szCs w:val="7"/>
                <w:color w:val="auto"/>
              </w:rPr>
            </w:pPr>
          </w:p>
        </w:tc>
        <w:tc>
          <w:tcPr>
            <w:tcW w:w="3800" w:type="dxa"/>
            <w:vAlign w:val="bottom"/>
            <w:gridSpan w:val="2"/>
            <w:vMerge w:val="continue"/>
          </w:tcPr>
          <w:p>
            <w:pPr>
              <w:spacing w:after="0"/>
              <w:rPr>
                <w:sz w:val="7"/>
                <w:szCs w:val="7"/>
                <w:color w:val="auto"/>
              </w:rPr>
            </w:pPr>
          </w:p>
        </w:tc>
        <w:tc>
          <w:tcPr>
            <w:tcW w:w="3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800" w:type="dxa"/>
            <w:vAlign w:val="bottom"/>
            <w:gridSpan w:val="2"/>
            <w:vMerge w:val="continue"/>
          </w:tcPr>
          <w:p>
            <w:pPr>
              <w:spacing w:after="0"/>
              <w:rPr>
                <w:sz w:val="11"/>
                <w:szCs w:val="11"/>
                <w:color w:val="auto"/>
              </w:rPr>
            </w:pPr>
          </w:p>
        </w:tc>
        <w:tc>
          <w:tcPr>
            <w:tcW w:w="3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9"/>
        </w:trPr>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92"/>
              </w:rPr>
              <w:t>/s/ Lauren StClair</w:t>
            </w:r>
          </w:p>
        </w:tc>
        <w:tc>
          <w:tcPr>
            <w:tcW w:w="100" w:type="dxa"/>
            <w:vAlign w:val="bottom"/>
          </w:tcPr>
          <w:p>
            <w:pPr>
              <w:spacing w:after="0"/>
              <w:rPr>
                <w:sz w:val="24"/>
                <w:szCs w:val="24"/>
                <w:color w:val="auto"/>
              </w:rPr>
            </w:pPr>
          </w:p>
        </w:tc>
        <w:tc>
          <w:tcPr>
            <w:tcW w:w="3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Chief Financial Officer</w:t>
            </w:r>
          </w:p>
        </w:tc>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89"/>
              </w:rPr>
              <w:t>October 8, 2021</w:t>
            </w:r>
          </w:p>
        </w:tc>
        <w:tc>
          <w:tcPr>
            <w:tcW w:w="0" w:type="dxa"/>
            <w:vAlign w:val="bottom"/>
          </w:tcPr>
          <w:p>
            <w:pPr>
              <w:spacing w:after="0"/>
              <w:rPr>
                <w:sz w:val="1"/>
                <w:szCs w:val="1"/>
                <w:color w:val="auto"/>
              </w:rPr>
            </w:pPr>
          </w:p>
        </w:tc>
      </w:tr>
      <w:tr>
        <w:trPr>
          <w:trHeight w:val="195"/>
        </w:trPr>
        <w:tc>
          <w:tcPr>
            <w:tcW w:w="36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800" w:type="dxa"/>
            <w:vAlign w:val="bottom"/>
            <w:gridSpan w:val="2"/>
          </w:tcPr>
          <w:p>
            <w:pPr>
              <w:jc w:val="center"/>
              <w:ind w:right="100"/>
              <w:spacing w:after="0" w:line="190" w:lineRule="exact"/>
              <w:rPr>
                <w:sz w:val="20"/>
                <w:szCs w:val="20"/>
                <w:color w:val="auto"/>
              </w:rPr>
            </w:pPr>
            <w:r>
              <w:rPr>
                <w:rFonts w:ascii="Arial" w:cs="Arial" w:eastAsia="Arial" w:hAnsi="Arial"/>
                <w:sz w:val="18"/>
                <w:szCs w:val="18"/>
                <w:color w:val="auto"/>
                <w:w w:val="95"/>
              </w:rPr>
              <w:t>(</w:t>
            </w:r>
            <w:r>
              <w:rPr>
                <w:rFonts w:ascii="Arial" w:cs="Arial" w:eastAsia="Arial" w:hAnsi="Arial"/>
                <w:sz w:val="18"/>
                <w:szCs w:val="18"/>
                <w:i w:val="1"/>
                <w:iCs w:val="1"/>
                <w:color w:val="auto"/>
                <w:w w:val="95"/>
              </w:rPr>
              <w:t>Principal Financial and Principal Accounting</w:t>
            </w:r>
          </w:p>
        </w:tc>
        <w:tc>
          <w:tcPr>
            <w:tcW w:w="3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92"/>
              </w:rPr>
              <w:t>Lauren StClair</w:t>
            </w:r>
          </w:p>
        </w:tc>
        <w:tc>
          <w:tcPr>
            <w:tcW w:w="100" w:type="dxa"/>
            <w:vAlign w:val="bottom"/>
          </w:tcPr>
          <w:p>
            <w:pPr>
              <w:spacing w:after="0"/>
              <w:rPr>
                <w:sz w:val="19"/>
                <w:szCs w:val="19"/>
                <w:color w:val="auto"/>
              </w:rPr>
            </w:pPr>
          </w:p>
        </w:tc>
        <w:tc>
          <w:tcPr>
            <w:tcW w:w="380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w w:val="98"/>
              </w:rPr>
              <w:t>Officer</w:t>
            </w:r>
            <w:r>
              <w:rPr>
                <w:rFonts w:ascii="Arial" w:cs="Arial" w:eastAsia="Arial" w:hAnsi="Arial"/>
                <w:sz w:val="18"/>
                <w:szCs w:val="18"/>
                <w:color w:val="auto"/>
                <w:w w:val="98"/>
              </w:rPr>
              <w:t>)</w:t>
            </w:r>
          </w:p>
        </w:tc>
        <w:tc>
          <w:tcPr>
            <w:tcW w:w="3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3660" w:type="dxa"/>
            <w:vAlign w:val="bottom"/>
          </w:tcPr>
          <w:p>
            <w:pPr>
              <w:jc w:val="center"/>
              <w:spacing w:after="0"/>
              <w:rPr>
                <w:sz w:val="20"/>
                <w:szCs w:val="20"/>
                <w:color w:val="auto"/>
              </w:rPr>
            </w:pPr>
            <w:r>
              <w:rPr>
                <w:rFonts w:ascii="Arial" w:cs="Arial" w:eastAsia="Arial" w:hAnsi="Arial"/>
                <w:sz w:val="18"/>
                <w:szCs w:val="18"/>
                <w:color w:val="auto"/>
                <w:w w:val="90"/>
              </w:rPr>
              <w:t>/s/ Jennifer Ceran</w:t>
            </w:r>
          </w:p>
        </w:tc>
        <w:tc>
          <w:tcPr>
            <w:tcW w:w="100" w:type="dxa"/>
            <w:vAlign w:val="bottom"/>
          </w:tcPr>
          <w:p>
            <w:pPr>
              <w:spacing w:after="0"/>
              <w:rPr>
                <w:sz w:val="24"/>
                <w:szCs w:val="24"/>
                <w:color w:val="auto"/>
              </w:rPr>
            </w:pPr>
          </w:p>
        </w:tc>
        <w:tc>
          <w:tcPr>
            <w:tcW w:w="380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5"/>
              </w:rPr>
              <w:t>Director</w:t>
            </w:r>
          </w:p>
        </w:tc>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89"/>
              </w:rPr>
              <w:t>October 8, 2021</w:t>
            </w:r>
          </w:p>
        </w:tc>
        <w:tc>
          <w:tcPr>
            <w:tcW w:w="0" w:type="dxa"/>
            <w:vAlign w:val="bottom"/>
          </w:tcPr>
          <w:p>
            <w:pPr>
              <w:spacing w:after="0"/>
              <w:rPr>
                <w:sz w:val="1"/>
                <w:szCs w:val="1"/>
                <w:color w:val="auto"/>
              </w:rPr>
            </w:pPr>
          </w:p>
        </w:tc>
      </w:tr>
      <w:tr>
        <w:trPr>
          <w:trHeight w:val="40"/>
        </w:trPr>
        <w:tc>
          <w:tcPr>
            <w:tcW w:w="366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800" w:type="dxa"/>
            <w:vAlign w:val="bottom"/>
            <w:gridSpan w:val="2"/>
            <w:vMerge w:val="continue"/>
          </w:tcPr>
          <w:p>
            <w:pPr>
              <w:spacing w:after="0"/>
              <w:rPr>
                <w:sz w:val="3"/>
                <w:szCs w:val="3"/>
                <w:color w:val="auto"/>
              </w:rPr>
            </w:pPr>
          </w:p>
        </w:tc>
        <w:tc>
          <w:tcPr>
            <w:tcW w:w="36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88"/>
              </w:rPr>
              <w:t>Jennifer Ceran</w:t>
            </w:r>
          </w:p>
        </w:tc>
        <w:tc>
          <w:tcPr>
            <w:tcW w:w="100" w:type="dxa"/>
            <w:vAlign w:val="bottom"/>
            <w:vMerge w:val="continue"/>
          </w:tcPr>
          <w:p>
            <w:pPr>
              <w:spacing w:after="0"/>
              <w:rPr>
                <w:sz w:val="7"/>
                <w:szCs w:val="7"/>
                <w:color w:val="auto"/>
              </w:rPr>
            </w:pPr>
          </w:p>
        </w:tc>
        <w:tc>
          <w:tcPr>
            <w:tcW w:w="3800" w:type="dxa"/>
            <w:vAlign w:val="bottom"/>
            <w:gridSpan w:val="2"/>
            <w:vMerge w:val="continue"/>
          </w:tcPr>
          <w:p>
            <w:pPr>
              <w:spacing w:after="0"/>
              <w:rPr>
                <w:sz w:val="7"/>
                <w:szCs w:val="7"/>
                <w:color w:val="auto"/>
              </w:rPr>
            </w:pPr>
          </w:p>
        </w:tc>
        <w:tc>
          <w:tcPr>
            <w:tcW w:w="3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3660" w:type="dxa"/>
            <w:vAlign w:val="bottom"/>
          </w:tcPr>
          <w:p>
            <w:pPr>
              <w:jc w:val="center"/>
              <w:spacing w:after="0"/>
              <w:rPr>
                <w:sz w:val="20"/>
                <w:szCs w:val="20"/>
                <w:color w:val="auto"/>
              </w:rPr>
            </w:pPr>
            <w:r>
              <w:rPr>
                <w:rFonts w:ascii="Arial" w:cs="Arial" w:eastAsia="Arial" w:hAnsi="Arial"/>
                <w:sz w:val="18"/>
                <w:szCs w:val="18"/>
                <w:color w:val="auto"/>
                <w:w w:val="90"/>
              </w:rPr>
              <w:t>/s/ Lynne Laube</w:t>
            </w:r>
          </w:p>
        </w:tc>
        <w:tc>
          <w:tcPr>
            <w:tcW w:w="100" w:type="dxa"/>
            <w:vAlign w:val="bottom"/>
          </w:tcPr>
          <w:p>
            <w:pPr>
              <w:spacing w:after="0"/>
              <w:rPr>
                <w:sz w:val="24"/>
                <w:szCs w:val="24"/>
                <w:color w:val="auto"/>
              </w:rPr>
            </w:pPr>
          </w:p>
        </w:tc>
        <w:tc>
          <w:tcPr>
            <w:tcW w:w="380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5"/>
              </w:rPr>
              <w:t>Director</w:t>
            </w:r>
          </w:p>
        </w:tc>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89"/>
              </w:rPr>
              <w:t>October 8, 2021</w:t>
            </w:r>
          </w:p>
        </w:tc>
        <w:tc>
          <w:tcPr>
            <w:tcW w:w="0" w:type="dxa"/>
            <w:vAlign w:val="bottom"/>
          </w:tcPr>
          <w:p>
            <w:pPr>
              <w:spacing w:after="0"/>
              <w:rPr>
                <w:sz w:val="1"/>
                <w:szCs w:val="1"/>
                <w:color w:val="auto"/>
              </w:rPr>
            </w:pPr>
          </w:p>
        </w:tc>
      </w:tr>
      <w:tr>
        <w:trPr>
          <w:trHeight w:val="40"/>
        </w:trPr>
        <w:tc>
          <w:tcPr>
            <w:tcW w:w="366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800" w:type="dxa"/>
            <w:vAlign w:val="bottom"/>
            <w:gridSpan w:val="2"/>
            <w:vMerge w:val="continue"/>
          </w:tcPr>
          <w:p>
            <w:pPr>
              <w:spacing w:after="0"/>
              <w:rPr>
                <w:sz w:val="3"/>
                <w:szCs w:val="3"/>
                <w:color w:val="auto"/>
              </w:rPr>
            </w:pPr>
          </w:p>
        </w:tc>
        <w:tc>
          <w:tcPr>
            <w:tcW w:w="36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90"/>
              </w:rPr>
              <w:t>Lynne Laube</w:t>
            </w:r>
          </w:p>
        </w:tc>
        <w:tc>
          <w:tcPr>
            <w:tcW w:w="100" w:type="dxa"/>
            <w:vAlign w:val="bottom"/>
            <w:vMerge w:val="continue"/>
          </w:tcPr>
          <w:p>
            <w:pPr>
              <w:spacing w:after="0"/>
              <w:rPr>
                <w:sz w:val="7"/>
                <w:szCs w:val="7"/>
                <w:color w:val="auto"/>
              </w:rPr>
            </w:pPr>
          </w:p>
        </w:tc>
        <w:tc>
          <w:tcPr>
            <w:tcW w:w="3800" w:type="dxa"/>
            <w:vAlign w:val="bottom"/>
            <w:gridSpan w:val="2"/>
            <w:vMerge w:val="continue"/>
          </w:tcPr>
          <w:p>
            <w:pPr>
              <w:spacing w:after="0"/>
              <w:rPr>
                <w:sz w:val="7"/>
                <w:szCs w:val="7"/>
                <w:color w:val="auto"/>
              </w:rPr>
            </w:pPr>
          </w:p>
        </w:tc>
        <w:tc>
          <w:tcPr>
            <w:tcW w:w="3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3660" w:type="dxa"/>
            <w:vAlign w:val="bottom"/>
          </w:tcPr>
          <w:p>
            <w:pPr>
              <w:jc w:val="center"/>
              <w:spacing w:after="0"/>
              <w:rPr>
                <w:sz w:val="20"/>
                <w:szCs w:val="20"/>
                <w:color w:val="auto"/>
              </w:rPr>
            </w:pPr>
            <w:r>
              <w:rPr>
                <w:rFonts w:ascii="Arial" w:cs="Arial" w:eastAsia="Arial" w:hAnsi="Arial"/>
                <w:sz w:val="18"/>
                <w:szCs w:val="18"/>
                <w:color w:val="auto"/>
                <w:w w:val="91"/>
              </w:rPr>
              <w:t>/s/ Thomas Loverro</w:t>
            </w:r>
          </w:p>
        </w:tc>
        <w:tc>
          <w:tcPr>
            <w:tcW w:w="100" w:type="dxa"/>
            <w:vAlign w:val="bottom"/>
          </w:tcPr>
          <w:p>
            <w:pPr>
              <w:spacing w:after="0"/>
              <w:rPr>
                <w:sz w:val="24"/>
                <w:szCs w:val="24"/>
                <w:color w:val="auto"/>
              </w:rPr>
            </w:pPr>
          </w:p>
        </w:tc>
        <w:tc>
          <w:tcPr>
            <w:tcW w:w="380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5"/>
              </w:rPr>
              <w:t>Director</w:t>
            </w:r>
          </w:p>
        </w:tc>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89"/>
              </w:rPr>
              <w:t>October 8, 2021</w:t>
            </w:r>
          </w:p>
        </w:tc>
        <w:tc>
          <w:tcPr>
            <w:tcW w:w="0" w:type="dxa"/>
            <w:vAlign w:val="bottom"/>
          </w:tcPr>
          <w:p>
            <w:pPr>
              <w:spacing w:after="0"/>
              <w:rPr>
                <w:sz w:val="1"/>
                <w:szCs w:val="1"/>
                <w:color w:val="auto"/>
              </w:rPr>
            </w:pPr>
          </w:p>
        </w:tc>
      </w:tr>
      <w:tr>
        <w:trPr>
          <w:trHeight w:val="40"/>
        </w:trPr>
        <w:tc>
          <w:tcPr>
            <w:tcW w:w="366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800" w:type="dxa"/>
            <w:vAlign w:val="bottom"/>
            <w:gridSpan w:val="2"/>
            <w:vMerge w:val="continue"/>
          </w:tcPr>
          <w:p>
            <w:pPr>
              <w:spacing w:after="0"/>
              <w:rPr>
                <w:sz w:val="3"/>
                <w:szCs w:val="3"/>
                <w:color w:val="auto"/>
              </w:rPr>
            </w:pPr>
          </w:p>
        </w:tc>
        <w:tc>
          <w:tcPr>
            <w:tcW w:w="36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91"/>
              </w:rPr>
              <w:t>Thomas Loverro</w:t>
            </w:r>
          </w:p>
        </w:tc>
        <w:tc>
          <w:tcPr>
            <w:tcW w:w="100" w:type="dxa"/>
            <w:vAlign w:val="bottom"/>
            <w:vMerge w:val="continue"/>
          </w:tcPr>
          <w:p>
            <w:pPr>
              <w:spacing w:after="0"/>
              <w:rPr>
                <w:sz w:val="7"/>
                <w:szCs w:val="7"/>
                <w:color w:val="auto"/>
              </w:rPr>
            </w:pPr>
          </w:p>
        </w:tc>
        <w:tc>
          <w:tcPr>
            <w:tcW w:w="3800" w:type="dxa"/>
            <w:vAlign w:val="bottom"/>
            <w:gridSpan w:val="2"/>
            <w:vMerge w:val="continue"/>
          </w:tcPr>
          <w:p>
            <w:pPr>
              <w:spacing w:after="0"/>
              <w:rPr>
                <w:sz w:val="7"/>
                <w:szCs w:val="7"/>
                <w:color w:val="auto"/>
              </w:rPr>
            </w:pPr>
          </w:p>
        </w:tc>
        <w:tc>
          <w:tcPr>
            <w:tcW w:w="3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3660" w:type="dxa"/>
            <w:vAlign w:val="bottom"/>
          </w:tcPr>
          <w:p>
            <w:pPr>
              <w:jc w:val="center"/>
              <w:spacing w:after="0"/>
              <w:rPr>
                <w:sz w:val="20"/>
                <w:szCs w:val="20"/>
                <w:color w:val="auto"/>
              </w:rPr>
            </w:pPr>
            <w:r>
              <w:rPr>
                <w:rFonts w:ascii="Arial" w:cs="Arial" w:eastAsia="Arial" w:hAnsi="Arial"/>
                <w:sz w:val="18"/>
                <w:szCs w:val="18"/>
                <w:color w:val="auto"/>
                <w:w w:val="91"/>
              </w:rPr>
              <w:t>/s/ James D. Robinson III</w:t>
            </w:r>
          </w:p>
        </w:tc>
        <w:tc>
          <w:tcPr>
            <w:tcW w:w="100" w:type="dxa"/>
            <w:vAlign w:val="bottom"/>
          </w:tcPr>
          <w:p>
            <w:pPr>
              <w:spacing w:after="0"/>
              <w:rPr>
                <w:sz w:val="24"/>
                <w:szCs w:val="24"/>
                <w:color w:val="auto"/>
              </w:rPr>
            </w:pPr>
          </w:p>
        </w:tc>
        <w:tc>
          <w:tcPr>
            <w:tcW w:w="380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5"/>
              </w:rPr>
              <w:t>Director</w:t>
            </w:r>
          </w:p>
        </w:tc>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89"/>
              </w:rPr>
              <w:t>October 8, 2021</w:t>
            </w:r>
          </w:p>
        </w:tc>
        <w:tc>
          <w:tcPr>
            <w:tcW w:w="0" w:type="dxa"/>
            <w:vAlign w:val="bottom"/>
          </w:tcPr>
          <w:p>
            <w:pPr>
              <w:spacing w:after="0"/>
              <w:rPr>
                <w:sz w:val="1"/>
                <w:szCs w:val="1"/>
                <w:color w:val="auto"/>
              </w:rPr>
            </w:pPr>
          </w:p>
        </w:tc>
      </w:tr>
      <w:tr>
        <w:trPr>
          <w:trHeight w:val="40"/>
        </w:trPr>
        <w:tc>
          <w:tcPr>
            <w:tcW w:w="366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800" w:type="dxa"/>
            <w:vAlign w:val="bottom"/>
            <w:gridSpan w:val="2"/>
            <w:vMerge w:val="continue"/>
          </w:tcPr>
          <w:p>
            <w:pPr>
              <w:spacing w:after="0"/>
              <w:rPr>
                <w:sz w:val="3"/>
                <w:szCs w:val="3"/>
                <w:color w:val="auto"/>
              </w:rPr>
            </w:pPr>
          </w:p>
        </w:tc>
        <w:tc>
          <w:tcPr>
            <w:tcW w:w="36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91"/>
              </w:rPr>
              <w:t>James D. Robinson III</w:t>
            </w:r>
          </w:p>
        </w:tc>
        <w:tc>
          <w:tcPr>
            <w:tcW w:w="100" w:type="dxa"/>
            <w:vAlign w:val="bottom"/>
            <w:vMerge w:val="continue"/>
          </w:tcPr>
          <w:p>
            <w:pPr>
              <w:spacing w:after="0"/>
              <w:rPr>
                <w:sz w:val="7"/>
                <w:szCs w:val="7"/>
                <w:color w:val="auto"/>
              </w:rPr>
            </w:pPr>
          </w:p>
        </w:tc>
        <w:tc>
          <w:tcPr>
            <w:tcW w:w="3800" w:type="dxa"/>
            <w:vAlign w:val="bottom"/>
            <w:gridSpan w:val="2"/>
            <w:vMerge w:val="continue"/>
          </w:tcPr>
          <w:p>
            <w:pPr>
              <w:spacing w:after="0"/>
              <w:rPr>
                <w:sz w:val="7"/>
                <w:szCs w:val="7"/>
                <w:color w:val="auto"/>
              </w:rPr>
            </w:pPr>
          </w:p>
        </w:tc>
        <w:tc>
          <w:tcPr>
            <w:tcW w:w="3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II-6</w:t>
      </w:r>
    </w:p>
    <w:p>
      <w:pPr>
        <w:sectPr>
          <w:pgSz w:w="11900" w:h="16838" w:orient="portrait"/>
          <w:cols w:equalWidth="0" w:num="1">
            <w:col w:w="11240"/>
          </w:cols>
          <w:pgMar w:left="320" w:top="1440" w:right="3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020202"/>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0A0A0A"/>
        </w:rPr>
        <w:t>SECOND AMENDED AND RESTATED</w:t>
      </w:r>
    </w:p>
    <w:p>
      <w:pPr>
        <w:spacing w:after="0" w:line="166"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0A0A0A"/>
        </w:rPr>
        <w:t>CERTIFICATE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A0A0A"/>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A0A0A"/>
        </w:rPr>
        <w:t>NERDWALLET, INC.</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A0A0A"/>
        </w:rPr>
        <w:t>Pursuant to Sections 242 and 245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A0A0A"/>
        </w:rPr>
        <w:t>of the General Corporation Law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A0A0A"/>
        </w:rPr>
        <w:t>the State of Delaware</w:t>
      </w:r>
    </w:p>
    <w:p>
      <w:pPr>
        <w:spacing w:after="0" w:line="148"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NerdWallet, Inc., a corporation organized and existing under and by virtue of the provisions of the General Corporation Law of the State of Delaware (the “</w:t>
      </w:r>
      <w:r>
        <w:rPr>
          <w:rFonts w:ascii="Arial" w:cs="Arial" w:eastAsia="Arial" w:hAnsi="Arial"/>
          <w:sz w:val="22"/>
          <w:szCs w:val="22"/>
          <w:b w:val="1"/>
          <w:bCs w:val="1"/>
          <w:color w:val="auto"/>
        </w:rPr>
        <w:t>General Corporation Law</w:t>
      </w:r>
      <w:r>
        <w:rPr>
          <w:rFonts w:ascii="Arial" w:cs="Arial" w:eastAsia="Arial" w:hAnsi="Arial"/>
          <w:sz w:val="22"/>
          <w:szCs w:val="22"/>
          <w:color w:val="auto"/>
        </w:rPr>
        <w:t>”),</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A0A0A"/>
        </w:rPr>
        <w:t>DOES HEREBY CERTIFY:</w:t>
      </w:r>
    </w:p>
    <w:p>
      <w:pPr>
        <w:spacing w:after="0" w:line="172" w:lineRule="exact"/>
        <w:rPr>
          <w:sz w:val="20"/>
          <w:szCs w:val="20"/>
          <w:color w:val="auto"/>
        </w:rPr>
      </w:pPr>
    </w:p>
    <w:p>
      <w:pPr>
        <w:ind w:firstLine="1304"/>
        <w:spacing w:after="0" w:line="263" w:lineRule="auto"/>
        <w:tabs>
          <w:tab w:leader="none" w:pos="1744"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That the name of this corporation is NerdWallet, Inc., and that this corporation was originally incorporated pursuant to the General Corporation Law on December 29, 2011 under the name NerdWallet, Inc.</w:t>
      </w:r>
    </w:p>
    <w:p>
      <w:pPr>
        <w:spacing w:after="0" w:line="114" w:lineRule="exact"/>
        <w:rPr>
          <w:rFonts w:ascii="Arial" w:cs="Arial" w:eastAsia="Arial" w:hAnsi="Arial"/>
          <w:sz w:val="22"/>
          <w:szCs w:val="22"/>
          <w:color w:val="auto"/>
        </w:rPr>
      </w:pPr>
    </w:p>
    <w:p>
      <w:pPr>
        <w:jc w:val="both"/>
        <w:ind w:firstLine="1304"/>
        <w:spacing w:after="0" w:line="249" w:lineRule="auto"/>
        <w:tabs>
          <w:tab w:leader="none" w:pos="1801"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That the board of directors of the NerdWallet, Inc. (the “</w:t>
      </w:r>
      <w:r>
        <w:rPr>
          <w:rFonts w:ascii="Arial" w:cs="Arial" w:eastAsia="Arial" w:hAnsi="Arial"/>
          <w:sz w:val="22"/>
          <w:szCs w:val="22"/>
          <w:b w:val="1"/>
          <w:bCs w:val="1"/>
          <w:color w:val="auto"/>
        </w:rPr>
        <w:t>Board</w:t>
      </w:r>
      <w:r>
        <w:rPr>
          <w:rFonts w:ascii="Arial" w:cs="Arial" w:eastAsia="Arial" w:hAnsi="Arial"/>
          <w:sz w:val="22"/>
          <w:szCs w:val="22"/>
          <w:color w:val="auto"/>
        </w:rPr>
        <w:t>”) duly adopted resolutions proposing to amend and restate the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132"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RESOLVED, </w:t>
      </w:r>
      <w:r>
        <w:rPr>
          <w:rFonts w:ascii="Arial" w:cs="Arial" w:eastAsia="Arial" w:hAnsi="Arial"/>
          <w:sz w:val="22"/>
          <w:szCs w:val="22"/>
          <w:color w:val="auto"/>
        </w:rPr>
        <w:t>that the Certificate of Incorporation of this corporation be amended and restated in its entirety to</w:t>
      </w:r>
      <w:r>
        <w:rPr>
          <w:rFonts w:ascii="Arial" w:cs="Arial" w:eastAsia="Arial" w:hAnsi="Arial"/>
          <w:sz w:val="22"/>
          <w:szCs w:val="22"/>
          <w:b w:val="1"/>
          <w:bCs w:val="1"/>
          <w:color w:val="auto"/>
        </w:rPr>
        <w:t xml:space="preserve"> </w:t>
      </w:r>
      <w:r>
        <w:rPr>
          <w:rFonts w:ascii="Arial" w:cs="Arial" w:eastAsia="Arial" w:hAnsi="Arial"/>
          <w:sz w:val="22"/>
          <w:szCs w:val="22"/>
          <w:color w:val="auto"/>
        </w:rPr>
        <w:t>read as follows:</w:t>
      </w:r>
    </w:p>
    <w:p>
      <w:pPr>
        <w:spacing w:after="0" w:line="108"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FIRST: </w:t>
      </w:r>
      <w:r>
        <w:rPr>
          <w:rFonts w:ascii="Arial" w:cs="Arial" w:eastAsia="Arial" w:hAnsi="Arial"/>
          <w:sz w:val="22"/>
          <w:szCs w:val="22"/>
          <w:color w:val="auto"/>
        </w:rPr>
        <w:t>The name of this corporation is NerdWallet, Inc. (the “</w:t>
      </w:r>
      <w:r>
        <w:rPr>
          <w:rFonts w:ascii="Arial" w:cs="Arial" w:eastAsia="Arial" w:hAnsi="Arial"/>
          <w:sz w:val="22"/>
          <w:szCs w:val="22"/>
          <w:b w:val="1"/>
          <w:bCs w:val="1"/>
          <w:color w:val="auto"/>
        </w:rPr>
        <w:t>Corporation</w:t>
      </w:r>
      <w:r>
        <w:rPr>
          <w:rFonts w:ascii="Arial" w:cs="Arial" w:eastAsia="Arial" w:hAnsi="Arial"/>
          <w:sz w:val="22"/>
          <w:szCs w:val="22"/>
          <w:color w:val="auto"/>
        </w:rPr>
        <w:t>”).</w:t>
      </w:r>
    </w:p>
    <w:p>
      <w:pPr>
        <w:spacing w:after="0" w:line="16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SECOND: </w:t>
      </w:r>
      <w:r>
        <w:rPr>
          <w:rFonts w:ascii="Arial" w:cs="Arial" w:eastAsia="Arial" w:hAnsi="Arial"/>
          <w:sz w:val="22"/>
          <w:szCs w:val="22"/>
          <w:color w:val="auto"/>
        </w:rPr>
        <w:t>The address of the Corporation’s registered office in the State of Delaware is Business Filings</w:t>
      </w:r>
      <w:r>
        <w:rPr>
          <w:rFonts w:ascii="Arial" w:cs="Arial" w:eastAsia="Arial" w:hAnsi="Arial"/>
          <w:sz w:val="22"/>
          <w:szCs w:val="22"/>
          <w:b w:val="1"/>
          <w:bCs w:val="1"/>
          <w:color w:val="auto"/>
        </w:rPr>
        <w:t xml:space="preserve"> </w:t>
      </w:r>
      <w:r>
        <w:rPr>
          <w:rFonts w:ascii="Arial" w:cs="Arial" w:eastAsia="Arial" w:hAnsi="Arial"/>
          <w:sz w:val="22"/>
          <w:szCs w:val="22"/>
          <w:color w:val="auto"/>
        </w:rPr>
        <w:t>Incorporated, 108 West 13th Street, in the City of Wilmington, County of New Castle, 19801. The name of its registered agent at such address is Business Filings Incorporated.</w:t>
      </w:r>
    </w:p>
    <w:p>
      <w:pPr>
        <w:spacing w:after="0" w:line="122" w:lineRule="exact"/>
        <w:rPr>
          <w:sz w:val="20"/>
          <w:szCs w:val="20"/>
          <w:color w:val="auto"/>
        </w:rPr>
      </w:pPr>
    </w:p>
    <w:p>
      <w:pPr>
        <w:jc w:val="both"/>
        <w:ind w:firstLine="1296"/>
        <w:spacing w:after="0" w:line="349" w:lineRule="auto"/>
        <w:rPr>
          <w:sz w:val="20"/>
          <w:szCs w:val="20"/>
          <w:color w:val="auto"/>
        </w:rPr>
      </w:pPr>
      <w:r>
        <w:rPr>
          <w:rFonts w:ascii="Arial" w:cs="Arial" w:eastAsia="Arial" w:hAnsi="Arial"/>
          <w:sz w:val="19"/>
          <w:szCs w:val="19"/>
          <w:b w:val="1"/>
          <w:bCs w:val="1"/>
          <w:color w:val="auto"/>
        </w:rPr>
        <w:t xml:space="preserve">THIRD: </w:t>
      </w:r>
      <w:r>
        <w:rPr>
          <w:rFonts w:ascii="Arial" w:cs="Arial" w:eastAsia="Arial" w:hAnsi="Arial"/>
          <w:sz w:val="19"/>
          <w:szCs w:val="19"/>
          <w:color w:val="auto"/>
        </w:rPr>
        <w:t>The purpose of the Corporation is to engage in any lawful act or activity for which corporations may be</w:t>
      </w:r>
      <w:r>
        <w:rPr>
          <w:rFonts w:ascii="Arial" w:cs="Arial" w:eastAsia="Arial" w:hAnsi="Arial"/>
          <w:sz w:val="19"/>
          <w:szCs w:val="19"/>
          <w:b w:val="1"/>
          <w:bCs w:val="1"/>
          <w:color w:val="auto"/>
        </w:rPr>
        <w:t xml:space="preserve"> </w:t>
      </w:r>
      <w:r>
        <w:rPr>
          <w:rFonts w:ascii="Arial" w:cs="Arial" w:eastAsia="Arial" w:hAnsi="Arial"/>
          <w:sz w:val="19"/>
          <w:szCs w:val="19"/>
          <w:color w:val="auto"/>
        </w:rPr>
        <w:t>organized under the General Corporation Law, as the same exists or as may hereafter be amended from time to time.</w:t>
      </w:r>
    </w:p>
    <w:p>
      <w:pPr>
        <w:spacing w:after="0" w:line="40"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b w:val="1"/>
          <w:bCs w:val="1"/>
          <w:color w:val="auto"/>
        </w:rPr>
        <w:t xml:space="preserve">FOURTH: </w:t>
      </w:r>
      <w:r>
        <w:rPr>
          <w:rFonts w:ascii="Arial" w:cs="Arial" w:eastAsia="Arial" w:hAnsi="Arial"/>
          <w:sz w:val="22"/>
          <w:szCs w:val="22"/>
          <w:color w:val="auto"/>
        </w:rPr>
        <w:t>The total number of shares of stock that the Corporation shall have authority to issue is (i)</w:t>
      </w:r>
      <w:r>
        <w:rPr>
          <w:rFonts w:ascii="Arial" w:cs="Arial" w:eastAsia="Arial" w:hAnsi="Arial"/>
          <w:sz w:val="22"/>
          <w:szCs w:val="22"/>
          <w:b w:val="1"/>
          <w:bCs w:val="1"/>
          <w:color w:val="auto"/>
        </w:rPr>
        <w:t xml:space="preserve"> </w:t>
      </w:r>
      <w:r>
        <w:rPr>
          <w:rFonts w:ascii="Arial" w:cs="Arial" w:eastAsia="Arial" w:hAnsi="Arial"/>
          <w:sz w:val="22"/>
          <w:szCs w:val="22"/>
          <w:color w:val="auto"/>
        </w:rPr>
        <w:t>155,000,000 shares of Class A Common Stock, $0.0001 par value per share (the “</w:t>
      </w:r>
      <w:r>
        <w:rPr>
          <w:rFonts w:ascii="Arial" w:cs="Arial" w:eastAsia="Arial" w:hAnsi="Arial"/>
          <w:sz w:val="22"/>
          <w:szCs w:val="22"/>
          <w:b w:val="1"/>
          <w:bCs w:val="1"/>
          <w:color w:val="auto"/>
        </w:rPr>
        <w:t>Class A Common Stock</w:t>
      </w:r>
      <w:r>
        <w:rPr>
          <w:rFonts w:ascii="Arial" w:cs="Arial" w:eastAsia="Arial" w:hAnsi="Arial"/>
          <w:sz w:val="22"/>
          <w:szCs w:val="22"/>
          <w:color w:val="auto"/>
        </w:rPr>
        <w:t>”), (ii) 70,000,000 shares of Class F Common Stock, $0.0001 par value per share (the “</w:t>
      </w:r>
      <w:r>
        <w:rPr>
          <w:rFonts w:ascii="Arial" w:cs="Arial" w:eastAsia="Arial" w:hAnsi="Arial"/>
          <w:sz w:val="22"/>
          <w:szCs w:val="22"/>
          <w:b w:val="1"/>
          <w:bCs w:val="1"/>
          <w:color w:val="auto"/>
        </w:rPr>
        <w:t>Class F Common Stock</w:t>
      </w:r>
      <w:r>
        <w:rPr>
          <w:rFonts w:ascii="Arial" w:cs="Arial" w:eastAsia="Arial" w:hAnsi="Arial"/>
          <w:sz w:val="22"/>
          <w:szCs w:val="22"/>
          <w:color w:val="auto"/>
        </w:rPr>
        <w:t>”), (iii) 30,000,000 shares of Class G Common Stock, $0.0001 par value per share (the “</w:t>
      </w:r>
      <w:r>
        <w:rPr>
          <w:rFonts w:ascii="Arial" w:cs="Arial" w:eastAsia="Arial" w:hAnsi="Arial"/>
          <w:sz w:val="22"/>
          <w:szCs w:val="22"/>
          <w:b w:val="1"/>
          <w:bCs w:val="1"/>
          <w:color w:val="auto"/>
        </w:rPr>
        <w:t>Class G Common Stock</w:t>
      </w:r>
      <w:r>
        <w:rPr>
          <w:rFonts w:ascii="Arial" w:cs="Arial" w:eastAsia="Arial" w:hAnsi="Arial"/>
          <w:sz w:val="22"/>
          <w:szCs w:val="22"/>
          <w:color w:val="auto"/>
        </w:rPr>
        <w:t xml:space="preserve">” and together with </w:t>
      </w:r>
      <w:r>
        <w:rPr>
          <w:rFonts w:ascii="Arial" w:cs="Arial" w:eastAsia="Arial" w:hAnsi="Arial"/>
          <w:sz w:val="22"/>
          <w:szCs w:val="22"/>
          <w:color w:val="0B0B0B"/>
        </w:rPr>
        <w:t>the Class A Common Stock</w:t>
      </w:r>
      <w:r>
        <w:rPr>
          <w:rFonts w:ascii="Arial" w:cs="Arial" w:eastAsia="Arial" w:hAnsi="Arial"/>
          <w:sz w:val="22"/>
          <w:szCs w:val="22"/>
          <w:color w:val="auto"/>
        </w:rPr>
        <w:t xml:space="preserve"> </w:t>
      </w:r>
      <w:r>
        <w:rPr>
          <w:rFonts w:ascii="Arial" w:cs="Arial" w:eastAsia="Arial" w:hAnsi="Arial"/>
          <w:sz w:val="22"/>
          <w:szCs w:val="22"/>
          <w:color w:val="0B0B0B"/>
        </w:rPr>
        <w:t xml:space="preserve">and Class </w:t>
      </w:r>
      <w:r>
        <w:rPr>
          <w:rFonts w:ascii="Arial" w:cs="Arial" w:eastAsia="Arial" w:hAnsi="Arial"/>
          <w:sz w:val="22"/>
          <w:szCs w:val="22"/>
          <w:color w:val="1D1D1D"/>
        </w:rPr>
        <w:t>F</w:t>
      </w:r>
      <w:r>
        <w:rPr>
          <w:rFonts w:ascii="Arial" w:cs="Arial" w:eastAsia="Arial" w:hAnsi="Arial"/>
          <w:sz w:val="22"/>
          <w:szCs w:val="22"/>
          <w:color w:val="0B0B0B"/>
        </w:rPr>
        <w:t xml:space="preserve"> Common Stock</w:t>
      </w:r>
      <w:r>
        <w:rPr>
          <w:rFonts w:ascii="Arial" w:cs="Arial" w:eastAsia="Arial" w:hAnsi="Arial"/>
          <w:sz w:val="22"/>
          <w:szCs w:val="22"/>
          <w:color w:val="1D1D1D"/>
        </w:rPr>
        <w:t>,</w:t>
      </w:r>
      <w:r>
        <w:rPr>
          <w:rFonts w:ascii="Arial" w:cs="Arial" w:eastAsia="Arial" w:hAnsi="Arial"/>
          <w:sz w:val="22"/>
          <w:szCs w:val="22"/>
          <w:color w:val="0B0B0B"/>
        </w:rPr>
        <w:t xml:space="preserve"> the “</w:t>
      </w:r>
      <w:r>
        <w:rPr>
          <w:rFonts w:ascii="Arial" w:cs="Arial" w:eastAsia="Arial" w:hAnsi="Arial"/>
          <w:sz w:val="22"/>
          <w:szCs w:val="22"/>
          <w:b w:val="1"/>
          <w:bCs w:val="1"/>
          <w:color w:val="0B0B0B"/>
        </w:rPr>
        <w:t>Common Stock</w:t>
      </w:r>
      <w:r>
        <w:rPr>
          <w:rFonts w:ascii="Arial" w:cs="Arial" w:eastAsia="Arial" w:hAnsi="Arial"/>
          <w:sz w:val="22"/>
          <w:szCs w:val="22"/>
          <w:color w:val="0B0B0B"/>
        </w:rPr>
        <w:t>”) and (iv) 17,301,256 shares of Series A Preferred Stock, $0</w:t>
      </w:r>
      <w:r>
        <w:rPr>
          <w:rFonts w:ascii="Arial" w:cs="Arial" w:eastAsia="Arial" w:hAnsi="Arial"/>
          <w:sz w:val="22"/>
          <w:szCs w:val="22"/>
          <w:color w:val="1D1D1D"/>
        </w:rPr>
        <w:t>.</w:t>
      </w:r>
      <w:r>
        <w:rPr>
          <w:rFonts w:ascii="Arial" w:cs="Arial" w:eastAsia="Arial" w:hAnsi="Arial"/>
          <w:sz w:val="22"/>
          <w:szCs w:val="22"/>
          <w:color w:val="0B0B0B"/>
        </w:rPr>
        <w:t>0001 par value per share (the “</w:t>
      </w:r>
      <w:r>
        <w:rPr>
          <w:rFonts w:ascii="Arial" w:cs="Arial" w:eastAsia="Arial" w:hAnsi="Arial"/>
          <w:sz w:val="22"/>
          <w:szCs w:val="22"/>
          <w:b w:val="1"/>
          <w:bCs w:val="1"/>
          <w:color w:val="0B0B0B"/>
        </w:rPr>
        <w:t>Preferred Stock</w:t>
      </w:r>
      <w:r>
        <w:rPr>
          <w:rFonts w:ascii="Arial" w:cs="Arial" w:eastAsia="Arial" w:hAnsi="Arial"/>
          <w:sz w:val="22"/>
          <w:szCs w:val="22"/>
          <w:color w:val="0B0B0B"/>
        </w:rPr>
        <w:t>”).</w:t>
      </w:r>
    </w:p>
    <w:p>
      <w:pPr>
        <w:sectPr>
          <w:pgSz w:w="11900" w:h="16838" w:orient="portrait"/>
          <w:cols w:equalWidth="0" w:num="1">
            <w:col w:w="11240"/>
          </w:cols>
          <w:pgMar w:left="320" w:top="121" w:right="339" w:bottom="1440" w:gutter="0" w:footer="0" w:header="0"/>
        </w:sectPr>
      </w:pPr>
    </w:p>
    <w:bookmarkStart w:id="195" w:name="page196"/>
    <w:bookmarkEnd w:id="195"/>
    <w:p>
      <w:pPr>
        <w:ind w:firstLine="1296"/>
        <w:spacing w:after="0" w:line="263" w:lineRule="auto"/>
        <w:rPr>
          <w:sz w:val="20"/>
          <w:szCs w:val="20"/>
          <w:color w:val="auto"/>
        </w:rPr>
      </w:pPr>
      <w:r>
        <w:rPr>
          <w:rFonts w:ascii="Arial" w:cs="Arial" w:eastAsia="Arial" w:hAnsi="Arial"/>
          <w:sz w:val="22"/>
          <w:szCs w:val="22"/>
          <w:color w:val="0B0B0B"/>
        </w:rPr>
        <w:t>The following is a statement of the designations and the powers, pr</w:t>
      </w:r>
      <w:r>
        <w:rPr>
          <w:rFonts w:ascii="Arial" w:cs="Arial" w:eastAsia="Arial" w:hAnsi="Arial"/>
          <w:sz w:val="22"/>
          <w:szCs w:val="22"/>
          <w:color w:val="1D1D1D"/>
        </w:rPr>
        <w:t>i</w:t>
      </w:r>
      <w:r>
        <w:rPr>
          <w:rFonts w:ascii="Arial" w:cs="Arial" w:eastAsia="Arial" w:hAnsi="Arial"/>
          <w:sz w:val="22"/>
          <w:szCs w:val="22"/>
          <w:color w:val="0B0B0B"/>
        </w:rPr>
        <w:t>vileges and rights, and the qualifications</w:t>
      </w:r>
      <w:r>
        <w:rPr>
          <w:rFonts w:ascii="Arial" w:cs="Arial" w:eastAsia="Arial" w:hAnsi="Arial"/>
          <w:sz w:val="22"/>
          <w:szCs w:val="22"/>
          <w:color w:val="1D1D1D"/>
        </w:rPr>
        <w:t>,</w:t>
      </w:r>
      <w:r>
        <w:rPr>
          <w:rFonts w:ascii="Arial" w:cs="Arial" w:eastAsia="Arial" w:hAnsi="Arial"/>
          <w:sz w:val="22"/>
          <w:szCs w:val="22"/>
          <w:color w:val="0B0B0B"/>
        </w:rPr>
        <w:t xml:space="preserve"> limitations or restrictions thereof in respect of each clas</w:t>
      </w:r>
      <w:r>
        <w:rPr>
          <w:rFonts w:ascii="Arial" w:cs="Arial" w:eastAsia="Arial" w:hAnsi="Arial"/>
          <w:sz w:val="22"/>
          <w:szCs w:val="22"/>
          <w:color w:val="1D1D1D"/>
        </w:rPr>
        <w:t>s</w:t>
      </w:r>
      <w:r>
        <w:rPr>
          <w:rFonts w:ascii="Arial" w:cs="Arial" w:eastAsia="Arial" w:hAnsi="Arial"/>
          <w:sz w:val="22"/>
          <w:szCs w:val="22"/>
          <w:color w:val="0B0B0B"/>
        </w:rPr>
        <w:t xml:space="preserve"> of capital stock o</w:t>
      </w:r>
      <w:r>
        <w:rPr>
          <w:rFonts w:ascii="Arial" w:cs="Arial" w:eastAsia="Arial" w:hAnsi="Arial"/>
          <w:sz w:val="22"/>
          <w:szCs w:val="22"/>
          <w:color w:val="1D1D1D"/>
        </w:rPr>
        <w:t>f</w:t>
      </w:r>
      <w:r>
        <w:rPr>
          <w:rFonts w:ascii="Arial" w:cs="Arial" w:eastAsia="Arial" w:hAnsi="Arial"/>
          <w:sz w:val="22"/>
          <w:szCs w:val="22"/>
          <w:color w:val="0B0B0B"/>
        </w:rPr>
        <w:t xml:space="preserve"> the Corporation.</w:t>
      </w:r>
    </w:p>
    <w:p>
      <w:pPr>
        <w:spacing w:after="0" w:line="115" w:lineRule="exact"/>
        <w:rPr>
          <w:sz w:val="20"/>
          <w:szCs w:val="20"/>
          <w:color w:val="auto"/>
        </w:rPr>
      </w:pPr>
    </w:p>
    <w:p>
      <w:pPr>
        <w:ind w:left="1720" w:hanging="416"/>
        <w:spacing w:after="0"/>
        <w:tabs>
          <w:tab w:leader="none" w:pos="1720" w:val="left"/>
        </w:tabs>
        <w:numPr>
          <w:ilvl w:val="0"/>
          <w:numId w:val="129"/>
        </w:numPr>
        <w:rPr>
          <w:rFonts w:ascii="Arial" w:cs="Arial" w:eastAsia="Arial" w:hAnsi="Arial"/>
          <w:sz w:val="22"/>
          <w:szCs w:val="22"/>
          <w:color w:val="1D1D1D"/>
        </w:rPr>
      </w:pPr>
      <w:r>
        <w:rPr>
          <w:rFonts w:ascii="Arial" w:cs="Arial" w:eastAsia="Arial" w:hAnsi="Arial"/>
          <w:sz w:val="22"/>
          <w:szCs w:val="22"/>
          <w:b w:val="1"/>
          <w:bCs w:val="1"/>
          <w:color w:val="0B0B0B"/>
        </w:rPr>
        <w:t>COMMON STOCK</w:t>
      </w:r>
    </w:p>
    <w:p>
      <w:pPr>
        <w:spacing w:after="0" w:line="172" w:lineRule="exact"/>
        <w:rPr>
          <w:sz w:val="20"/>
          <w:szCs w:val="20"/>
          <w:color w:val="auto"/>
        </w:rPr>
      </w:pPr>
    </w:p>
    <w:p>
      <w:pPr>
        <w:jc w:val="both"/>
        <w:ind w:firstLine="1304"/>
        <w:spacing w:after="0" w:line="250" w:lineRule="auto"/>
        <w:tabs>
          <w:tab w:leader="none" w:pos="1728" w:val="left"/>
        </w:tabs>
        <w:numPr>
          <w:ilvl w:val="0"/>
          <w:numId w:val="130"/>
        </w:numPr>
        <w:rPr>
          <w:rFonts w:ascii="Arial" w:cs="Arial" w:eastAsia="Arial" w:hAnsi="Arial"/>
          <w:sz w:val="22"/>
          <w:szCs w:val="22"/>
          <w:color w:val="0B0B0B"/>
        </w:rPr>
      </w:pPr>
      <w:r>
        <w:rPr>
          <w:rFonts w:ascii="Arial" w:cs="Arial" w:eastAsia="Arial" w:hAnsi="Arial"/>
          <w:sz w:val="22"/>
          <w:szCs w:val="22"/>
          <w:u w:val="single" w:color="auto"/>
          <w:color w:val="0B0B0B"/>
        </w:rPr>
        <w:t>General</w:t>
      </w:r>
      <w:r>
        <w:rPr>
          <w:rFonts w:ascii="Arial" w:cs="Arial" w:eastAsia="Arial" w:hAnsi="Arial"/>
          <w:sz w:val="22"/>
          <w:szCs w:val="22"/>
          <w:color w:val="0B0B0B"/>
        </w:rPr>
        <w:t>. The voting</w:t>
      </w:r>
      <w:r>
        <w:rPr>
          <w:rFonts w:ascii="Arial" w:cs="Arial" w:eastAsia="Arial" w:hAnsi="Arial"/>
          <w:sz w:val="22"/>
          <w:szCs w:val="22"/>
          <w:color w:val="1D1D1D"/>
        </w:rPr>
        <w:t>, dividend and liquidation rights of the holders of the Common Stock are subject to and</w:t>
      </w:r>
      <w:r>
        <w:rPr>
          <w:rFonts w:ascii="Arial" w:cs="Arial" w:eastAsia="Arial" w:hAnsi="Arial"/>
          <w:sz w:val="22"/>
          <w:szCs w:val="22"/>
          <w:color w:val="0B0B0B"/>
        </w:rPr>
        <w:t xml:space="preserve"> </w:t>
      </w:r>
      <w:r>
        <w:rPr>
          <w:rFonts w:ascii="Arial" w:cs="Arial" w:eastAsia="Arial" w:hAnsi="Arial"/>
          <w:sz w:val="22"/>
          <w:szCs w:val="22"/>
          <w:color w:val="1D1D1D"/>
        </w:rPr>
        <w:t>qualified by the rights, powers and preferences of the holders of the Preferred Stock set forth herein. Unless otherwise indicated, references to “sections” or “subsections” in this Part A of this Article Fourth refer to sections and subsections of Part A of this Article Fourth.</w:t>
      </w:r>
    </w:p>
    <w:p>
      <w:pPr>
        <w:spacing w:after="0" w:line="13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color w:val="0B0B0B"/>
        </w:rPr>
        <w:t>2</w:t>
      </w:r>
      <w:r>
        <w:rPr>
          <w:rFonts w:ascii="Arial" w:cs="Arial" w:eastAsia="Arial" w:hAnsi="Arial"/>
          <w:sz w:val="21"/>
          <w:szCs w:val="21"/>
          <w:color w:val="1D1D1D"/>
        </w:rPr>
        <w:t>.</w:t>
      </w:r>
      <w:r>
        <w:rPr>
          <w:rFonts w:ascii="Arial" w:cs="Arial" w:eastAsia="Arial" w:hAnsi="Arial"/>
          <w:sz w:val="21"/>
          <w:szCs w:val="21"/>
          <w:color w:val="0B0B0B"/>
        </w:rPr>
        <w:t xml:space="preserve"> </w:t>
      </w:r>
      <w:r>
        <w:rPr>
          <w:rFonts w:ascii="Arial" w:cs="Arial" w:eastAsia="Arial" w:hAnsi="Arial"/>
          <w:sz w:val="21"/>
          <w:szCs w:val="21"/>
          <w:u w:val="single" w:color="auto"/>
          <w:color w:val="0B0B0B"/>
        </w:rPr>
        <w:t>Dividends</w:t>
      </w:r>
      <w:r>
        <w:rPr>
          <w:rFonts w:ascii="Arial" w:cs="Arial" w:eastAsia="Arial" w:hAnsi="Arial"/>
          <w:sz w:val="21"/>
          <w:szCs w:val="21"/>
          <w:color w:val="0B0B0B"/>
        </w:rPr>
        <w:t xml:space="preserve">. The holders of the Class F Common Stock, the holders of the Class G Common Stock and the holders of the Class A Common Stock shall be entitled to receive, on a </w:t>
      </w:r>
      <w:r>
        <w:rPr>
          <w:rFonts w:ascii="Arial" w:cs="Arial" w:eastAsia="Arial" w:hAnsi="Arial"/>
          <w:sz w:val="21"/>
          <w:szCs w:val="21"/>
          <w:i w:val="1"/>
          <w:iCs w:val="1"/>
          <w:color w:val="0B0B0B"/>
        </w:rPr>
        <w:t>pari passu</w:t>
      </w:r>
      <w:r>
        <w:rPr>
          <w:rFonts w:ascii="Arial" w:cs="Arial" w:eastAsia="Arial" w:hAnsi="Arial"/>
          <w:sz w:val="21"/>
          <w:szCs w:val="21"/>
          <w:color w:val="0B0B0B"/>
        </w:rPr>
        <w:t xml:space="preserve"> basis, when and as declared by the Board, out of any assets of the Corporation legally available therefore, such dividends as may be declared from time to time by the Board; </w:t>
      </w:r>
      <w:r>
        <w:rPr>
          <w:rFonts w:ascii="Arial" w:cs="Arial" w:eastAsia="Arial" w:hAnsi="Arial"/>
          <w:sz w:val="21"/>
          <w:szCs w:val="21"/>
          <w:u w:val="single" w:color="auto"/>
          <w:color w:val="0B0B0B"/>
        </w:rPr>
        <w:t>provided</w:t>
      </w:r>
      <w:r>
        <w:rPr>
          <w:rFonts w:ascii="Arial" w:cs="Arial" w:eastAsia="Arial" w:hAnsi="Arial"/>
          <w:sz w:val="21"/>
          <w:szCs w:val="21"/>
          <w:color w:val="0B0B0B"/>
        </w:rPr>
        <w:t xml:space="preserve">, </w:t>
      </w:r>
      <w:r>
        <w:rPr>
          <w:rFonts w:ascii="Arial" w:cs="Arial" w:eastAsia="Arial" w:hAnsi="Arial"/>
          <w:sz w:val="21"/>
          <w:szCs w:val="21"/>
          <w:u w:val="single" w:color="auto"/>
          <w:color w:val="0B0B0B"/>
        </w:rPr>
        <w:t>however</w:t>
      </w:r>
      <w:r>
        <w:rPr>
          <w:rFonts w:ascii="Arial" w:cs="Arial" w:eastAsia="Arial" w:hAnsi="Arial"/>
          <w:sz w:val="21"/>
          <w:szCs w:val="21"/>
          <w:color w:val="0B0B0B"/>
        </w:rPr>
        <w:t>, that in the event that such dividends are paid in the form of shares of Common Stock or rights to acquire Common Stock, the holders of shares of Class F Common Stock shall receive shares of Class F Common Stock or rights to acquire shares of Class F Common Stock, as the case may be, and the holders of shares of Class G Common Stock shall receive shares of Class G Common Stock or rights to acquire shares of Class G Common Stock, as the case may be, and the holders of shares of Class A Common Stock shall receive shares of Class A Common Stock or rights to acquire shares of Class A Common Stock, as the case may be.</w:t>
      </w:r>
    </w:p>
    <w:p>
      <w:pPr>
        <w:spacing w:after="0" w:line="125" w:lineRule="exact"/>
        <w:rPr>
          <w:sz w:val="20"/>
          <w:szCs w:val="20"/>
          <w:color w:val="auto"/>
        </w:rPr>
      </w:pPr>
    </w:p>
    <w:p>
      <w:pPr>
        <w:jc w:val="both"/>
        <w:ind w:firstLine="1304"/>
        <w:spacing w:after="0" w:line="265" w:lineRule="auto"/>
        <w:tabs>
          <w:tab w:leader="none" w:pos="1701" w:val="left"/>
        </w:tabs>
        <w:numPr>
          <w:ilvl w:val="0"/>
          <w:numId w:val="131"/>
        </w:numPr>
        <w:rPr>
          <w:rFonts w:ascii="Arial" w:cs="Arial" w:eastAsia="Arial" w:hAnsi="Arial"/>
          <w:sz w:val="21"/>
          <w:szCs w:val="21"/>
          <w:color w:val="0B0B0B"/>
        </w:rPr>
      </w:pPr>
      <w:r>
        <w:rPr>
          <w:rFonts w:ascii="Arial" w:cs="Arial" w:eastAsia="Arial" w:hAnsi="Arial"/>
          <w:sz w:val="21"/>
          <w:szCs w:val="21"/>
          <w:u w:val="single" w:color="auto"/>
          <w:color w:val="0B0B0B"/>
        </w:rPr>
        <w:t>Liquidation Rights</w:t>
      </w:r>
      <w:r>
        <w:rPr>
          <w:rFonts w:ascii="Arial" w:cs="Arial" w:eastAsia="Arial" w:hAnsi="Arial"/>
          <w:sz w:val="21"/>
          <w:szCs w:val="21"/>
          <w:color w:val="0B0B0B"/>
        </w:rPr>
        <w:t xml:space="preserve">. In the event of any voluntary or involuntary liquidation, dissolution or winding up of the Corporation or Deemed Liquidation Event (as defined below), the funds and assets available for distribution to the holders of shares of Class A Common Stock, Class F, Common Stock and Class G Common Stock shall be distributed among such holders as provided in </w:t>
      </w:r>
      <w:r>
        <w:rPr>
          <w:rFonts w:ascii="Arial" w:cs="Arial" w:eastAsia="Arial" w:hAnsi="Arial"/>
          <w:sz w:val="21"/>
          <w:szCs w:val="21"/>
          <w:u w:val="single" w:color="auto"/>
          <w:color w:val="0B0B0B"/>
        </w:rPr>
        <w:t>Subsection 2.2</w:t>
      </w:r>
      <w:r>
        <w:rPr>
          <w:rFonts w:ascii="Arial" w:cs="Arial" w:eastAsia="Arial" w:hAnsi="Arial"/>
          <w:sz w:val="21"/>
          <w:szCs w:val="21"/>
          <w:color w:val="0B0B0B"/>
        </w:rPr>
        <w:t xml:space="preserve"> of Part B of this Article IV, as the case may be.</w:t>
      </w:r>
    </w:p>
    <w:p>
      <w:pPr>
        <w:spacing w:after="0" w:line="121"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0B0B0B"/>
        </w:rPr>
        <w:t>4</w:t>
      </w:r>
      <w:r>
        <w:rPr>
          <w:rFonts w:ascii="Arial" w:cs="Arial" w:eastAsia="Arial" w:hAnsi="Arial"/>
          <w:sz w:val="19"/>
          <w:szCs w:val="19"/>
          <w:color w:val="313131"/>
        </w:rPr>
        <w:t>.</w:t>
      </w:r>
      <w:r>
        <w:rPr>
          <w:rFonts w:ascii="Arial" w:cs="Arial" w:eastAsia="Arial" w:hAnsi="Arial"/>
          <w:sz w:val="19"/>
          <w:szCs w:val="19"/>
          <w:color w:val="0B0B0B"/>
        </w:rPr>
        <w:t xml:space="preserve"> </w:t>
      </w:r>
      <w:r>
        <w:rPr>
          <w:rFonts w:ascii="Arial" w:cs="Arial" w:eastAsia="Arial" w:hAnsi="Arial"/>
          <w:sz w:val="19"/>
          <w:szCs w:val="19"/>
          <w:u w:val="single" w:color="auto"/>
          <w:color w:val="0B0B0B"/>
        </w:rPr>
        <w:t>Voting</w:t>
      </w:r>
      <w:r>
        <w:rPr>
          <w:rFonts w:ascii="Arial" w:cs="Arial" w:eastAsia="Arial" w:hAnsi="Arial"/>
          <w:sz w:val="19"/>
          <w:szCs w:val="19"/>
          <w:color w:val="313131"/>
        </w:rPr>
        <w:t>.</w:t>
      </w:r>
      <w:r>
        <w:rPr>
          <w:rFonts w:ascii="Arial" w:cs="Arial" w:eastAsia="Arial" w:hAnsi="Arial"/>
          <w:sz w:val="19"/>
          <w:szCs w:val="19"/>
          <w:color w:val="0B0B0B"/>
        </w:rPr>
        <w:t xml:space="preserve"> Except as otherwise provided herein or by applicable law, the holders of the Class F Common Stock, the holders of Class G Common Stock and the holders of the Class A Common Stock shall at all times vote together as one class on all matters (including the election of directors) submitted to a vote or for the consent of the stockholders of the Corporation. For each share held, as of the applicable date on any matter that is submitted to a vote or for the consent of the stockholders of the Corporation, each holder of shares of (i) Class F Common Stock shall be entitled to ten (10) votes per share held, (ii) Class G Common Stock shall be entitled to zero (0) votes per share held and (iii) Class A Common Stock shall be entitled to one (1) vote per share held. The number of authorized shares of Common Stock may be increased or decreased (but not below the number of shares thereof then outstanding) by (in addition to any vote of the holders of Preferred Stock that may be required by the terms of the Certificate of Incorporation)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196" w:name="page197"/>
    <w:bookmarkEnd w:id="196"/>
    <w:p>
      <w:pPr>
        <w:ind w:firstLine="1304"/>
        <w:spacing w:after="0" w:line="263" w:lineRule="auto"/>
        <w:tabs>
          <w:tab w:leader="none" w:pos="1876"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Election of Directors</w:t>
      </w:r>
      <w:r>
        <w:rPr>
          <w:rFonts w:ascii="Arial" w:cs="Arial" w:eastAsia="Arial" w:hAnsi="Arial"/>
          <w:sz w:val="22"/>
          <w:szCs w:val="22"/>
          <w:color w:val="auto"/>
        </w:rPr>
        <w:t xml:space="preserve">. The holders of Common Stock shall be entitled to elect such directors of the Corporation as set forth in </w:t>
      </w:r>
      <w:r>
        <w:rPr>
          <w:rFonts w:ascii="Arial" w:cs="Arial" w:eastAsia="Arial" w:hAnsi="Arial"/>
          <w:sz w:val="22"/>
          <w:szCs w:val="22"/>
          <w:u w:val="single" w:color="auto"/>
          <w:color w:val="auto"/>
        </w:rPr>
        <w:t>Subsection 3.2</w:t>
      </w:r>
      <w:r>
        <w:rPr>
          <w:rFonts w:ascii="Arial" w:cs="Arial" w:eastAsia="Arial" w:hAnsi="Arial"/>
          <w:sz w:val="22"/>
          <w:szCs w:val="22"/>
          <w:color w:val="auto"/>
        </w:rPr>
        <w:t xml:space="preserve"> of Part B of this Article IV.</w:t>
      </w:r>
    </w:p>
    <w:p>
      <w:pPr>
        <w:spacing w:after="0" w:line="120" w:lineRule="exact"/>
        <w:rPr>
          <w:rFonts w:ascii="Arial" w:cs="Arial" w:eastAsia="Arial" w:hAnsi="Arial"/>
          <w:sz w:val="22"/>
          <w:szCs w:val="22"/>
          <w:color w:val="auto"/>
        </w:rPr>
      </w:pPr>
    </w:p>
    <w:p>
      <w:pPr>
        <w:ind w:left="1680" w:hanging="376"/>
        <w:spacing w:after="0"/>
        <w:tabs>
          <w:tab w:leader="none" w:pos="1680" w:val="left"/>
        </w:tabs>
        <w:numPr>
          <w:ilvl w:val="0"/>
          <w:numId w:val="132"/>
        </w:numPr>
        <w:rPr>
          <w:rFonts w:ascii="Arial" w:cs="Arial" w:eastAsia="Arial" w:hAnsi="Arial"/>
          <w:sz w:val="22"/>
          <w:szCs w:val="22"/>
          <w:color w:val="0B0B0B"/>
        </w:rPr>
      </w:pPr>
      <w:r>
        <w:rPr>
          <w:rFonts w:ascii="Arial" w:cs="Arial" w:eastAsia="Arial" w:hAnsi="Arial"/>
          <w:sz w:val="22"/>
          <w:szCs w:val="22"/>
          <w:u w:val="single" w:color="auto"/>
          <w:color w:val="0B0B0B"/>
        </w:rPr>
        <w:t>Conversion</w:t>
      </w:r>
      <w:r>
        <w:rPr>
          <w:rFonts w:ascii="Arial" w:cs="Arial" w:eastAsia="Arial" w:hAnsi="Arial"/>
          <w:sz w:val="22"/>
          <w:szCs w:val="22"/>
          <w:color w:val="0B0B0B"/>
        </w:rPr>
        <w:t>.</w:t>
      </w:r>
    </w:p>
    <w:p>
      <w:pPr>
        <w:spacing w:after="0" w:line="166" w:lineRule="exact"/>
        <w:rPr>
          <w:sz w:val="20"/>
          <w:szCs w:val="20"/>
          <w:color w:val="auto"/>
        </w:rPr>
      </w:pPr>
    </w:p>
    <w:p>
      <w:pPr>
        <w:ind w:firstLine="1944"/>
        <w:spacing w:after="0" w:line="263" w:lineRule="auto"/>
        <w:rPr>
          <w:sz w:val="20"/>
          <w:szCs w:val="20"/>
          <w:color w:val="auto"/>
        </w:rPr>
      </w:pPr>
      <w:r>
        <w:rPr>
          <w:rFonts w:ascii="Arial" w:cs="Arial" w:eastAsia="Arial" w:hAnsi="Arial"/>
          <w:sz w:val="22"/>
          <w:szCs w:val="22"/>
          <w:color w:val="0B0B0B"/>
        </w:rPr>
        <w:t xml:space="preserve">6.1 </w:t>
      </w:r>
      <w:r>
        <w:rPr>
          <w:rFonts w:ascii="Arial" w:cs="Arial" w:eastAsia="Arial" w:hAnsi="Arial"/>
          <w:sz w:val="22"/>
          <w:szCs w:val="22"/>
          <w:u w:val="single" w:color="auto"/>
          <w:color w:val="0B0B0B"/>
        </w:rPr>
        <w:t>Certain Definitions</w:t>
      </w:r>
      <w:r>
        <w:rPr>
          <w:rFonts w:ascii="Arial" w:cs="Arial" w:eastAsia="Arial" w:hAnsi="Arial"/>
          <w:sz w:val="22"/>
          <w:szCs w:val="22"/>
          <w:color w:val="313131"/>
        </w:rPr>
        <w:t>.</w:t>
      </w:r>
      <w:r>
        <w:rPr>
          <w:rFonts w:ascii="Arial" w:cs="Arial" w:eastAsia="Arial" w:hAnsi="Arial"/>
          <w:sz w:val="22"/>
          <w:szCs w:val="22"/>
          <w:color w:val="0B0B0B"/>
        </w:rPr>
        <w:t xml:space="preserve"> As used in this </w:t>
      </w:r>
      <w:r>
        <w:rPr>
          <w:rFonts w:ascii="Arial" w:cs="Arial" w:eastAsia="Arial" w:hAnsi="Arial"/>
          <w:sz w:val="22"/>
          <w:szCs w:val="22"/>
          <w:u w:val="single" w:color="auto"/>
          <w:color w:val="0B0B0B"/>
        </w:rPr>
        <w:t>Subsection 6.1</w:t>
      </w:r>
      <w:r>
        <w:rPr>
          <w:rFonts w:ascii="Arial" w:cs="Arial" w:eastAsia="Arial" w:hAnsi="Arial"/>
          <w:sz w:val="22"/>
          <w:szCs w:val="22"/>
          <w:color w:val="0B0B0B"/>
        </w:rPr>
        <w:t>, the following terms shall have the meanings ascribed to them below.</w:t>
      </w:r>
    </w:p>
    <w:p>
      <w:pPr>
        <w:spacing w:after="0" w:line="115" w:lineRule="exact"/>
        <w:rPr>
          <w:sz w:val="20"/>
          <w:szCs w:val="20"/>
          <w:color w:val="auto"/>
        </w:rPr>
      </w:pPr>
    </w:p>
    <w:p>
      <w:pPr>
        <w:ind w:right="20" w:firstLine="2600"/>
        <w:spacing w:after="0" w:line="269" w:lineRule="auto"/>
        <w:tabs>
          <w:tab w:leader="none" w:pos="3075" w:val="left"/>
        </w:tabs>
        <w:numPr>
          <w:ilvl w:val="0"/>
          <w:numId w:val="133"/>
        </w:numPr>
        <w:rPr>
          <w:rFonts w:ascii="Arial" w:cs="Arial" w:eastAsia="Arial" w:hAnsi="Arial"/>
          <w:sz w:val="22"/>
          <w:szCs w:val="22"/>
          <w:color w:val="0B0B0B"/>
        </w:rPr>
      </w:pPr>
      <w:r>
        <w:rPr>
          <w:rFonts w:ascii="Arial" w:cs="Arial" w:eastAsia="Arial" w:hAnsi="Arial"/>
          <w:sz w:val="22"/>
          <w:szCs w:val="22"/>
          <w:color w:val="0B0B0B"/>
        </w:rPr>
        <w:t>“</w:t>
      </w:r>
      <w:r>
        <w:rPr>
          <w:rFonts w:ascii="Arial" w:cs="Arial" w:eastAsia="Arial" w:hAnsi="Arial"/>
          <w:sz w:val="22"/>
          <w:szCs w:val="22"/>
          <w:b w:val="1"/>
          <w:bCs w:val="1"/>
          <w:color w:val="0B0B0B"/>
        </w:rPr>
        <w:t>Class F/G Stockholder</w:t>
      </w:r>
      <w:r>
        <w:rPr>
          <w:rFonts w:ascii="Arial" w:cs="Arial" w:eastAsia="Arial" w:hAnsi="Arial"/>
          <w:sz w:val="22"/>
          <w:szCs w:val="22"/>
          <w:color w:val="0B0B0B"/>
        </w:rPr>
        <w:t>” shall mean any individual that is issued Class F Common Stock or Class G Common Stock by the Corporation.</w:t>
      </w:r>
    </w:p>
    <w:p>
      <w:pPr>
        <w:spacing w:after="0" w:line="107" w:lineRule="exact"/>
        <w:rPr>
          <w:rFonts w:ascii="Arial" w:cs="Arial" w:eastAsia="Arial" w:hAnsi="Arial"/>
          <w:sz w:val="22"/>
          <w:szCs w:val="22"/>
          <w:color w:val="0B0B0B"/>
        </w:rPr>
      </w:pPr>
    </w:p>
    <w:p>
      <w:pPr>
        <w:jc w:val="both"/>
        <w:ind w:firstLine="2600"/>
        <w:spacing w:after="0" w:line="256" w:lineRule="auto"/>
        <w:tabs>
          <w:tab w:leader="none" w:pos="3060" w:val="left"/>
        </w:tabs>
        <w:numPr>
          <w:ilvl w:val="0"/>
          <w:numId w:val="133"/>
        </w:numPr>
        <w:rPr>
          <w:rFonts w:ascii="Arial" w:cs="Arial" w:eastAsia="Arial" w:hAnsi="Arial"/>
          <w:sz w:val="22"/>
          <w:szCs w:val="22"/>
          <w:color w:val="0B0B0B"/>
        </w:rPr>
      </w:pPr>
      <w:r>
        <w:rPr>
          <w:rFonts w:ascii="Arial" w:cs="Arial" w:eastAsia="Arial" w:hAnsi="Arial"/>
          <w:sz w:val="22"/>
          <w:szCs w:val="22"/>
          <w:color w:val="0B0B0B"/>
        </w:rPr>
        <w:t>“</w:t>
      </w:r>
      <w:r>
        <w:rPr>
          <w:rFonts w:ascii="Arial" w:cs="Arial" w:eastAsia="Arial" w:hAnsi="Arial"/>
          <w:sz w:val="22"/>
          <w:szCs w:val="22"/>
          <w:b w:val="1"/>
          <w:bCs w:val="1"/>
          <w:color w:val="0B0B0B"/>
        </w:rPr>
        <w:t>Permitted Entity</w:t>
      </w:r>
      <w:r>
        <w:rPr>
          <w:rFonts w:ascii="Arial" w:cs="Arial" w:eastAsia="Arial" w:hAnsi="Arial"/>
          <w:sz w:val="22"/>
          <w:szCs w:val="22"/>
          <w:color w:val="0B0B0B"/>
        </w:rPr>
        <w:t xml:space="preserve">” shall mean, with respect to any Class F/G Stockholder, any trust, account, plan, corporation, partnership or limited liability company specified in </w:t>
      </w:r>
      <w:r>
        <w:rPr>
          <w:rFonts w:ascii="Arial" w:cs="Arial" w:eastAsia="Arial" w:hAnsi="Arial"/>
          <w:sz w:val="22"/>
          <w:szCs w:val="22"/>
          <w:u w:val="single" w:color="auto"/>
          <w:color w:val="0B0B0B"/>
        </w:rPr>
        <w:t>Subsection 7.3</w:t>
      </w:r>
      <w:r>
        <w:rPr>
          <w:rFonts w:ascii="Arial" w:cs="Arial" w:eastAsia="Arial" w:hAnsi="Arial"/>
          <w:sz w:val="22"/>
          <w:szCs w:val="22"/>
          <w:color w:val="0B0B0B"/>
        </w:rPr>
        <w:t xml:space="preserve">, established by or for such Class F/G Stockholder, so long as such entity meets the requirements set forth in </w:t>
      </w:r>
      <w:r>
        <w:rPr>
          <w:rFonts w:ascii="Arial" w:cs="Arial" w:eastAsia="Arial" w:hAnsi="Arial"/>
          <w:sz w:val="22"/>
          <w:szCs w:val="22"/>
          <w:u w:val="single" w:color="auto"/>
          <w:color w:val="0B0B0B"/>
        </w:rPr>
        <w:t>Subsection 7.3</w:t>
      </w:r>
      <w:r>
        <w:rPr>
          <w:rFonts w:ascii="Arial" w:cs="Arial" w:eastAsia="Arial" w:hAnsi="Arial"/>
          <w:sz w:val="22"/>
          <w:szCs w:val="22"/>
          <w:color w:val="0B0B0B"/>
        </w:rPr>
        <w:t>.</w:t>
      </w:r>
    </w:p>
    <w:p>
      <w:pPr>
        <w:spacing w:after="0" w:line="122" w:lineRule="exact"/>
        <w:rPr>
          <w:rFonts w:ascii="Arial" w:cs="Arial" w:eastAsia="Arial" w:hAnsi="Arial"/>
          <w:sz w:val="22"/>
          <w:szCs w:val="22"/>
          <w:color w:val="0B0B0B"/>
        </w:rPr>
      </w:pPr>
    </w:p>
    <w:p>
      <w:pPr>
        <w:jc w:val="both"/>
        <w:ind w:firstLine="2600"/>
        <w:spacing w:after="0" w:line="315" w:lineRule="auto"/>
        <w:tabs>
          <w:tab w:leader="none" w:pos="3048" w:val="left"/>
        </w:tabs>
        <w:numPr>
          <w:ilvl w:val="0"/>
          <w:numId w:val="133"/>
        </w:numPr>
        <w:rPr>
          <w:rFonts w:ascii="Arial" w:cs="Arial" w:eastAsia="Arial" w:hAnsi="Arial"/>
          <w:sz w:val="19"/>
          <w:szCs w:val="19"/>
          <w:color w:val="0B0B0B"/>
        </w:rPr>
      </w:pPr>
      <w:r>
        <w:rPr>
          <w:rFonts w:ascii="Arial" w:cs="Arial" w:eastAsia="Arial" w:hAnsi="Arial"/>
          <w:sz w:val="19"/>
          <w:szCs w:val="19"/>
          <w:color w:val="0B0B0B"/>
        </w:rPr>
        <w:t>“</w:t>
      </w:r>
      <w:r>
        <w:rPr>
          <w:rFonts w:ascii="Arial" w:cs="Arial" w:eastAsia="Arial" w:hAnsi="Arial"/>
          <w:sz w:val="19"/>
          <w:szCs w:val="19"/>
          <w:b w:val="1"/>
          <w:bCs w:val="1"/>
          <w:color w:val="0B0B0B"/>
        </w:rPr>
        <w:t>Transfer</w:t>
      </w:r>
      <w:r>
        <w:rPr>
          <w:rFonts w:ascii="Arial" w:cs="Arial" w:eastAsia="Arial" w:hAnsi="Arial"/>
          <w:sz w:val="19"/>
          <w:szCs w:val="19"/>
          <w:color w:val="0B0B0B"/>
        </w:rPr>
        <w:t>” shall mean, with respect to a share of Class F Common Stock or Class G Common Stock, any sale, assignment, transfer, conveyance, hypothecation or other transfer or disposition of such share or any legal or beneficial interest in such share, whether or not for value and whether voluntary or involuntary or by operation of law.</w:t>
      </w:r>
    </w:p>
    <w:p>
      <w:pPr>
        <w:spacing w:after="0" w:line="71" w:lineRule="exact"/>
        <w:rPr>
          <w:rFonts w:ascii="Arial" w:cs="Arial" w:eastAsia="Arial" w:hAnsi="Arial"/>
          <w:sz w:val="19"/>
          <w:szCs w:val="19"/>
          <w:color w:val="0B0B0B"/>
        </w:rPr>
      </w:pPr>
    </w:p>
    <w:p>
      <w:pPr>
        <w:jc w:val="both"/>
        <w:ind w:right="20" w:firstLine="2600"/>
        <w:spacing w:after="0" w:line="256" w:lineRule="auto"/>
        <w:tabs>
          <w:tab w:leader="none" w:pos="3114" w:val="left"/>
        </w:tabs>
        <w:numPr>
          <w:ilvl w:val="0"/>
          <w:numId w:val="133"/>
        </w:numPr>
        <w:rPr>
          <w:rFonts w:ascii="Arial" w:cs="Arial" w:eastAsia="Arial" w:hAnsi="Arial"/>
          <w:sz w:val="22"/>
          <w:szCs w:val="22"/>
          <w:color w:val="0B0B0B"/>
        </w:rPr>
      </w:pPr>
      <w:r>
        <w:rPr>
          <w:rFonts w:ascii="Arial" w:cs="Arial" w:eastAsia="Arial" w:hAnsi="Arial"/>
          <w:sz w:val="22"/>
          <w:szCs w:val="22"/>
          <w:color w:val="0B0B0B"/>
        </w:rPr>
        <w:t>“</w:t>
      </w:r>
      <w:r>
        <w:rPr>
          <w:rFonts w:ascii="Arial" w:cs="Arial" w:eastAsia="Arial" w:hAnsi="Arial"/>
          <w:sz w:val="22"/>
          <w:szCs w:val="22"/>
          <w:b w:val="1"/>
          <w:bCs w:val="1"/>
          <w:color w:val="0B0B0B"/>
        </w:rPr>
        <w:t>Voting Control</w:t>
      </w:r>
      <w:r>
        <w:rPr>
          <w:rFonts w:ascii="Arial" w:cs="Arial" w:eastAsia="Arial" w:hAnsi="Arial"/>
          <w:sz w:val="22"/>
          <w:szCs w:val="22"/>
          <w:color w:val="0B0B0B"/>
        </w:rPr>
        <w:t>” shall mean, with respect to a share of Class F Common Stock or Class G Common Stock, the power (whether exclusive or shared) to vote or direct the voting of such share of Class F Common Stock or Class G Common Stock by proxy, voting agreement or otherwise.</w:t>
      </w:r>
    </w:p>
    <w:p>
      <w:pPr>
        <w:spacing w:after="0" w:line="128" w:lineRule="exact"/>
        <w:rPr>
          <w:sz w:val="20"/>
          <w:szCs w:val="20"/>
          <w:color w:val="auto"/>
        </w:rPr>
      </w:pPr>
    </w:p>
    <w:p>
      <w:pPr>
        <w:jc w:val="both"/>
        <w:ind w:firstLine="1944"/>
        <w:spacing w:after="0" w:line="253" w:lineRule="auto"/>
        <w:rPr>
          <w:sz w:val="20"/>
          <w:szCs w:val="20"/>
          <w:color w:val="auto"/>
        </w:rPr>
      </w:pPr>
      <w:r>
        <w:rPr>
          <w:rFonts w:ascii="Arial" w:cs="Arial" w:eastAsia="Arial" w:hAnsi="Arial"/>
          <w:sz w:val="22"/>
          <w:szCs w:val="22"/>
          <w:color w:val="0B0B0B"/>
        </w:rPr>
        <w:t>6</w:t>
      </w:r>
      <w:r>
        <w:rPr>
          <w:rFonts w:ascii="Arial" w:cs="Arial" w:eastAsia="Arial" w:hAnsi="Arial"/>
          <w:sz w:val="22"/>
          <w:szCs w:val="22"/>
          <w:color w:val="212121"/>
        </w:rPr>
        <w:t>.</w:t>
      </w:r>
      <w:r>
        <w:rPr>
          <w:rFonts w:ascii="Arial" w:cs="Arial" w:eastAsia="Arial" w:hAnsi="Arial"/>
          <w:sz w:val="22"/>
          <w:szCs w:val="22"/>
          <w:color w:val="0B0B0B"/>
        </w:rPr>
        <w:t xml:space="preserve">2 </w:t>
      </w:r>
      <w:r>
        <w:rPr>
          <w:rFonts w:ascii="Arial" w:cs="Arial" w:eastAsia="Arial" w:hAnsi="Arial"/>
          <w:sz w:val="22"/>
          <w:szCs w:val="22"/>
          <w:u w:val="single" w:color="auto"/>
          <w:color w:val="0B0B0B"/>
        </w:rPr>
        <w:t>Optional Conversion</w:t>
      </w:r>
      <w:r>
        <w:rPr>
          <w:rFonts w:ascii="Arial" w:cs="Arial" w:eastAsia="Arial" w:hAnsi="Arial"/>
          <w:sz w:val="22"/>
          <w:szCs w:val="22"/>
          <w:color w:val="0B0B0B"/>
        </w:rPr>
        <w:t>. Each share of Class F Common Stock shall be convertible into one (1) fully paid and nonassessable share of Class A Common Stock at the option of the holder thereof at any time upon written notice to the transfer agent of the Corporation.</w:t>
      </w:r>
    </w:p>
    <w:p>
      <w:pPr>
        <w:spacing w:after="0" w:line="131" w:lineRule="exact"/>
        <w:rPr>
          <w:sz w:val="20"/>
          <w:szCs w:val="20"/>
          <w:color w:val="auto"/>
        </w:rPr>
      </w:pPr>
    </w:p>
    <w:p>
      <w:pPr>
        <w:jc w:val="both"/>
        <w:ind w:firstLine="1944"/>
        <w:spacing w:after="0" w:line="292" w:lineRule="auto"/>
        <w:rPr>
          <w:sz w:val="20"/>
          <w:szCs w:val="20"/>
          <w:color w:val="auto"/>
        </w:rPr>
      </w:pPr>
      <w:r>
        <w:rPr>
          <w:rFonts w:ascii="Arial" w:cs="Arial" w:eastAsia="Arial" w:hAnsi="Arial"/>
          <w:sz w:val="19"/>
          <w:szCs w:val="19"/>
          <w:color w:val="0B0B0B"/>
        </w:rPr>
        <w:t xml:space="preserve">6.3 </w:t>
      </w:r>
      <w:r>
        <w:rPr>
          <w:rFonts w:ascii="Arial" w:cs="Arial" w:eastAsia="Arial" w:hAnsi="Arial"/>
          <w:sz w:val="19"/>
          <w:szCs w:val="19"/>
          <w:u w:val="single" w:color="auto"/>
          <w:color w:val="0B0B0B"/>
        </w:rPr>
        <w:t>Automatic Conversion upon Transfer</w:t>
      </w:r>
      <w:r>
        <w:rPr>
          <w:rFonts w:ascii="Arial" w:cs="Arial" w:eastAsia="Arial" w:hAnsi="Arial"/>
          <w:sz w:val="19"/>
          <w:szCs w:val="19"/>
          <w:color w:val="0B0B0B"/>
        </w:rPr>
        <w:t xml:space="preserve">. Each share of Class F Common Stock and Class G Common Stock shall automatically, without any further action, convert into one (1) fully paid and nonassessable share of Class A Common Stock upon the Transfer of such share; </w:t>
      </w:r>
      <w:r>
        <w:rPr>
          <w:rFonts w:ascii="Arial" w:cs="Arial" w:eastAsia="Arial" w:hAnsi="Arial"/>
          <w:sz w:val="19"/>
          <w:szCs w:val="19"/>
          <w:u w:val="single" w:color="auto"/>
          <w:color w:val="0B0B0B"/>
        </w:rPr>
        <w:t>provided</w:t>
      </w:r>
      <w:r>
        <w:rPr>
          <w:rFonts w:ascii="Arial" w:cs="Arial" w:eastAsia="Arial" w:hAnsi="Arial"/>
          <w:sz w:val="19"/>
          <w:szCs w:val="19"/>
          <w:color w:val="0B0B0B"/>
        </w:rPr>
        <w:t xml:space="preserve">, </w:t>
      </w:r>
      <w:r>
        <w:rPr>
          <w:rFonts w:ascii="Arial" w:cs="Arial" w:eastAsia="Arial" w:hAnsi="Arial"/>
          <w:sz w:val="19"/>
          <w:szCs w:val="19"/>
          <w:u w:val="single" w:color="auto"/>
          <w:color w:val="0B0B0B"/>
        </w:rPr>
        <w:t>however</w:t>
      </w:r>
      <w:r>
        <w:rPr>
          <w:rFonts w:ascii="Arial" w:cs="Arial" w:eastAsia="Arial" w:hAnsi="Arial"/>
          <w:sz w:val="19"/>
          <w:szCs w:val="19"/>
          <w:color w:val="0B0B0B"/>
        </w:rPr>
        <w:t>, that a Transfer of Class F Common Stock by a Class F/G Stockholder or such Class F/G Stockholder’s Permitted Entities to another Class F/G Stockholder or such Class F/G Stockholder’s Permitted Entities shall not trigger such automatic conversion; provided further, however, that a Transfer by a Class F/G Stockholder to any of the following Permitted Entities, and from any of the following Permitted Entities back to such Class F/G Stockholder and/or any other Permitted Entity by or for such Class F/G Stockholder, shall not trigger such automatic conversion:</w:t>
      </w:r>
    </w:p>
    <w:p>
      <w:pPr>
        <w:spacing w:after="0" w:line="97" w:lineRule="exact"/>
        <w:rPr>
          <w:sz w:val="20"/>
          <w:szCs w:val="20"/>
          <w:color w:val="auto"/>
        </w:rPr>
      </w:pPr>
    </w:p>
    <w:p>
      <w:pPr>
        <w:jc w:val="both"/>
        <w:ind w:firstLine="2600"/>
        <w:spacing w:after="0" w:line="302" w:lineRule="auto"/>
        <w:tabs>
          <w:tab w:leader="none" w:pos="3112" w:val="left"/>
        </w:tabs>
        <w:numPr>
          <w:ilvl w:val="0"/>
          <w:numId w:val="134"/>
        </w:numPr>
        <w:rPr>
          <w:rFonts w:ascii="Arial" w:cs="Arial" w:eastAsia="Arial" w:hAnsi="Arial"/>
          <w:sz w:val="19"/>
          <w:szCs w:val="19"/>
          <w:color w:val="0B0B0B"/>
        </w:rPr>
      </w:pPr>
      <w:r>
        <w:rPr>
          <w:rFonts w:ascii="Arial" w:cs="Arial" w:eastAsia="Arial" w:hAnsi="Arial"/>
          <w:sz w:val="19"/>
          <w:szCs w:val="19"/>
          <w:color w:val="0B0B0B"/>
        </w:rPr>
        <w:t>a trust for the benefit of such Class F/G Stockholder and for the benefit of no other person, provided such Transfer does not involve any payment of cash, securities, property or other consideration (other than an interest in such trust) to the Class F/G Stockholder and, provided, further, that in the event such Class F/G Stockholder is no longer the exclusive beneficiary of such trust, each share of Class F Common Stock or Class G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197" w:name="page198"/>
    <w:bookmarkEnd w:id="197"/>
    <w:p>
      <w:pPr>
        <w:spacing w:after="0" w:line="263" w:lineRule="auto"/>
        <w:rPr>
          <w:sz w:val="20"/>
          <w:szCs w:val="20"/>
          <w:color w:val="auto"/>
        </w:rPr>
      </w:pPr>
      <w:r>
        <w:rPr>
          <w:rFonts w:ascii="Arial" w:cs="Arial" w:eastAsia="Arial" w:hAnsi="Arial"/>
          <w:sz w:val="22"/>
          <w:szCs w:val="22"/>
          <w:color w:val="0B0B0B"/>
        </w:rPr>
        <w:t>Stock then held by such trust shall automatically convert into one (1) fully paid and nonassessable share of Class A Common Stock;</w:t>
      </w:r>
    </w:p>
    <w:p>
      <w:pPr>
        <w:spacing w:after="0" w:line="121" w:lineRule="exact"/>
        <w:rPr>
          <w:sz w:val="20"/>
          <w:szCs w:val="20"/>
          <w:color w:val="auto"/>
        </w:rPr>
      </w:pPr>
    </w:p>
    <w:p>
      <w:pPr>
        <w:jc w:val="both"/>
        <w:ind w:firstLine="2600"/>
        <w:spacing w:after="0" w:line="292" w:lineRule="auto"/>
        <w:tabs>
          <w:tab w:leader="none" w:pos="3060" w:val="left"/>
        </w:tabs>
        <w:numPr>
          <w:ilvl w:val="0"/>
          <w:numId w:val="135"/>
        </w:numPr>
        <w:rPr>
          <w:rFonts w:ascii="Arial" w:cs="Arial" w:eastAsia="Arial" w:hAnsi="Arial"/>
          <w:sz w:val="19"/>
          <w:szCs w:val="19"/>
          <w:color w:val="0B0B0B"/>
        </w:rPr>
      </w:pPr>
      <w:r>
        <w:rPr>
          <w:rFonts w:ascii="Arial" w:cs="Arial" w:eastAsia="Arial" w:hAnsi="Arial"/>
          <w:sz w:val="19"/>
          <w:szCs w:val="19"/>
          <w:color w:val="0B0B0B"/>
        </w:rPr>
        <w:t>a trust for the benefit of persons other than the Class F/G Stockholder so long as the Class F/G Stockholder has sole dispositive power and exclusive Voting Control with respect to the shares of Class F Common Stock or Class G Common Stock held by such trust, provided such Transfer does not involve any payment of cash, securities, property or other consideration (other than an interest in such trust) to the Class F/G Stockholder, and, provided, further, that in the event the Class F/G Stockholder no longer has sole dispositive power and exclusive Voting Control with respect to the shares of Class F Common Stock or Class G Common Stock held by such trust, each share of Class F Common Stock or Class G Common Stock then held by such trust shall automatically convert into one (1) fully paid and nonassessable share of Class A Common Stock;</w:t>
      </w:r>
    </w:p>
    <w:p>
      <w:pPr>
        <w:spacing w:after="0" w:line="96" w:lineRule="exact"/>
        <w:rPr>
          <w:rFonts w:ascii="Arial" w:cs="Arial" w:eastAsia="Arial" w:hAnsi="Arial"/>
          <w:sz w:val="19"/>
          <w:szCs w:val="19"/>
          <w:color w:val="0B0B0B"/>
        </w:rPr>
      </w:pPr>
    </w:p>
    <w:p>
      <w:pPr>
        <w:jc w:val="both"/>
        <w:ind w:firstLine="2600"/>
        <w:spacing w:after="0" w:line="292" w:lineRule="auto"/>
        <w:tabs>
          <w:tab w:leader="none" w:pos="3053" w:val="left"/>
        </w:tabs>
        <w:numPr>
          <w:ilvl w:val="0"/>
          <w:numId w:val="135"/>
        </w:numPr>
        <w:rPr>
          <w:rFonts w:ascii="Arial" w:cs="Arial" w:eastAsia="Arial" w:hAnsi="Arial"/>
          <w:sz w:val="19"/>
          <w:szCs w:val="19"/>
          <w:color w:val="0B0B0B"/>
        </w:rPr>
      </w:pPr>
      <w:r>
        <w:rPr>
          <w:rFonts w:ascii="Arial" w:cs="Arial" w:eastAsia="Arial" w:hAnsi="Arial"/>
          <w:sz w:val="19"/>
          <w:szCs w:val="19"/>
          <w:color w:val="0B0B0B"/>
        </w:rPr>
        <w:t>a trust under the terms of which such Class F/G Stockholder has retained a “qualified interest” within the meaning of $2702(b)(1) of the Internal Revenue Code (the “</w:t>
      </w:r>
      <w:r>
        <w:rPr>
          <w:rFonts w:ascii="Arial" w:cs="Arial" w:eastAsia="Arial" w:hAnsi="Arial"/>
          <w:sz w:val="19"/>
          <w:szCs w:val="19"/>
          <w:b w:val="1"/>
          <w:bCs w:val="1"/>
          <w:color w:val="0B0B0B"/>
        </w:rPr>
        <w:t>Code</w:t>
      </w:r>
      <w:r>
        <w:rPr>
          <w:rFonts w:ascii="Arial" w:cs="Arial" w:eastAsia="Arial" w:hAnsi="Arial"/>
          <w:sz w:val="19"/>
          <w:szCs w:val="19"/>
          <w:color w:val="0B0B0B"/>
        </w:rPr>
        <w:t xml:space="preserve">”) and/or a reversionary interest so long as the Class F/G Stockholder has sole dispositive power and exclusive Voting Control with respect to the shares of Class F Common Stock or Class G Common Stock held by such trust; </w:t>
      </w:r>
      <w:r>
        <w:rPr>
          <w:rFonts w:ascii="Arial" w:cs="Arial" w:eastAsia="Arial" w:hAnsi="Arial"/>
          <w:sz w:val="19"/>
          <w:szCs w:val="19"/>
          <w:u w:val="single" w:color="auto"/>
          <w:color w:val="0B0B0B"/>
        </w:rPr>
        <w:t>provided</w:t>
      </w:r>
      <w:r>
        <w:rPr>
          <w:rFonts w:ascii="Arial" w:cs="Arial" w:eastAsia="Arial" w:hAnsi="Arial"/>
          <w:sz w:val="19"/>
          <w:szCs w:val="19"/>
          <w:color w:val="0B0B0B"/>
        </w:rPr>
        <w:t xml:space="preserve">, </w:t>
      </w:r>
      <w:r>
        <w:rPr>
          <w:rFonts w:ascii="Arial" w:cs="Arial" w:eastAsia="Arial" w:hAnsi="Arial"/>
          <w:sz w:val="19"/>
          <w:szCs w:val="19"/>
          <w:u w:val="single" w:color="auto"/>
          <w:color w:val="0B0B0B"/>
        </w:rPr>
        <w:t>however</w:t>
      </w:r>
      <w:r>
        <w:rPr>
          <w:rFonts w:ascii="Arial" w:cs="Arial" w:eastAsia="Arial" w:hAnsi="Arial"/>
          <w:sz w:val="19"/>
          <w:szCs w:val="19"/>
          <w:color w:val="0B0B0B"/>
        </w:rPr>
        <w:t>, that in the event the Class F/G Stockholder no longer has sole dispositive power and exclusive Voting Control with respect to the shares of Class F Common Stock or Class G Common Stock held by such trust, each share of Class F Common Stock or Class G Common Stock then held by such trust shall automatically convert into one (1) fully paid and nonassessable share of Class A Common Stock;</w:t>
      </w:r>
    </w:p>
    <w:p>
      <w:pPr>
        <w:spacing w:after="0" w:line="96" w:lineRule="exact"/>
        <w:rPr>
          <w:rFonts w:ascii="Arial" w:cs="Arial" w:eastAsia="Arial" w:hAnsi="Arial"/>
          <w:sz w:val="19"/>
          <w:szCs w:val="19"/>
          <w:color w:val="0B0B0B"/>
        </w:rPr>
      </w:pPr>
    </w:p>
    <w:p>
      <w:pPr>
        <w:jc w:val="both"/>
        <w:ind w:firstLine="2600"/>
        <w:spacing w:after="0" w:line="290" w:lineRule="auto"/>
        <w:tabs>
          <w:tab w:leader="none" w:pos="3150" w:val="left"/>
        </w:tabs>
        <w:numPr>
          <w:ilvl w:val="0"/>
          <w:numId w:val="135"/>
        </w:numPr>
        <w:rPr>
          <w:rFonts w:ascii="Arial" w:cs="Arial" w:eastAsia="Arial" w:hAnsi="Arial"/>
          <w:sz w:val="19"/>
          <w:szCs w:val="19"/>
          <w:color w:val="0B0B0B"/>
        </w:rPr>
      </w:pPr>
      <w:r>
        <w:rPr>
          <w:rFonts w:ascii="Arial" w:cs="Arial" w:eastAsia="Arial" w:hAnsi="Arial"/>
          <w:sz w:val="19"/>
          <w:szCs w:val="19"/>
          <w:color w:val="0B0B0B"/>
        </w:rPr>
        <w:t>an Individual Retirement Account, as defined in Section 408(a) of the Code, or a pension, profit sharing, stock bonus or other type of plan or trust of which such Class F/G Stockholder is a participant or beneficiary and which satisfies the requirements for qualification under Section 401 of the Code; provided that in each case such Class F/G Stockholder has sole dispositive power and exclusive Voting Control with respect to the shares of Class F Common Stock or Class G Common Stock held in such account, plan or trust, and provided, further, that in the event the Class F/G Stockholder no longer has sole dispositive power and exclusive Voting Control with respect to the shares of Class F Common Stock or Class G Common Stock held by such account, plan or trust, each share of Class F Common Stock or Class G Common Stock then held by such trust shall automatically convert into one (1) fully paid and nonassessable share of Class A Common Stock;</w:t>
      </w:r>
    </w:p>
    <w:p>
      <w:pPr>
        <w:spacing w:after="0" w:line="101" w:lineRule="exact"/>
        <w:rPr>
          <w:rFonts w:ascii="Arial" w:cs="Arial" w:eastAsia="Arial" w:hAnsi="Arial"/>
          <w:sz w:val="19"/>
          <w:szCs w:val="19"/>
          <w:color w:val="0B0B0B"/>
        </w:rPr>
      </w:pPr>
    </w:p>
    <w:p>
      <w:pPr>
        <w:jc w:val="both"/>
        <w:ind w:firstLine="2600"/>
        <w:spacing w:after="0" w:line="292" w:lineRule="auto"/>
        <w:tabs>
          <w:tab w:leader="none" w:pos="3066" w:val="left"/>
        </w:tabs>
        <w:numPr>
          <w:ilvl w:val="0"/>
          <w:numId w:val="135"/>
        </w:numPr>
        <w:rPr>
          <w:rFonts w:ascii="Arial" w:cs="Arial" w:eastAsia="Arial" w:hAnsi="Arial"/>
          <w:sz w:val="19"/>
          <w:szCs w:val="19"/>
          <w:color w:val="0B0B0B"/>
        </w:rPr>
      </w:pPr>
      <w:r>
        <w:rPr>
          <w:rFonts w:ascii="Arial" w:cs="Arial" w:eastAsia="Arial" w:hAnsi="Arial"/>
          <w:sz w:val="19"/>
          <w:szCs w:val="19"/>
          <w:color w:val="0B0B0B"/>
        </w:rPr>
        <w:t>a corporation in which such Class F/G Stockholder directly, or indirectly through one or more Permitted Entities, owns shares with sufficient Voting Control in the corporation, or otherwise has legally enforceable rights, such that the Class F/G Stockholder retains sole dispositive power and exclusive Voting Control with respect to the shares of Class F Common Stock or Class G Common Stock held by such corporation; provided that in the event the Class F/G Stockholder no longer owns sufficient shares or has sufficient legally enforceable rights to enable the Class F/G Stockholder to retain sole dispositive power and exclusive Voting Control with respect to the shares of Class F Common Stock or Class G Common Stock held by such corporation, each share of Class F Common Stock or Class 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198" w:name="page199"/>
    <w:bookmarkEnd w:id="198"/>
    <w:p>
      <w:pPr>
        <w:spacing w:after="0" w:line="263" w:lineRule="auto"/>
        <w:rPr>
          <w:sz w:val="20"/>
          <w:szCs w:val="20"/>
          <w:color w:val="auto"/>
        </w:rPr>
      </w:pPr>
      <w:r>
        <w:rPr>
          <w:rFonts w:ascii="Arial" w:cs="Arial" w:eastAsia="Arial" w:hAnsi="Arial"/>
          <w:sz w:val="22"/>
          <w:szCs w:val="22"/>
          <w:color w:val="0B0B0B"/>
        </w:rPr>
        <w:t>Common Stock then held by such corporation shall automatically convert into one (1) fully paid and nonassessable share of Class A Common Stock;</w:t>
      </w:r>
    </w:p>
    <w:p>
      <w:pPr>
        <w:spacing w:after="0" w:line="121" w:lineRule="exact"/>
        <w:rPr>
          <w:sz w:val="20"/>
          <w:szCs w:val="20"/>
          <w:color w:val="auto"/>
        </w:rPr>
      </w:pPr>
    </w:p>
    <w:p>
      <w:pPr>
        <w:jc w:val="both"/>
        <w:ind w:firstLine="2600"/>
        <w:spacing w:after="0" w:line="245" w:lineRule="auto"/>
        <w:tabs>
          <w:tab w:leader="none" w:pos="3051" w:val="left"/>
        </w:tabs>
        <w:numPr>
          <w:ilvl w:val="0"/>
          <w:numId w:val="136"/>
        </w:numPr>
        <w:rPr>
          <w:rFonts w:ascii="Arial" w:cs="Arial" w:eastAsia="Arial" w:hAnsi="Arial"/>
          <w:sz w:val="22"/>
          <w:szCs w:val="22"/>
          <w:color w:val="0A0A0A"/>
        </w:rPr>
      </w:pPr>
      <w:r>
        <w:rPr>
          <w:rFonts w:ascii="Arial" w:cs="Arial" w:eastAsia="Arial" w:hAnsi="Arial"/>
          <w:sz w:val="22"/>
          <w:szCs w:val="22"/>
          <w:color w:val="0A0A0A"/>
        </w:rPr>
        <w:t>a partnership in which such Class F/G Stockholder directly, or indirectly through one or more Permitted Entities, owns partnership interests with sufficient Voting Control in the partnership, or otherwise has legally enforceable rights, such that the Class F/G Stockholder retains sole dispositive power and exclusive Voting Control with respect to the shares of Class F Common Stock or Class G Common Stock or held by such partnership; provided that in the event the Class F/G Stockholder no longer owns sufficient partnership interests or has sufficient legally enforceable rights to enable the Class F/G Stockholder to retain sole dispositive power and exclusive Voting Control with respect to the shares of Class F Common Stock or Class G Common Stock held by such partnership, each share of Class F Common Stock or Class G Common Stock then held by such partnership shall automatically convert into one (1) fully paid and nonassessable share of Class A Common Stock; or</w:t>
      </w:r>
    </w:p>
    <w:p>
      <w:pPr>
        <w:spacing w:after="0" w:line="146" w:lineRule="exact"/>
        <w:rPr>
          <w:rFonts w:ascii="Arial" w:cs="Arial" w:eastAsia="Arial" w:hAnsi="Arial"/>
          <w:sz w:val="22"/>
          <w:szCs w:val="22"/>
          <w:color w:val="0A0A0A"/>
        </w:rPr>
      </w:pPr>
    </w:p>
    <w:p>
      <w:pPr>
        <w:jc w:val="both"/>
        <w:ind w:firstLine="2600"/>
        <w:spacing w:after="0" w:line="289" w:lineRule="auto"/>
        <w:tabs>
          <w:tab w:leader="none" w:pos="3235" w:val="left"/>
        </w:tabs>
        <w:numPr>
          <w:ilvl w:val="0"/>
          <w:numId w:val="136"/>
        </w:numPr>
        <w:rPr>
          <w:rFonts w:ascii="Arial" w:cs="Arial" w:eastAsia="Arial" w:hAnsi="Arial"/>
          <w:sz w:val="19"/>
          <w:szCs w:val="19"/>
          <w:color w:val="0A0A0A"/>
        </w:rPr>
      </w:pPr>
      <w:r>
        <w:rPr>
          <w:rFonts w:ascii="Arial" w:cs="Arial" w:eastAsia="Arial" w:hAnsi="Arial"/>
          <w:sz w:val="19"/>
          <w:szCs w:val="19"/>
          <w:color w:val="0A0A0A"/>
        </w:rPr>
        <w:t>a limited liability company in which such Class F/G Stockholder directly, or indirectly through one or more Permitted Entities, owns membership interests with sufficient Voting Control in the limited liability company, or otherwise has legally enforceable rights, such that the Class F/G Stockholder retains sole dispositive power and exclusive Voting Control with respect to the shares of Class F Common Stock or Class G Common Stock held by such limited liability company; provided that in the event the Class F/G Stockholder no longer owns sufficient membership interests or has sufficient legally enforceable rights to enable the Class F/G Stockholder to retain sole dispositive power and exclusive Voting Control with respect to the shares of Class F Common Stock or Class G Common Stock held by such limited liability company, each share of Class F Common Stock or Class G Common Stock then held by such limited liability company shall automatically convert into one (1) fully paid and nonassessable share of Class A Common Stock.</w:t>
      </w:r>
    </w:p>
    <w:p>
      <w:pPr>
        <w:spacing w:after="0" w:line="103" w:lineRule="exact"/>
        <w:rPr>
          <w:sz w:val="20"/>
          <w:szCs w:val="20"/>
          <w:color w:val="auto"/>
        </w:rPr>
      </w:pPr>
    </w:p>
    <w:p>
      <w:pPr>
        <w:jc w:val="both"/>
        <w:ind w:firstLine="1944"/>
        <w:spacing w:after="0" w:line="250" w:lineRule="auto"/>
        <w:rPr>
          <w:sz w:val="20"/>
          <w:szCs w:val="20"/>
          <w:color w:val="auto"/>
        </w:rPr>
      </w:pPr>
      <w:r>
        <w:rPr>
          <w:rFonts w:ascii="Arial" w:cs="Arial" w:eastAsia="Arial" w:hAnsi="Arial"/>
          <w:sz w:val="22"/>
          <w:szCs w:val="22"/>
          <w:color w:val="0A0A0A"/>
        </w:rPr>
        <w:t xml:space="preserve">6.4 </w:t>
      </w:r>
      <w:r>
        <w:rPr>
          <w:rFonts w:ascii="Arial" w:cs="Arial" w:eastAsia="Arial" w:hAnsi="Arial"/>
          <w:sz w:val="22"/>
          <w:szCs w:val="22"/>
          <w:u w:val="single" w:color="auto"/>
          <w:color w:val="0A0A0A"/>
        </w:rPr>
        <w:t>Automatic Conversion upon Death of Class F/G Stockholder</w:t>
      </w:r>
      <w:r>
        <w:rPr>
          <w:rFonts w:ascii="Arial" w:cs="Arial" w:eastAsia="Arial" w:hAnsi="Arial"/>
          <w:sz w:val="22"/>
          <w:szCs w:val="22"/>
          <w:color w:val="0A0A0A"/>
        </w:rPr>
        <w:t>. Each share of Class F Common Stock or Class G Common Stock held of record by a Class F/G Stockholder, or by such Class F/G Stockholders Permitted Entities, shall automatically, without any further action, convert into one (1) fully paid and nonassessable share of Class A Common Stock upon the death of such Class F/G Stockholder.</w:t>
      </w:r>
    </w:p>
    <w:p>
      <w:pPr>
        <w:spacing w:after="0" w:line="134" w:lineRule="exact"/>
        <w:rPr>
          <w:sz w:val="20"/>
          <w:szCs w:val="20"/>
          <w:color w:val="auto"/>
        </w:rPr>
      </w:pPr>
    </w:p>
    <w:p>
      <w:pPr>
        <w:jc w:val="both"/>
        <w:ind w:firstLine="1944"/>
        <w:spacing w:after="0" w:line="289" w:lineRule="auto"/>
        <w:rPr>
          <w:sz w:val="20"/>
          <w:szCs w:val="20"/>
          <w:color w:val="auto"/>
        </w:rPr>
      </w:pPr>
      <w:r>
        <w:rPr>
          <w:rFonts w:ascii="Arial" w:cs="Arial" w:eastAsia="Arial" w:hAnsi="Arial"/>
          <w:sz w:val="19"/>
          <w:szCs w:val="19"/>
          <w:color w:val="0A0A0A"/>
        </w:rPr>
        <w:t xml:space="preserve">6.5 </w:t>
      </w:r>
      <w:r>
        <w:rPr>
          <w:rFonts w:ascii="Arial" w:cs="Arial" w:eastAsia="Arial" w:hAnsi="Arial"/>
          <w:sz w:val="19"/>
          <w:szCs w:val="19"/>
          <w:u w:val="single" w:color="auto"/>
          <w:color w:val="0A0A0A"/>
        </w:rPr>
        <w:t>Effect</w:t>
      </w:r>
      <w:r>
        <w:rPr>
          <w:rFonts w:ascii="Arial" w:cs="Arial" w:eastAsia="Arial" w:hAnsi="Arial"/>
          <w:sz w:val="19"/>
          <w:szCs w:val="19"/>
          <w:color w:val="0A0A0A"/>
        </w:rPr>
        <w:t xml:space="preserve"> </w:t>
      </w:r>
      <w:r>
        <w:rPr>
          <w:rFonts w:ascii="Arial" w:cs="Arial" w:eastAsia="Arial" w:hAnsi="Arial"/>
          <w:sz w:val="19"/>
          <w:szCs w:val="19"/>
          <w:u w:val="single" w:color="auto"/>
          <w:color w:val="1C1C1C"/>
        </w:rPr>
        <w:t>o</w:t>
      </w:r>
      <w:r>
        <w:rPr>
          <w:rFonts w:ascii="Arial" w:cs="Arial" w:eastAsia="Arial" w:hAnsi="Arial"/>
          <w:sz w:val="19"/>
          <w:szCs w:val="19"/>
          <w:u w:val="single" w:color="auto"/>
          <w:color w:val="0A0A0A"/>
        </w:rPr>
        <w:t>f Conversion</w:t>
      </w:r>
      <w:r>
        <w:rPr>
          <w:rFonts w:ascii="Arial" w:cs="Arial" w:eastAsia="Arial" w:hAnsi="Arial"/>
          <w:sz w:val="19"/>
          <w:szCs w:val="19"/>
          <w:color w:val="0A0A0A"/>
        </w:rPr>
        <w:t xml:space="preserve">. In the event of a conversion of shares of Class F Common Stock to shares of Class A Common Stock or Class G Common Shares to shares of Class F Common Stock pursuant to this </w:t>
      </w:r>
      <w:r>
        <w:rPr>
          <w:rFonts w:ascii="Arial" w:cs="Arial" w:eastAsia="Arial" w:hAnsi="Arial"/>
          <w:sz w:val="19"/>
          <w:szCs w:val="19"/>
          <w:u w:val="single" w:color="auto"/>
          <w:color w:val="0A0A0A"/>
        </w:rPr>
        <w:t>Section7</w:t>
      </w:r>
      <w:r>
        <w:rPr>
          <w:rFonts w:ascii="Arial" w:cs="Arial" w:eastAsia="Arial" w:hAnsi="Arial"/>
          <w:sz w:val="19"/>
          <w:szCs w:val="19"/>
          <w:color w:val="0A0A0A"/>
        </w:rPr>
        <w:t xml:space="preserve">, such conversion shall be deemed to have been made at the time that the Corporation’s transfer agent receives the written notice required pursuant to </w:t>
      </w:r>
      <w:r>
        <w:rPr>
          <w:rFonts w:ascii="Arial" w:cs="Arial" w:eastAsia="Arial" w:hAnsi="Arial"/>
          <w:sz w:val="19"/>
          <w:szCs w:val="19"/>
          <w:u w:val="single" w:color="auto"/>
          <w:color w:val="0A0A0A"/>
        </w:rPr>
        <w:t>Subsection 7.2</w:t>
      </w:r>
      <w:r>
        <w:rPr>
          <w:rFonts w:ascii="Arial" w:cs="Arial" w:eastAsia="Arial" w:hAnsi="Arial"/>
          <w:sz w:val="19"/>
          <w:szCs w:val="19"/>
          <w:color w:val="0A0A0A"/>
        </w:rPr>
        <w:t>, the time that the Transfer of such shares occurred or the death of the Class F/G Stockholder, as applicable. Upon any conversion of Class F Common Stock to Class A Common Stock or Class G Common Shares to shares of Class F Common Stock, all rights of the holder of such shares of Class F Common Stock and Class G Common Stock shall cease and the person or persons in whose names or names the certificate or certificates representing the shares of Class F Common Stock and Class G Common Stock are to be issued, if any, shall be treated for all purposes as having become the record holder or holders of such number of shares of Class A Common Stock into which such Class 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199" w:name="page200"/>
    <w:bookmarkEnd w:id="199"/>
    <w:p>
      <w:pPr>
        <w:jc w:val="both"/>
        <w:spacing w:after="0" w:line="312" w:lineRule="auto"/>
        <w:rPr>
          <w:sz w:val="20"/>
          <w:szCs w:val="20"/>
          <w:color w:val="auto"/>
        </w:rPr>
      </w:pPr>
      <w:r>
        <w:rPr>
          <w:rFonts w:ascii="Arial" w:cs="Arial" w:eastAsia="Arial" w:hAnsi="Arial"/>
          <w:sz w:val="19"/>
          <w:szCs w:val="19"/>
          <w:color w:val="0A0A0A"/>
        </w:rPr>
        <w:t xml:space="preserve">were convertible or of Class F Common Stock into which such Class G Common Stock were convertible. Shares of Class F Common Stock that are converted into shares of Class A Common Stock and Shares of Class G Common Stock that are converted into shares of Class F Common Stock as provided in this </w:t>
      </w:r>
      <w:r>
        <w:rPr>
          <w:rFonts w:ascii="Arial" w:cs="Arial" w:eastAsia="Arial" w:hAnsi="Arial"/>
          <w:sz w:val="19"/>
          <w:szCs w:val="19"/>
          <w:u w:val="single" w:color="auto"/>
          <w:color w:val="0A0A0A"/>
        </w:rPr>
        <w:t>Section 7</w:t>
      </w:r>
      <w:r>
        <w:rPr>
          <w:rFonts w:ascii="Arial" w:cs="Arial" w:eastAsia="Arial" w:hAnsi="Arial"/>
          <w:sz w:val="19"/>
          <w:szCs w:val="19"/>
          <w:color w:val="0A0A0A"/>
        </w:rPr>
        <w:t xml:space="preserve"> shall be retired and shall not be reissued.</w:t>
      </w:r>
    </w:p>
    <w:p>
      <w:pPr>
        <w:spacing w:after="0" w:line="79" w:lineRule="exact"/>
        <w:rPr>
          <w:sz w:val="20"/>
          <w:szCs w:val="20"/>
          <w:color w:val="auto"/>
        </w:rPr>
      </w:pPr>
    </w:p>
    <w:p>
      <w:pPr>
        <w:jc w:val="both"/>
        <w:ind w:firstLine="1944"/>
        <w:spacing w:after="0" w:line="259" w:lineRule="auto"/>
        <w:rPr>
          <w:sz w:val="20"/>
          <w:szCs w:val="20"/>
          <w:color w:val="auto"/>
        </w:rPr>
      </w:pPr>
      <w:r>
        <w:rPr>
          <w:rFonts w:ascii="Arial" w:cs="Arial" w:eastAsia="Arial" w:hAnsi="Arial"/>
          <w:sz w:val="21"/>
          <w:szCs w:val="21"/>
          <w:color w:val="0A0A0A"/>
        </w:rPr>
        <w:t>6</w:t>
      </w:r>
      <w:r>
        <w:rPr>
          <w:rFonts w:ascii="Arial" w:cs="Arial" w:eastAsia="Arial" w:hAnsi="Arial"/>
          <w:sz w:val="21"/>
          <w:szCs w:val="21"/>
          <w:color w:val="1C1C1C"/>
        </w:rPr>
        <w:t>.</w:t>
      </w:r>
      <w:r>
        <w:rPr>
          <w:rFonts w:ascii="Arial" w:cs="Arial" w:eastAsia="Arial" w:hAnsi="Arial"/>
          <w:sz w:val="21"/>
          <w:szCs w:val="21"/>
          <w:color w:val="0A0A0A"/>
        </w:rPr>
        <w:t xml:space="preserve">6 </w:t>
      </w:r>
      <w:r>
        <w:rPr>
          <w:rFonts w:ascii="Arial" w:cs="Arial" w:eastAsia="Arial" w:hAnsi="Arial"/>
          <w:sz w:val="21"/>
          <w:szCs w:val="21"/>
          <w:u w:val="single" w:color="auto"/>
          <w:color w:val="0A0A0A"/>
        </w:rPr>
        <w:t>Reservation of Stock.</w:t>
      </w:r>
      <w:r>
        <w:rPr>
          <w:rFonts w:ascii="Arial" w:cs="Arial" w:eastAsia="Arial" w:hAnsi="Arial"/>
          <w:sz w:val="21"/>
          <w:szCs w:val="21"/>
          <w:color w:val="0A0A0A"/>
        </w:rPr>
        <w:t xml:space="preserve"> The Corporation shall at all times reserve and keep available out of its authorized but unissued shares of Class A Common Stock, solely for the purpose of effecting the conversion of the shares of Class F Common Stock, such number of its shares of Class A Common Stock as shall from time to time be sufficient to effect the conversion of all outstanding shares of Class F Common Stock into shares of Class A Common Stock. The Corporation shall also at all times reserve and keep available out of its authorized but unissued shares of Class F Common Stock, solely for the purpose of effecting the conversion of the shares of Class G Common Stock, such number of its shares of Class F Common Stock as shall from time to time be sufficient to effect the conversion of all outstanding shares of Class G Common Stock into shares of Class F Common Stock.</w:t>
      </w:r>
    </w:p>
    <w:p>
      <w:pPr>
        <w:spacing w:after="0" w:line="129" w:lineRule="exact"/>
        <w:rPr>
          <w:sz w:val="20"/>
          <w:szCs w:val="20"/>
          <w:color w:val="auto"/>
        </w:rPr>
      </w:pPr>
    </w:p>
    <w:p>
      <w:pPr>
        <w:ind w:left="1680" w:hanging="376"/>
        <w:spacing w:after="0"/>
        <w:tabs>
          <w:tab w:leader="none" w:pos="1680" w:val="left"/>
        </w:tabs>
        <w:numPr>
          <w:ilvl w:val="0"/>
          <w:numId w:val="137"/>
        </w:numPr>
        <w:rPr>
          <w:rFonts w:ascii="Arial" w:cs="Arial" w:eastAsia="Arial" w:hAnsi="Arial"/>
          <w:sz w:val="22"/>
          <w:szCs w:val="22"/>
          <w:color w:val="0A0A0A"/>
        </w:rPr>
      </w:pPr>
      <w:r>
        <w:rPr>
          <w:rFonts w:ascii="Arial" w:cs="Arial" w:eastAsia="Arial" w:hAnsi="Arial"/>
          <w:sz w:val="22"/>
          <w:szCs w:val="22"/>
          <w:u w:val="single" w:color="auto"/>
          <w:color w:val="0A0A0A"/>
        </w:rPr>
        <w:t>Other Provisions</w:t>
      </w:r>
      <w:r>
        <w:rPr>
          <w:rFonts w:ascii="Arial" w:cs="Arial" w:eastAsia="Arial" w:hAnsi="Arial"/>
          <w:sz w:val="22"/>
          <w:szCs w:val="22"/>
          <w:color w:val="1C1C1C"/>
        </w:rPr>
        <w:t>.</w:t>
      </w:r>
    </w:p>
    <w:p>
      <w:pPr>
        <w:spacing w:after="0" w:line="166" w:lineRule="exact"/>
        <w:rPr>
          <w:sz w:val="20"/>
          <w:szCs w:val="20"/>
          <w:color w:val="auto"/>
        </w:rPr>
      </w:pPr>
    </w:p>
    <w:p>
      <w:pPr>
        <w:jc w:val="both"/>
        <w:ind w:firstLine="1944"/>
        <w:spacing w:after="0" w:line="253" w:lineRule="auto"/>
        <w:rPr>
          <w:sz w:val="20"/>
          <w:szCs w:val="20"/>
          <w:color w:val="auto"/>
        </w:rPr>
      </w:pPr>
      <w:r>
        <w:rPr>
          <w:rFonts w:ascii="Arial" w:cs="Arial" w:eastAsia="Arial" w:hAnsi="Arial"/>
          <w:sz w:val="22"/>
          <w:szCs w:val="22"/>
          <w:color w:val="0A0A0A"/>
        </w:rPr>
        <w:t xml:space="preserve">7.1 </w:t>
      </w:r>
      <w:r>
        <w:rPr>
          <w:rFonts w:ascii="Arial" w:cs="Arial" w:eastAsia="Arial" w:hAnsi="Arial"/>
          <w:sz w:val="22"/>
          <w:szCs w:val="22"/>
          <w:u w:val="single" w:color="auto"/>
          <w:color w:val="0A0A0A"/>
        </w:rPr>
        <w:t>Subdivision or Combinations</w:t>
      </w:r>
      <w:r>
        <w:rPr>
          <w:rFonts w:ascii="Arial" w:cs="Arial" w:eastAsia="Arial" w:hAnsi="Arial"/>
          <w:sz w:val="22"/>
          <w:szCs w:val="22"/>
          <w:color w:val="0A0A0A"/>
        </w:rPr>
        <w:t>. If the Corporation in any manner subdivides or combines the outstanding shares of one class of Common Stock, then the outstanding shares of the other class of Common Stock shall be subdivided or combined in the same manner.</w:t>
      </w:r>
    </w:p>
    <w:p>
      <w:pPr>
        <w:spacing w:after="0" w:line="131" w:lineRule="exact"/>
        <w:rPr>
          <w:sz w:val="20"/>
          <w:szCs w:val="20"/>
          <w:color w:val="auto"/>
        </w:rPr>
      </w:pPr>
    </w:p>
    <w:p>
      <w:pPr>
        <w:jc w:val="both"/>
        <w:ind w:firstLine="1944"/>
        <w:spacing w:after="0" w:line="286" w:lineRule="auto"/>
        <w:rPr>
          <w:sz w:val="20"/>
          <w:szCs w:val="20"/>
          <w:color w:val="auto"/>
        </w:rPr>
      </w:pPr>
      <w:r>
        <w:rPr>
          <w:rFonts w:ascii="Arial" w:cs="Arial" w:eastAsia="Arial" w:hAnsi="Arial"/>
          <w:sz w:val="19"/>
          <w:szCs w:val="19"/>
          <w:color w:val="0A0A0A"/>
        </w:rPr>
        <w:t xml:space="preserve">7.2 </w:t>
      </w:r>
      <w:r>
        <w:rPr>
          <w:rFonts w:ascii="Arial" w:cs="Arial" w:eastAsia="Arial" w:hAnsi="Arial"/>
          <w:sz w:val="19"/>
          <w:szCs w:val="19"/>
          <w:u w:val="single" w:color="auto"/>
          <w:color w:val="0A0A0A"/>
        </w:rPr>
        <w:t>Mergers, Consolidation or Other Combination Transactions</w:t>
      </w:r>
      <w:r>
        <w:rPr>
          <w:rFonts w:ascii="Arial" w:cs="Arial" w:eastAsia="Arial" w:hAnsi="Arial"/>
          <w:sz w:val="19"/>
          <w:szCs w:val="19"/>
          <w:color w:val="1C1C1C"/>
        </w:rPr>
        <w:t>.</w:t>
      </w:r>
      <w:r>
        <w:rPr>
          <w:rFonts w:ascii="Arial" w:cs="Arial" w:eastAsia="Arial" w:hAnsi="Arial"/>
          <w:sz w:val="19"/>
          <w:szCs w:val="19"/>
          <w:color w:val="0A0A0A"/>
        </w:rPr>
        <w:t xml:space="preserve"> In the event the Corporation enters into any consolidation, merger, combination or other transaction or series of related transactions in which shares of Common Stock are exchanged for or converted into other stock or securities, or the right to receive cash or any other property, then, and in such event, the shares of Class F Common Stock, Class G Common Stock and Class A Common Stock shall be entitled to be exchanged for, or converted into the same kind and amount of stock, securities, cash or any other property, as the case may be, into which or for which each share of the other class of Common Stock is exchanged or converted; </w:t>
      </w:r>
      <w:r>
        <w:rPr>
          <w:rFonts w:ascii="Arial" w:cs="Arial" w:eastAsia="Arial" w:hAnsi="Arial"/>
          <w:sz w:val="19"/>
          <w:szCs w:val="19"/>
          <w:u w:val="single" w:color="auto"/>
          <w:color w:val="0A0A0A"/>
        </w:rPr>
        <w:t>provided</w:t>
      </w:r>
      <w:r>
        <w:rPr>
          <w:rFonts w:ascii="Arial" w:cs="Arial" w:eastAsia="Arial" w:hAnsi="Arial"/>
          <w:sz w:val="19"/>
          <w:szCs w:val="19"/>
          <w:color w:val="0A0A0A"/>
        </w:rPr>
        <w:t xml:space="preserve">, </w:t>
      </w:r>
      <w:r>
        <w:rPr>
          <w:rFonts w:ascii="Arial" w:cs="Arial" w:eastAsia="Arial" w:hAnsi="Arial"/>
          <w:sz w:val="19"/>
          <w:szCs w:val="19"/>
          <w:u w:val="single" w:color="auto"/>
          <w:color w:val="0A0A0A"/>
        </w:rPr>
        <w:t>however</w:t>
      </w:r>
      <w:r>
        <w:rPr>
          <w:rFonts w:ascii="Arial" w:cs="Arial" w:eastAsia="Arial" w:hAnsi="Arial"/>
          <w:sz w:val="19"/>
          <w:szCs w:val="19"/>
          <w:color w:val="0A0A0A"/>
        </w:rPr>
        <w:t xml:space="preserve">, that if the stock or securities of the resulting entity issued upon such exchange or conversion of the shares of Common Stock outstanding immediately prior to such consolidation, merger, combination or other transaction would represent at least a majority of the voting power of such resulting entity (without giving effect to any differences in the voting rights of the stock or securities of the resulting entity to be received by the holders of shares of Class F Common Stock, the holders of Class G Common Stock and the holders of Class A Common Stock), then the holders of shares of Class F Common Stock, the holders of shares of Class G Common Stock and the holders of shares of Class A Common Stock shall be entitled to receive stock or securities of the resulting entity issuable upon such exchange or conversion that differ with respect to voting rights in a similar manner to which the shares of Class F Common Stock, Class G Common Stock and Class A Common Stock differ as provided in </w:t>
      </w:r>
      <w:r>
        <w:rPr>
          <w:rFonts w:ascii="Arial" w:cs="Arial" w:eastAsia="Arial" w:hAnsi="Arial"/>
          <w:sz w:val="19"/>
          <w:szCs w:val="19"/>
          <w:u w:val="single" w:color="auto"/>
          <w:color w:val="0A0A0A"/>
        </w:rPr>
        <w:t>Section 4</w:t>
      </w:r>
      <w:r>
        <w:rPr>
          <w:rFonts w:ascii="Arial" w:cs="Arial" w:eastAsia="Arial" w:hAnsi="Arial"/>
          <w:sz w:val="19"/>
          <w:szCs w:val="19"/>
          <w:color w:val="0A0A0A"/>
        </w:rPr>
        <w:t>.</w:t>
      </w:r>
    </w:p>
    <w:p>
      <w:pPr>
        <w:spacing w:after="0" w:line="108" w:lineRule="exact"/>
        <w:rPr>
          <w:sz w:val="20"/>
          <w:szCs w:val="20"/>
          <w:color w:val="auto"/>
        </w:rPr>
      </w:pPr>
    </w:p>
    <w:p>
      <w:pPr>
        <w:jc w:val="both"/>
        <w:ind w:firstLine="1944"/>
        <w:spacing w:after="0" w:line="253" w:lineRule="auto"/>
        <w:rPr>
          <w:sz w:val="20"/>
          <w:szCs w:val="20"/>
          <w:color w:val="auto"/>
        </w:rPr>
      </w:pPr>
      <w:r>
        <w:rPr>
          <w:rFonts w:ascii="Arial" w:cs="Arial" w:eastAsia="Arial" w:hAnsi="Arial"/>
          <w:sz w:val="22"/>
          <w:szCs w:val="22"/>
          <w:color w:val="0B0B0B"/>
        </w:rPr>
        <w:t xml:space="preserve">7.3 </w:t>
      </w:r>
      <w:r>
        <w:rPr>
          <w:rFonts w:ascii="Arial" w:cs="Arial" w:eastAsia="Arial" w:hAnsi="Arial"/>
          <w:sz w:val="22"/>
          <w:szCs w:val="22"/>
          <w:u w:val="single" w:color="auto"/>
          <w:color w:val="0B0B0B"/>
        </w:rPr>
        <w:t>Equal Status</w:t>
      </w:r>
      <w:r>
        <w:rPr>
          <w:rFonts w:ascii="Arial" w:cs="Arial" w:eastAsia="Arial" w:hAnsi="Arial"/>
          <w:sz w:val="22"/>
          <w:szCs w:val="22"/>
          <w:color w:val="2B2B2B"/>
        </w:rPr>
        <w:t>.</w:t>
      </w:r>
      <w:r>
        <w:rPr>
          <w:rFonts w:ascii="Arial" w:cs="Arial" w:eastAsia="Arial" w:hAnsi="Arial"/>
          <w:sz w:val="22"/>
          <w:szCs w:val="22"/>
          <w:color w:val="0B0B0B"/>
        </w:rPr>
        <w:t xml:space="preserve"> Except as expressly provided in Part A of this Article Fourth, Class F Common Stock, Class G Common Stock and Class A Common Stock shall have the same rights and privileges and rank equally, share ratably and be identical in all respects as to all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200" w:name="page201"/>
    <w:bookmarkEnd w:id="200"/>
    <w:p>
      <w:pPr>
        <w:jc w:val="both"/>
        <w:ind w:firstLine="1944"/>
        <w:spacing w:after="0" w:line="250" w:lineRule="auto"/>
        <w:rPr>
          <w:sz w:val="20"/>
          <w:szCs w:val="20"/>
          <w:color w:val="auto"/>
        </w:rPr>
      </w:pPr>
      <w:r>
        <w:rPr>
          <w:rFonts w:ascii="Arial" w:cs="Arial" w:eastAsia="Arial" w:hAnsi="Arial"/>
          <w:sz w:val="22"/>
          <w:szCs w:val="22"/>
          <w:color w:val="0B0B0B"/>
        </w:rPr>
        <w:t xml:space="preserve">7.4 </w:t>
      </w:r>
      <w:r>
        <w:rPr>
          <w:rFonts w:ascii="Arial" w:cs="Arial" w:eastAsia="Arial" w:hAnsi="Arial"/>
          <w:sz w:val="22"/>
          <w:szCs w:val="22"/>
          <w:u w:val="single" w:color="auto"/>
          <w:color w:val="0B0B0B"/>
        </w:rPr>
        <w:t>Adjustment in Authorized Class A Common Stock</w:t>
      </w:r>
      <w:r>
        <w:rPr>
          <w:rFonts w:ascii="Arial" w:cs="Arial" w:eastAsia="Arial" w:hAnsi="Arial"/>
          <w:sz w:val="22"/>
          <w:szCs w:val="22"/>
          <w:color w:val="0B0B0B"/>
        </w:rPr>
        <w:t>. The number of authorized shares of Class A Common Stock may be increased or decreased (but not below the number of shares of Class A Common Stock then outstanding) by an affirmative vote of the holders of a majority of the Series A Preferred Stock and Common Stock, voting together as a single class on an as-converted basis.</w:t>
      </w:r>
    </w:p>
    <w:p>
      <w:pPr>
        <w:spacing w:after="0" w:line="134" w:lineRule="exact"/>
        <w:rPr>
          <w:sz w:val="20"/>
          <w:szCs w:val="20"/>
          <w:color w:val="auto"/>
        </w:rPr>
      </w:pPr>
    </w:p>
    <w:p>
      <w:pPr>
        <w:jc w:val="both"/>
        <w:ind w:firstLine="1944"/>
        <w:spacing w:after="0" w:line="260" w:lineRule="auto"/>
        <w:rPr>
          <w:sz w:val="20"/>
          <w:szCs w:val="20"/>
          <w:color w:val="auto"/>
        </w:rPr>
      </w:pPr>
      <w:r>
        <w:rPr>
          <w:rFonts w:ascii="Arial" w:cs="Arial" w:eastAsia="Arial" w:hAnsi="Arial"/>
          <w:sz w:val="21"/>
          <w:szCs w:val="21"/>
          <w:color w:val="0B0B0B"/>
        </w:rPr>
        <w:t xml:space="preserve">7.5 </w:t>
      </w:r>
      <w:r>
        <w:rPr>
          <w:rFonts w:ascii="Arial" w:cs="Arial" w:eastAsia="Arial" w:hAnsi="Arial"/>
          <w:sz w:val="21"/>
          <w:szCs w:val="21"/>
          <w:u w:val="single" w:color="auto"/>
          <w:color w:val="0B0B0B"/>
        </w:rPr>
        <w:t>Administration</w:t>
      </w:r>
      <w:r>
        <w:rPr>
          <w:rFonts w:ascii="Arial" w:cs="Arial" w:eastAsia="Arial" w:hAnsi="Arial"/>
          <w:sz w:val="21"/>
          <w:szCs w:val="21"/>
          <w:color w:val="0B0B0B"/>
        </w:rPr>
        <w:t>. The Corporation may, from time to time, establish such policies and procedures relating to the conversion of the Class F Common Stock to Class A Common Stock and the conversion of Class G Common Stock to Class F Common Stock and the general administration of this multi-class Common Stock structure, including the issuance of stock certificates with respect thereto, as it may deem necessary or advisable, and may request that holders of shares of Class F Common Stock or Class G Common Stock furnish affidavits or other proof to the Corporation as it deems necessary to verify the ownership of Class F Common Stock and Class G Common Stock and to confirm that a conversion to Class A Common Stock or Class F Common Stock has not occurred.</w:t>
      </w:r>
    </w:p>
    <w:p>
      <w:pPr>
        <w:spacing w:after="0" w:line="120" w:lineRule="exact"/>
        <w:rPr>
          <w:sz w:val="20"/>
          <w:szCs w:val="20"/>
          <w:color w:val="auto"/>
        </w:rPr>
      </w:pPr>
    </w:p>
    <w:p>
      <w:pPr>
        <w:ind w:left="1720" w:hanging="416"/>
        <w:spacing w:after="0"/>
        <w:tabs>
          <w:tab w:leader="none" w:pos="1720" w:val="left"/>
        </w:tabs>
        <w:numPr>
          <w:ilvl w:val="0"/>
          <w:numId w:val="138"/>
        </w:numPr>
        <w:rPr>
          <w:rFonts w:ascii="Arial" w:cs="Arial" w:eastAsia="Arial" w:hAnsi="Arial"/>
          <w:sz w:val="22"/>
          <w:szCs w:val="22"/>
          <w:b w:val="1"/>
          <w:bCs w:val="1"/>
          <w:color w:val="0B0B0B"/>
        </w:rPr>
      </w:pPr>
      <w:r>
        <w:rPr>
          <w:rFonts w:ascii="Arial" w:cs="Arial" w:eastAsia="Arial" w:hAnsi="Arial"/>
          <w:sz w:val="22"/>
          <w:szCs w:val="22"/>
          <w:b w:val="1"/>
          <w:bCs w:val="1"/>
          <w:color w:val="0B0B0B"/>
        </w:rPr>
        <w:t>PREFERRED STOCK</w:t>
      </w:r>
    </w:p>
    <w:p>
      <w:pPr>
        <w:spacing w:after="0" w:line="16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0B0B0B"/>
        </w:rPr>
        <w:t>17,301,256 shares of the authorized and unissued Preferred Stock of the Corporation are hereby designated “</w:t>
      </w:r>
      <w:r>
        <w:rPr>
          <w:rFonts w:ascii="Arial" w:cs="Arial" w:eastAsia="Arial" w:hAnsi="Arial"/>
          <w:sz w:val="22"/>
          <w:szCs w:val="22"/>
          <w:b w:val="1"/>
          <w:bCs w:val="1"/>
          <w:color w:val="0B0B0B"/>
        </w:rPr>
        <w:t>Series A</w:t>
      </w:r>
      <w:r>
        <w:rPr>
          <w:rFonts w:ascii="Arial" w:cs="Arial" w:eastAsia="Arial" w:hAnsi="Arial"/>
          <w:sz w:val="22"/>
          <w:szCs w:val="22"/>
          <w:color w:val="0B0B0B"/>
        </w:rPr>
        <w:t xml:space="preserve"> </w:t>
      </w:r>
      <w:r>
        <w:rPr>
          <w:rFonts w:ascii="Arial" w:cs="Arial" w:eastAsia="Arial" w:hAnsi="Arial"/>
          <w:sz w:val="22"/>
          <w:szCs w:val="22"/>
          <w:b w:val="1"/>
          <w:bCs w:val="1"/>
          <w:color w:val="0B0B0B"/>
        </w:rPr>
        <w:t>Preferred Stock</w:t>
      </w:r>
      <w:r>
        <w:rPr>
          <w:rFonts w:ascii="Arial" w:cs="Arial" w:eastAsia="Arial" w:hAnsi="Arial"/>
          <w:sz w:val="22"/>
          <w:szCs w:val="22"/>
          <w:color w:val="0B0B0B"/>
        </w:rPr>
        <w:t>” with the following rights, preferences, powers, privileges and restrictions, qualifications and limitations.</w:t>
      </w:r>
      <w:r>
        <w:rPr>
          <w:rFonts w:ascii="Arial" w:cs="Arial" w:eastAsia="Arial" w:hAnsi="Arial"/>
          <w:sz w:val="22"/>
          <w:szCs w:val="22"/>
          <w:b w:val="1"/>
          <w:bCs w:val="1"/>
          <w:color w:val="0B0B0B"/>
        </w:rPr>
        <w:t xml:space="preserve"> </w:t>
      </w:r>
      <w:r>
        <w:rPr>
          <w:rFonts w:ascii="Arial" w:cs="Arial" w:eastAsia="Arial" w:hAnsi="Arial"/>
          <w:sz w:val="22"/>
          <w:szCs w:val="22"/>
          <w:color w:val="0B0B0B"/>
        </w:rPr>
        <w:t>Unless otherwise indicated, references to “sections” or “subsections” in this Part B of this Article Fourth refer to sections and subsections of Part B of this Article Fourth.</w:t>
      </w:r>
    </w:p>
    <w:p>
      <w:pPr>
        <w:spacing w:after="0" w:line="132" w:lineRule="exact"/>
        <w:rPr>
          <w:sz w:val="20"/>
          <w:szCs w:val="20"/>
          <w:color w:val="auto"/>
        </w:rPr>
      </w:pPr>
    </w:p>
    <w:p>
      <w:pPr>
        <w:ind w:left="1300"/>
        <w:spacing w:after="0"/>
        <w:tabs>
          <w:tab w:leader="none" w:pos="1660" w:val="left"/>
        </w:tabs>
        <w:rPr>
          <w:sz w:val="20"/>
          <w:szCs w:val="20"/>
          <w:color w:val="auto"/>
        </w:rPr>
      </w:pPr>
      <w:r>
        <w:rPr>
          <w:rFonts w:ascii="Arial" w:cs="Arial" w:eastAsia="Arial" w:hAnsi="Arial"/>
          <w:sz w:val="22"/>
          <w:szCs w:val="22"/>
          <w:color w:val="0B0B0B"/>
        </w:rPr>
        <w:t>1</w:t>
      </w:r>
      <w:r>
        <w:rPr>
          <w:rFonts w:ascii="Arial" w:cs="Arial" w:eastAsia="Arial" w:hAnsi="Arial"/>
          <w:sz w:val="22"/>
          <w:szCs w:val="22"/>
          <w:color w:val="2B2B2B"/>
        </w:rPr>
        <w:t>.</w:t>
      </w:r>
      <w:r>
        <w:rPr>
          <w:sz w:val="20"/>
          <w:szCs w:val="20"/>
          <w:color w:val="auto"/>
        </w:rPr>
        <w:tab/>
      </w:r>
      <w:r>
        <w:rPr>
          <w:rFonts w:ascii="Arial" w:cs="Arial" w:eastAsia="Arial" w:hAnsi="Arial"/>
          <w:sz w:val="19"/>
          <w:szCs w:val="19"/>
          <w:u w:val="single" w:color="auto"/>
          <w:color w:val="0B0B0B"/>
        </w:rPr>
        <w:t>Dividends</w:t>
      </w:r>
      <w:r>
        <w:rPr>
          <w:rFonts w:ascii="Arial" w:cs="Arial" w:eastAsia="Arial" w:hAnsi="Arial"/>
          <w:sz w:val="19"/>
          <w:szCs w:val="19"/>
          <w:color w:val="0B0B0B"/>
        </w:rPr>
        <w:t>.</w:t>
      </w:r>
    </w:p>
    <w:p>
      <w:pPr>
        <w:spacing w:after="0" w:line="166" w:lineRule="exact"/>
        <w:rPr>
          <w:sz w:val="20"/>
          <w:szCs w:val="20"/>
          <w:color w:val="auto"/>
        </w:rPr>
      </w:pPr>
    </w:p>
    <w:p>
      <w:pPr>
        <w:jc w:val="both"/>
        <w:ind w:firstLine="1944"/>
        <w:spacing w:after="0" w:line="290" w:lineRule="auto"/>
        <w:rPr>
          <w:sz w:val="20"/>
          <w:szCs w:val="20"/>
          <w:color w:val="auto"/>
        </w:rPr>
      </w:pPr>
      <w:r>
        <w:rPr>
          <w:rFonts w:ascii="Arial" w:cs="Arial" w:eastAsia="Arial" w:hAnsi="Arial"/>
          <w:sz w:val="19"/>
          <w:szCs w:val="19"/>
          <w:color w:val="0B0B0B"/>
        </w:rPr>
        <w:t>1.1 The Corporation shall not declare, pay or set aside any dividends on shares of any other class or series of capital stock of the Corporation (other than dividends on shares of Common Stock payable in shares of Common Stock) unless (in addition to the obtaining of any consents required elsewhere in the Certificate of Incorporation) the holders of the Series A Preferred Stock then outstanding shall first receive, or simultaneously receive, out of funds legally available therefor, a dividend on each outstanding share of Series A Preferred Stock in an amount equal to eight percent (8%) of the Series A Original Issue Price (as defined below). The foregoing dividends shall be paid when and if declared by the Board. The “</w:t>
      </w:r>
      <w:r>
        <w:rPr>
          <w:rFonts w:ascii="Arial" w:cs="Arial" w:eastAsia="Arial" w:hAnsi="Arial"/>
          <w:sz w:val="19"/>
          <w:szCs w:val="19"/>
          <w:b w:val="1"/>
          <w:bCs w:val="1"/>
          <w:color w:val="0B0B0B"/>
        </w:rPr>
        <w:t>Series A Original</w:t>
      </w:r>
      <w:r>
        <w:rPr>
          <w:rFonts w:ascii="Arial" w:cs="Arial" w:eastAsia="Arial" w:hAnsi="Arial"/>
          <w:sz w:val="19"/>
          <w:szCs w:val="19"/>
          <w:color w:val="0B0B0B"/>
        </w:rPr>
        <w:t xml:space="preserve"> </w:t>
      </w:r>
      <w:r>
        <w:rPr>
          <w:rFonts w:ascii="Arial" w:cs="Arial" w:eastAsia="Arial" w:hAnsi="Arial"/>
          <w:sz w:val="19"/>
          <w:szCs w:val="19"/>
          <w:b w:val="1"/>
          <w:bCs w:val="1"/>
          <w:color w:val="0B0B0B"/>
        </w:rPr>
        <w:t>Issue Price</w:t>
      </w:r>
      <w:r>
        <w:rPr>
          <w:rFonts w:ascii="Arial" w:cs="Arial" w:eastAsia="Arial" w:hAnsi="Arial"/>
          <w:sz w:val="19"/>
          <w:szCs w:val="19"/>
          <w:color w:val="0B0B0B"/>
        </w:rPr>
        <w:t>” shall mean $4.48980 per share, subject to appropriate adjustment in the event of any stock dividend, stock split,</w:t>
      </w:r>
      <w:r>
        <w:rPr>
          <w:rFonts w:ascii="Arial" w:cs="Arial" w:eastAsia="Arial" w:hAnsi="Arial"/>
          <w:sz w:val="19"/>
          <w:szCs w:val="19"/>
          <w:b w:val="1"/>
          <w:bCs w:val="1"/>
          <w:color w:val="0B0B0B"/>
        </w:rPr>
        <w:t xml:space="preserve"> </w:t>
      </w:r>
      <w:r>
        <w:rPr>
          <w:rFonts w:ascii="Arial" w:cs="Arial" w:eastAsia="Arial" w:hAnsi="Arial"/>
          <w:sz w:val="19"/>
          <w:szCs w:val="19"/>
          <w:color w:val="0B0B0B"/>
        </w:rPr>
        <w:t>combination or other similar recapitalization with respect to the Series A Preferred Stock.</w:t>
      </w:r>
    </w:p>
    <w:p>
      <w:pPr>
        <w:spacing w:after="0" w:line="102" w:lineRule="exact"/>
        <w:rPr>
          <w:sz w:val="20"/>
          <w:szCs w:val="20"/>
          <w:color w:val="auto"/>
        </w:rPr>
      </w:pPr>
    </w:p>
    <w:p>
      <w:pPr>
        <w:ind w:left="1680" w:hanging="376"/>
        <w:spacing w:after="0"/>
        <w:tabs>
          <w:tab w:leader="none" w:pos="1680" w:val="left"/>
        </w:tabs>
        <w:numPr>
          <w:ilvl w:val="0"/>
          <w:numId w:val="139"/>
        </w:numPr>
        <w:rPr>
          <w:rFonts w:ascii="Arial" w:cs="Arial" w:eastAsia="Arial" w:hAnsi="Arial"/>
          <w:sz w:val="22"/>
          <w:szCs w:val="22"/>
          <w:color w:val="0B0B0B"/>
        </w:rPr>
      </w:pPr>
      <w:r>
        <w:rPr>
          <w:rFonts w:ascii="Arial" w:cs="Arial" w:eastAsia="Arial" w:hAnsi="Arial"/>
          <w:sz w:val="22"/>
          <w:szCs w:val="22"/>
          <w:u w:val="single" w:color="auto"/>
          <w:color w:val="0B0B0B"/>
        </w:rPr>
        <w:t>Liquidation, Dissolution or Winding Up; Certain Mergers, Consolidations and Asset Sales</w:t>
      </w:r>
      <w:r>
        <w:rPr>
          <w:rFonts w:ascii="Arial" w:cs="Arial" w:eastAsia="Arial" w:hAnsi="Arial"/>
          <w:sz w:val="22"/>
          <w:szCs w:val="22"/>
          <w:color w:val="0B0B0B"/>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-17780</wp:posOffset>
            </wp:positionV>
            <wp:extent cx="342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46" w:lineRule="exact"/>
        <w:rPr>
          <w:sz w:val="20"/>
          <w:szCs w:val="20"/>
          <w:color w:val="auto"/>
        </w:rPr>
      </w:pPr>
    </w:p>
    <w:p>
      <w:pPr>
        <w:jc w:val="both"/>
        <w:ind w:firstLine="1944"/>
        <w:spacing w:after="0" w:line="248" w:lineRule="auto"/>
        <w:rPr>
          <w:sz w:val="20"/>
          <w:szCs w:val="20"/>
          <w:color w:val="auto"/>
        </w:rPr>
      </w:pPr>
      <w:r>
        <w:rPr>
          <w:rFonts w:ascii="Arial" w:cs="Arial" w:eastAsia="Arial" w:hAnsi="Arial"/>
          <w:sz w:val="22"/>
          <w:szCs w:val="22"/>
          <w:color w:val="0B0B0B"/>
        </w:rPr>
        <w:t xml:space="preserve">2.1 </w:t>
      </w:r>
      <w:r>
        <w:rPr>
          <w:rFonts w:ascii="Arial" w:cs="Arial" w:eastAsia="Arial" w:hAnsi="Arial"/>
          <w:sz w:val="22"/>
          <w:szCs w:val="22"/>
          <w:u w:val="single" w:color="auto"/>
          <w:color w:val="0B0B0B"/>
        </w:rPr>
        <w:t>Preferential Payments to Holders of Series A Preferred Stock</w:t>
      </w:r>
      <w:r>
        <w:rPr>
          <w:rFonts w:ascii="Arial" w:cs="Arial" w:eastAsia="Arial" w:hAnsi="Arial"/>
          <w:sz w:val="22"/>
          <w:szCs w:val="22"/>
          <w:color w:val="0B0B0B"/>
        </w:rPr>
        <w:t>. In the event of any voluntary or involuntary liquidation, dissolution or winding up of the Corporation or Deemed Liquidation Event (as defined below), the holders of shares of Series A Preferred Stock then outstanding shall be entitled to be paid out of the assets of the Corporation available for distribution to its stockholders before any payment shall be made to the holders of Common Stock by reason of their ownership thereof, an amount per share equal to the greater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201" w:name="page202"/>
    <w:bookmarkEnd w:id="201"/>
    <w:p>
      <w:pPr>
        <w:jc w:val="both"/>
        <w:ind w:firstLine="8"/>
        <w:spacing w:after="0" w:line="289" w:lineRule="auto"/>
        <w:tabs>
          <w:tab w:leader="none" w:pos="261" w:val="left"/>
        </w:tabs>
        <w:numPr>
          <w:ilvl w:val="0"/>
          <w:numId w:val="140"/>
        </w:numPr>
        <w:rPr>
          <w:rFonts w:ascii="Arial" w:cs="Arial" w:eastAsia="Arial" w:hAnsi="Arial"/>
          <w:sz w:val="19"/>
          <w:szCs w:val="19"/>
          <w:color w:val="0B0B0B"/>
        </w:rPr>
      </w:pPr>
      <w:r>
        <w:rPr>
          <w:rFonts w:ascii="Arial" w:cs="Arial" w:eastAsia="Arial" w:hAnsi="Arial"/>
          <w:sz w:val="19"/>
          <w:szCs w:val="19"/>
          <w:color w:val="0B0B0B"/>
        </w:rPr>
        <w:t xml:space="preserve">the Series A Original Issue Price, plus any dividends declared but unpaid thereon, or (ii) such amount per share as would have been payable had all shares of Series A Preferred Stock been converted into Common Stock pursuant to </w:t>
      </w:r>
      <w:r>
        <w:rPr>
          <w:rFonts w:ascii="Arial" w:cs="Arial" w:eastAsia="Arial" w:hAnsi="Arial"/>
          <w:sz w:val="19"/>
          <w:szCs w:val="19"/>
          <w:u w:val="single" w:color="auto"/>
          <w:color w:val="0B0B0B"/>
        </w:rPr>
        <w:t>Section 4</w:t>
      </w:r>
      <w:r>
        <w:rPr>
          <w:rFonts w:ascii="Arial" w:cs="Arial" w:eastAsia="Arial" w:hAnsi="Arial"/>
          <w:sz w:val="19"/>
          <w:szCs w:val="19"/>
          <w:color w:val="0B0B0B"/>
        </w:rPr>
        <w:t xml:space="preserve"> immediately prior to such liquidation, dissolution, winding up or Deemed Liquidation Event (the amount payable pursuant to this sentence is hereinafter referred to as the “</w:t>
      </w:r>
      <w:r>
        <w:rPr>
          <w:rFonts w:ascii="Arial" w:cs="Arial" w:eastAsia="Arial" w:hAnsi="Arial"/>
          <w:sz w:val="19"/>
          <w:szCs w:val="19"/>
          <w:b w:val="1"/>
          <w:bCs w:val="1"/>
          <w:color w:val="0B0B0B"/>
        </w:rPr>
        <w:t>Series A Liquidation Amount</w:t>
      </w:r>
      <w:r>
        <w:rPr>
          <w:rFonts w:ascii="Arial" w:cs="Arial" w:eastAsia="Arial" w:hAnsi="Arial"/>
          <w:sz w:val="19"/>
          <w:szCs w:val="19"/>
          <w:color w:val="0B0B0B"/>
        </w:rPr>
        <w:t xml:space="preserve">”). If upon any such liquidation. dissolution or winding up of the Corporation or Deemed Liquidation Event, the assets of the Corporation available for distribution to its stockholders shall be insufficient to pay the holders of shares of Series A Preferred Stock the full amount to which they shall be entitled under this </w:t>
      </w:r>
      <w:r>
        <w:rPr>
          <w:rFonts w:ascii="Arial" w:cs="Arial" w:eastAsia="Arial" w:hAnsi="Arial"/>
          <w:sz w:val="19"/>
          <w:szCs w:val="19"/>
          <w:u w:val="single" w:color="auto"/>
          <w:color w:val="0B0B0B"/>
        </w:rPr>
        <w:t>Subsection 2.1</w:t>
      </w:r>
      <w:r>
        <w:rPr>
          <w:rFonts w:ascii="Arial" w:cs="Arial" w:eastAsia="Arial" w:hAnsi="Arial"/>
          <w:sz w:val="19"/>
          <w:szCs w:val="19"/>
          <w:color w:val="0B0B0B"/>
        </w:rPr>
        <w:t>, the holders of shares of Series A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03" w:lineRule="exact"/>
        <w:rPr>
          <w:sz w:val="20"/>
          <w:szCs w:val="20"/>
          <w:color w:val="auto"/>
        </w:rPr>
      </w:pPr>
    </w:p>
    <w:p>
      <w:pPr>
        <w:jc w:val="both"/>
        <w:ind w:firstLine="1944"/>
        <w:spacing w:after="0" w:line="265" w:lineRule="auto"/>
        <w:rPr>
          <w:sz w:val="20"/>
          <w:szCs w:val="20"/>
          <w:color w:val="auto"/>
        </w:rPr>
      </w:pPr>
      <w:r>
        <w:rPr>
          <w:rFonts w:ascii="Arial" w:cs="Arial" w:eastAsia="Arial" w:hAnsi="Arial"/>
          <w:sz w:val="21"/>
          <w:szCs w:val="21"/>
          <w:color w:val="0B0B0B"/>
        </w:rPr>
        <w:t xml:space="preserve">2.2 </w:t>
      </w:r>
      <w:r>
        <w:rPr>
          <w:rFonts w:ascii="Arial" w:cs="Arial" w:eastAsia="Arial" w:hAnsi="Arial"/>
          <w:sz w:val="21"/>
          <w:szCs w:val="21"/>
          <w:u w:val="single" w:color="auto"/>
          <w:color w:val="0B0B0B"/>
        </w:rPr>
        <w:t>Payments to Holders of Common Stock</w:t>
      </w:r>
      <w:r>
        <w:rPr>
          <w:rFonts w:ascii="Arial" w:cs="Arial" w:eastAsia="Arial" w:hAnsi="Arial"/>
          <w:sz w:val="21"/>
          <w:szCs w:val="21"/>
          <w:color w:val="0B0B0B"/>
        </w:rPr>
        <w:t xml:space="preserve">. In the event of any voluntary or involuntary liquidation, dissolution or winding up of the Corporation or Deemed Liquidation Event, after the payment of all preferential amounts required to be paid to the holders of shares of Series A Preferred Stock pursuant to </w:t>
      </w:r>
      <w:r>
        <w:rPr>
          <w:rFonts w:ascii="Arial" w:cs="Arial" w:eastAsia="Arial" w:hAnsi="Arial"/>
          <w:sz w:val="21"/>
          <w:szCs w:val="21"/>
          <w:u w:val="single" w:color="auto"/>
          <w:color w:val="0B0B0B"/>
        </w:rPr>
        <w:t>Subsection 2.1</w:t>
      </w:r>
      <w:r>
        <w:rPr>
          <w:rFonts w:ascii="Arial" w:cs="Arial" w:eastAsia="Arial" w:hAnsi="Arial"/>
          <w:sz w:val="21"/>
          <w:szCs w:val="21"/>
          <w:color w:val="0B0B0B"/>
        </w:rPr>
        <w:t>, the remaining assets of the Corporation available for distribution to its stockholders shall be distributed as follows:</w:t>
      </w:r>
    </w:p>
    <w:p>
      <w:pPr>
        <w:spacing w:after="0" w:line="121" w:lineRule="exact"/>
        <w:rPr>
          <w:sz w:val="20"/>
          <w:szCs w:val="20"/>
          <w:color w:val="auto"/>
        </w:rPr>
      </w:pPr>
    </w:p>
    <w:p>
      <w:pPr>
        <w:jc w:val="both"/>
        <w:ind w:firstLine="3248"/>
        <w:spacing w:after="0" w:line="259" w:lineRule="auto"/>
        <w:tabs>
          <w:tab w:leader="none" w:pos="3721" w:val="left"/>
        </w:tabs>
        <w:numPr>
          <w:ilvl w:val="0"/>
          <w:numId w:val="141"/>
        </w:numPr>
        <w:rPr>
          <w:rFonts w:ascii="Arial" w:cs="Arial" w:eastAsia="Arial" w:hAnsi="Arial"/>
          <w:sz w:val="21"/>
          <w:szCs w:val="21"/>
          <w:color w:val="0B0B0B"/>
        </w:rPr>
      </w:pPr>
      <w:r>
        <w:rPr>
          <w:rFonts w:ascii="Arial" w:cs="Arial" w:eastAsia="Arial" w:hAnsi="Arial"/>
          <w:sz w:val="21"/>
          <w:szCs w:val="21"/>
          <w:color w:val="0B0B0B"/>
        </w:rPr>
        <w:t>the holders of Class F Common Stock, the holders of Class G Common Stock and the holders of Class A Common Stock, shall be entitled to share equally, on a per share basis, in all assets of the Corporation of whatever kind available for distribution to the holders of Common Stock until the holders of Class G Common Stock have received the applicable Participation Cap (as defined below). The remaining assets of the Corporation of whatever kind available for distribution to the holders of Common Stock shall then be distributed equally, on a per share basis, to the holders of Class F Common Stock and the holders of Class A Common Stock. The “</w:t>
      </w:r>
      <w:r>
        <w:rPr>
          <w:rFonts w:ascii="Arial" w:cs="Arial" w:eastAsia="Arial" w:hAnsi="Arial"/>
          <w:sz w:val="21"/>
          <w:szCs w:val="21"/>
          <w:b w:val="1"/>
          <w:bCs w:val="1"/>
          <w:color w:val="0B0B0B"/>
        </w:rPr>
        <w:t>Participation Cap</w:t>
      </w:r>
      <w:r>
        <w:rPr>
          <w:rFonts w:ascii="Arial" w:cs="Arial" w:eastAsia="Arial" w:hAnsi="Arial"/>
          <w:sz w:val="21"/>
          <w:szCs w:val="21"/>
          <w:color w:val="0B0B0B"/>
        </w:rPr>
        <w:t>” shall mean an aggregate of $45,500,003 less the aggregate amount of any consideration received by any holder of Class G Common Stock from any prior Transfers (as defined below) of Class G Common Stock.</w:t>
      </w:r>
    </w:p>
    <w:p>
      <w:pPr>
        <w:spacing w:after="0" w:line="129" w:lineRule="exact"/>
        <w:rPr>
          <w:rFonts w:ascii="Arial" w:cs="Arial" w:eastAsia="Arial" w:hAnsi="Arial"/>
          <w:sz w:val="21"/>
          <w:szCs w:val="21"/>
          <w:color w:val="0B0B0B"/>
        </w:rPr>
      </w:pPr>
    </w:p>
    <w:p>
      <w:pPr>
        <w:jc w:val="both"/>
        <w:ind w:firstLine="3248"/>
        <w:spacing w:after="0" w:line="312" w:lineRule="auto"/>
        <w:tabs>
          <w:tab w:leader="none" w:pos="3850" w:val="left"/>
        </w:tabs>
        <w:numPr>
          <w:ilvl w:val="0"/>
          <w:numId w:val="141"/>
        </w:numPr>
        <w:rPr>
          <w:rFonts w:ascii="Arial" w:cs="Arial" w:eastAsia="Arial" w:hAnsi="Arial"/>
          <w:sz w:val="19"/>
          <w:szCs w:val="19"/>
          <w:color w:val="0B0B0B"/>
        </w:rPr>
      </w:pPr>
      <w:r>
        <w:rPr>
          <w:rFonts w:ascii="Arial" w:cs="Arial" w:eastAsia="Arial" w:hAnsi="Arial"/>
          <w:sz w:val="19"/>
          <w:szCs w:val="19"/>
          <w:color w:val="0B0B0B"/>
        </w:rPr>
        <w:t xml:space="preserve">Upon completion of the distribution required by </w:t>
      </w:r>
      <w:r>
        <w:rPr>
          <w:rFonts w:ascii="Arial" w:cs="Arial" w:eastAsia="Arial" w:hAnsi="Arial"/>
          <w:sz w:val="19"/>
          <w:szCs w:val="19"/>
          <w:u w:val="single" w:color="auto"/>
          <w:color w:val="0B0B0B"/>
        </w:rPr>
        <w:t>Subsection 2.2(a)</w:t>
      </w:r>
      <w:r>
        <w:rPr>
          <w:rFonts w:ascii="Arial" w:cs="Arial" w:eastAsia="Arial" w:hAnsi="Arial"/>
          <w:sz w:val="19"/>
          <w:szCs w:val="19"/>
          <w:color w:val="0B0B0B"/>
        </w:rPr>
        <w:t>, the remaining assets of the Corporation of whatever kind available for distribution to the holders of Common Stock shall be distributed equally, on a per share basis, to the holders of Class F Common Stock and to the holders of Class A Common Stock.</w:t>
      </w:r>
    </w:p>
    <w:p>
      <w:pPr>
        <w:spacing w:after="0" w:line="79" w:lineRule="exact"/>
        <w:rPr>
          <w:rFonts w:ascii="Arial" w:cs="Arial" w:eastAsia="Arial" w:hAnsi="Arial"/>
          <w:sz w:val="19"/>
          <w:szCs w:val="19"/>
          <w:color w:val="0B0B0B"/>
        </w:rPr>
      </w:pPr>
    </w:p>
    <w:p>
      <w:pPr>
        <w:ind w:left="3780" w:hanging="532"/>
        <w:spacing w:after="0"/>
        <w:tabs>
          <w:tab w:leader="none" w:pos="3780" w:val="left"/>
        </w:tabs>
        <w:numPr>
          <w:ilvl w:val="0"/>
          <w:numId w:val="141"/>
        </w:numPr>
        <w:rPr>
          <w:rFonts w:ascii="Arial" w:cs="Arial" w:eastAsia="Arial" w:hAnsi="Arial"/>
          <w:sz w:val="19"/>
          <w:szCs w:val="19"/>
          <w:color w:val="0B0B0B"/>
        </w:rPr>
      </w:pPr>
      <w:r>
        <w:rPr>
          <w:rFonts w:ascii="Arial" w:cs="Arial" w:eastAsia="Arial" w:hAnsi="Arial"/>
          <w:sz w:val="19"/>
          <w:szCs w:val="19"/>
          <w:color w:val="0B0B0B"/>
        </w:rPr>
        <w:t>No holder of Class G Common Stock shall be entitled to receive in any Transfer of</w:t>
      </w:r>
    </w:p>
    <w:p>
      <w:pPr>
        <w:spacing w:after="0" w:line="55" w:lineRule="exact"/>
        <w:rPr>
          <w:rFonts w:ascii="Arial" w:cs="Arial" w:eastAsia="Arial" w:hAnsi="Arial"/>
          <w:sz w:val="19"/>
          <w:szCs w:val="19"/>
          <w:color w:val="0B0B0B"/>
        </w:rPr>
      </w:pPr>
    </w:p>
    <w:p>
      <w:pPr>
        <w:spacing w:after="0"/>
        <w:rPr>
          <w:rFonts w:ascii="Arial" w:cs="Arial" w:eastAsia="Arial" w:hAnsi="Arial"/>
          <w:sz w:val="19"/>
          <w:szCs w:val="19"/>
          <w:color w:val="0B0B0B"/>
        </w:rPr>
      </w:pPr>
      <w:r>
        <w:rPr>
          <w:rFonts w:ascii="Arial" w:cs="Arial" w:eastAsia="Arial" w:hAnsi="Arial"/>
          <w:sz w:val="22"/>
          <w:szCs w:val="22"/>
          <w:color w:val="0B0B0B"/>
        </w:rPr>
        <w:t>Class G Common Stock any amounts greater than the applicable Participation Cap as of the date of such Transfer.</w:t>
      </w:r>
    </w:p>
    <w:p>
      <w:pPr>
        <w:spacing w:after="0" w:line="148" w:lineRule="exact"/>
        <w:rPr>
          <w:sz w:val="20"/>
          <w:szCs w:val="20"/>
          <w:color w:val="auto"/>
        </w:rPr>
      </w:pPr>
    </w:p>
    <w:p>
      <w:pPr>
        <w:ind w:left="1960"/>
        <w:spacing w:after="0"/>
        <w:tabs>
          <w:tab w:leader="none" w:pos="2420" w:val="left"/>
        </w:tabs>
        <w:rPr>
          <w:sz w:val="20"/>
          <w:szCs w:val="20"/>
          <w:color w:val="auto"/>
        </w:rPr>
      </w:pPr>
      <w:r>
        <w:rPr>
          <w:rFonts w:ascii="Arial" w:cs="Arial" w:eastAsia="Arial" w:hAnsi="Arial"/>
          <w:sz w:val="22"/>
          <w:szCs w:val="22"/>
          <w:color w:val="0B0B0B"/>
        </w:rPr>
        <w:t>2.3</w:t>
      </w:r>
      <w:r>
        <w:rPr>
          <w:sz w:val="20"/>
          <w:szCs w:val="20"/>
          <w:color w:val="auto"/>
        </w:rPr>
        <w:tab/>
      </w:r>
      <w:r>
        <w:rPr>
          <w:rFonts w:ascii="Arial" w:cs="Arial" w:eastAsia="Arial" w:hAnsi="Arial"/>
          <w:sz w:val="19"/>
          <w:szCs w:val="19"/>
          <w:u w:val="single" w:color="auto"/>
          <w:color w:val="0B0B0B"/>
        </w:rPr>
        <w:t>Deemed Liquidation Events</w:t>
      </w:r>
      <w:r>
        <w:rPr>
          <w:rFonts w:ascii="Arial" w:cs="Arial" w:eastAsia="Arial" w:hAnsi="Arial"/>
          <w:sz w:val="19"/>
          <w:szCs w:val="19"/>
          <w:color w:val="0B0B0B"/>
        </w:rPr>
        <w:t>.</w:t>
      </w:r>
    </w:p>
    <w:p>
      <w:pPr>
        <w:spacing w:after="0" w:line="160" w:lineRule="exact"/>
        <w:rPr>
          <w:sz w:val="20"/>
          <w:szCs w:val="20"/>
          <w:color w:val="auto"/>
        </w:rPr>
      </w:pPr>
    </w:p>
    <w:p>
      <w:pPr>
        <w:ind w:firstLine="2592"/>
        <w:spacing w:after="0" w:line="269" w:lineRule="auto"/>
        <w:rPr>
          <w:sz w:val="20"/>
          <w:szCs w:val="20"/>
          <w:color w:val="auto"/>
        </w:rPr>
      </w:pPr>
      <w:r>
        <w:rPr>
          <w:rFonts w:ascii="Arial" w:cs="Arial" w:eastAsia="Arial" w:hAnsi="Arial"/>
          <w:sz w:val="22"/>
          <w:szCs w:val="22"/>
          <w:color w:val="0B0B0B"/>
        </w:rPr>
        <w:t xml:space="preserve">2.3.1. </w:t>
      </w:r>
      <w:r>
        <w:rPr>
          <w:rFonts w:ascii="Arial" w:cs="Arial" w:eastAsia="Arial" w:hAnsi="Arial"/>
          <w:sz w:val="22"/>
          <w:szCs w:val="22"/>
          <w:u w:val="single" w:color="auto"/>
          <w:color w:val="0B0B0B"/>
        </w:rPr>
        <w:t>Definition</w:t>
      </w:r>
      <w:r>
        <w:rPr>
          <w:rFonts w:ascii="Arial" w:cs="Arial" w:eastAsia="Arial" w:hAnsi="Arial"/>
          <w:sz w:val="22"/>
          <w:szCs w:val="22"/>
          <w:color w:val="0B0B0B"/>
        </w:rPr>
        <w:t>. Each of the following events shall be considered a “</w:t>
      </w:r>
      <w:r>
        <w:rPr>
          <w:rFonts w:ascii="Arial" w:cs="Arial" w:eastAsia="Arial" w:hAnsi="Arial"/>
          <w:sz w:val="22"/>
          <w:szCs w:val="22"/>
          <w:b w:val="1"/>
          <w:bCs w:val="1"/>
          <w:color w:val="0B0B0B"/>
        </w:rPr>
        <w:t>Deemed Liquidation</w:t>
      </w:r>
      <w:r>
        <w:rPr>
          <w:rFonts w:ascii="Arial" w:cs="Arial" w:eastAsia="Arial" w:hAnsi="Arial"/>
          <w:sz w:val="22"/>
          <w:szCs w:val="22"/>
          <w:color w:val="0B0B0B"/>
        </w:rPr>
        <w:t xml:space="preserve"> </w:t>
      </w:r>
      <w:r>
        <w:rPr>
          <w:rFonts w:ascii="Arial" w:cs="Arial" w:eastAsia="Arial" w:hAnsi="Arial"/>
          <w:sz w:val="22"/>
          <w:szCs w:val="22"/>
          <w:b w:val="1"/>
          <w:bCs w:val="1"/>
          <w:color w:val="0B0B0B"/>
        </w:rPr>
        <w:t>Event</w:t>
      </w:r>
      <w:r>
        <w:rPr>
          <w:rFonts w:ascii="Arial" w:cs="Arial" w:eastAsia="Arial" w:hAnsi="Arial"/>
          <w:sz w:val="22"/>
          <w:szCs w:val="22"/>
          <w:color w:val="0B0B0B"/>
        </w:rPr>
        <w:t>” unless the holders of at least a majority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202" w:name="page203"/>
    <w:bookmarkEnd w:id="202"/>
    <w:p>
      <w:pPr>
        <w:spacing w:after="0"/>
        <w:rPr>
          <w:sz w:val="20"/>
          <w:szCs w:val="20"/>
          <w:color w:val="auto"/>
        </w:rPr>
      </w:pPr>
      <w:r>
        <w:rPr>
          <w:rFonts w:ascii="Arial" w:cs="Arial" w:eastAsia="Arial" w:hAnsi="Arial"/>
          <w:sz w:val="19"/>
          <w:szCs w:val="19"/>
          <w:color w:val="0B0B0B"/>
        </w:rPr>
        <w:t>outstanding shares of Series A Preferred Stock, voting on an as-converted basis, elect otherwise by written notice sent to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0B0B0B"/>
        </w:rPr>
        <w:t>Corporation:</w:t>
      </w:r>
    </w:p>
    <w:p>
      <w:pPr>
        <w:spacing w:after="0" w:line="148" w:lineRule="exact"/>
        <w:rPr>
          <w:sz w:val="20"/>
          <w:szCs w:val="20"/>
          <w:color w:val="auto"/>
        </w:rPr>
      </w:pPr>
    </w:p>
    <w:p>
      <w:pPr>
        <w:ind w:left="3700" w:hanging="452"/>
        <w:spacing w:after="0"/>
        <w:tabs>
          <w:tab w:leader="none" w:pos="3700" w:val="left"/>
        </w:tabs>
        <w:numPr>
          <w:ilvl w:val="0"/>
          <w:numId w:val="142"/>
        </w:numPr>
        <w:rPr>
          <w:rFonts w:ascii="Arial" w:cs="Arial" w:eastAsia="Arial" w:hAnsi="Arial"/>
          <w:sz w:val="22"/>
          <w:szCs w:val="22"/>
          <w:color w:val="0B0B0B"/>
        </w:rPr>
      </w:pPr>
      <w:r>
        <w:rPr>
          <w:rFonts w:ascii="Arial" w:cs="Arial" w:eastAsia="Arial" w:hAnsi="Arial"/>
          <w:sz w:val="22"/>
          <w:szCs w:val="22"/>
          <w:color w:val="0B0B0B"/>
        </w:rPr>
        <w:t>a merger or consolidation in which</w:t>
      </w:r>
    </w:p>
    <w:p>
      <w:pPr>
        <w:spacing w:after="0" w:line="165" w:lineRule="exact"/>
        <w:rPr>
          <w:rFonts w:ascii="Arial" w:cs="Arial" w:eastAsia="Arial" w:hAnsi="Arial"/>
          <w:sz w:val="22"/>
          <w:szCs w:val="22"/>
          <w:color w:val="0B0B0B"/>
        </w:rPr>
      </w:pPr>
    </w:p>
    <w:p>
      <w:pPr>
        <w:ind w:left="4320" w:hanging="424"/>
        <w:spacing w:after="0"/>
        <w:tabs>
          <w:tab w:leader="none" w:pos="4320" w:val="left"/>
        </w:tabs>
        <w:numPr>
          <w:ilvl w:val="1"/>
          <w:numId w:val="142"/>
        </w:numPr>
        <w:rPr>
          <w:rFonts w:ascii="Arial" w:cs="Arial" w:eastAsia="Arial" w:hAnsi="Arial"/>
          <w:sz w:val="22"/>
          <w:szCs w:val="22"/>
          <w:color w:val="0B0B0B"/>
        </w:rPr>
      </w:pPr>
      <w:r>
        <w:rPr>
          <w:rFonts w:ascii="Arial" w:cs="Arial" w:eastAsia="Arial" w:hAnsi="Arial"/>
          <w:sz w:val="22"/>
          <w:szCs w:val="22"/>
          <w:color w:val="0B0B0B"/>
        </w:rPr>
        <w:t>the Corporation is a constituent party or</w:t>
      </w:r>
    </w:p>
    <w:p>
      <w:pPr>
        <w:spacing w:after="0" w:line="165" w:lineRule="exact"/>
        <w:rPr>
          <w:rFonts w:ascii="Arial" w:cs="Arial" w:eastAsia="Arial" w:hAnsi="Arial"/>
          <w:sz w:val="22"/>
          <w:szCs w:val="22"/>
          <w:color w:val="0B0B0B"/>
        </w:rPr>
      </w:pPr>
    </w:p>
    <w:p>
      <w:pPr>
        <w:ind w:left="4220" w:hanging="324"/>
        <w:spacing w:after="0" w:line="343" w:lineRule="auto"/>
        <w:tabs>
          <w:tab w:leader="none" w:pos="4520" w:val="left"/>
        </w:tabs>
        <w:numPr>
          <w:ilvl w:val="1"/>
          <w:numId w:val="142"/>
        </w:numPr>
        <w:rPr>
          <w:rFonts w:ascii="Arial" w:cs="Arial" w:eastAsia="Arial" w:hAnsi="Arial"/>
          <w:sz w:val="19"/>
          <w:szCs w:val="19"/>
          <w:color w:val="0B0B0B"/>
        </w:rPr>
      </w:pPr>
      <w:r>
        <w:rPr>
          <w:rFonts w:ascii="Arial" w:cs="Arial" w:eastAsia="Arial" w:hAnsi="Arial"/>
          <w:sz w:val="19"/>
          <w:szCs w:val="19"/>
          <w:color w:val="0B0B0B"/>
        </w:rPr>
        <w:t>a subsidiary of the Corporation is a constituent party and the Corporation issues shares of its capital stock pursuant to such merger or consolidation,</w:t>
      </w:r>
    </w:p>
    <w:p>
      <w:pPr>
        <w:spacing w:after="0" w:line="50"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0B0B0B"/>
        </w:rPr>
        <w:t>except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 or</w:t>
      </w:r>
    </w:p>
    <w:p>
      <w:pPr>
        <w:spacing w:after="0" w:line="139" w:lineRule="exact"/>
        <w:rPr>
          <w:sz w:val="20"/>
          <w:szCs w:val="20"/>
          <w:color w:val="auto"/>
        </w:rPr>
      </w:pPr>
    </w:p>
    <w:p>
      <w:pPr>
        <w:jc w:val="both"/>
        <w:ind w:firstLine="3248"/>
        <w:spacing w:after="0" w:line="261" w:lineRule="auto"/>
        <w:tabs>
          <w:tab w:leader="none" w:pos="3714" w:val="left"/>
        </w:tabs>
        <w:numPr>
          <w:ilvl w:val="0"/>
          <w:numId w:val="143"/>
        </w:numPr>
        <w:rPr>
          <w:rFonts w:ascii="Arial" w:cs="Arial" w:eastAsia="Arial" w:hAnsi="Arial"/>
          <w:sz w:val="21"/>
          <w:szCs w:val="21"/>
          <w:color w:val="0B0B0B"/>
        </w:rPr>
      </w:pPr>
      <w:r>
        <w:rPr>
          <w:rFonts w:ascii="Arial" w:cs="Arial" w:eastAsia="Arial" w:hAnsi="Arial"/>
          <w:sz w:val="21"/>
          <w:szCs w:val="21"/>
          <w:color w:val="0B0B0B"/>
        </w:rPr>
        <w:t>the sale, lease, transfer, exclusive license or other disposition, in a single transaction or series of related transactions, by the Corporation or any subsidiary of the Corporation of all or substantially all the assets of the Corporation and its subsidiaries taken as a whole or the sale or disposition (whether by merger, consolidation or otherwise)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w:t>
      </w:r>
    </w:p>
    <w:p>
      <w:pPr>
        <w:spacing w:after="0" w:line="125" w:lineRule="exact"/>
        <w:rPr>
          <w:sz w:val="20"/>
          <w:szCs w:val="20"/>
          <w:color w:val="auto"/>
        </w:rPr>
      </w:pPr>
    </w:p>
    <w:p>
      <w:pPr>
        <w:ind w:left="2600"/>
        <w:spacing w:after="0"/>
        <w:tabs>
          <w:tab w:leader="none" w:pos="3280" w:val="left"/>
        </w:tabs>
        <w:rPr>
          <w:sz w:val="20"/>
          <w:szCs w:val="20"/>
          <w:color w:val="auto"/>
        </w:rPr>
      </w:pPr>
      <w:r>
        <w:rPr>
          <w:rFonts w:ascii="Arial" w:cs="Arial" w:eastAsia="Arial" w:hAnsi="Arial"/>
          <w:sz w:val="22"/>
          <w:szCs w:val="22"/>
          <w:color w:val="0B0B0B"/>
        </w:rPr>
        <w:t>2.3.2.</w:t>
      </w:r>
      <w:r>
        <w:rPr>
          <w:sz w:val="20"/>
          <w:szCs w:val="20"/>
          <w:color w:val="auto"/>
        </w:rPr>
        <w:tab/>
      </w:r>
      <w:r>
        <w:rPr>
          <w:rFonts w:ascii="Arial" w:cs="Arial" w:eastAsia="Arial" w:hAnsi="Arial"/>
          <w:sz w:val="19"/>
          <w:szCs w:val="19"/>
          <w:u w:val="single" w:color="auto"/>
          <w:color w:val="0B0B0B"/>
        </w:rPr>
        <w:t>Effecting a Deemed Liquidation Event</w:t>
      </w:r>
      <w:r>
        <w:rPr>
          <w:rFonts w:ascii="Arial" w:cs="Arial" w:eastAsia="Arial" w:hAnsi="Arial"/>
          <w:sz w:val="19"/>
          <w:szCs w:val="19"/>
          <w:color w:val="0B0B0B"/>
        </w:rPr>
        <w:t>.</w:t>
      </w:r>
    </w:p>
    <w:p>
      <w:pPr>
        <w:spacing w:after="0" w:line="166" w:lineRule="exact"/>
        <w:rPr>
          <w:sz w:val="20"/>
          <w:szCs w:val="20"/>
          <w:color w:val="auto"/>
        </w:rPr>
      </w:pPr>
    </w:p>
    <w:p>
      <w:pPr>
        <w:jc w:val="both"/>
        <w:ind w:firstLine="3248"/>
        <w:spacing w:after="0" w:line="265" w:lineRule="auto"/>
        <w:tabs>
          <w:tab w:leader="none" w:pos="3850" w:val="left"/>
        </w:tabs>
        <w:numPr>
          <w:ilvl w:val="0"/>
          <w:numId w:val="144"/>
        </w:numPr>
        <w:rPr>
          <w:rFonts w:ascii="Arial" w:cs="Arial" w:eastAsia="Arial" w:hAnsi="Arial"/>
          <w:sz w:val="21"/>
          <w:szCs w:val="21"/>
          <w:color w:val="0B0B0B"/>
        </w:rPr>
      </w:pPr>
      <w:r>
        <w:rPr>
          <w:rFonts w:ascii="Arial" w:cs="Arial" w:eastAsia="Arial" w:hAnsi="Arial"/>
          <w:sz w:val="21"/>
          <w:szCs w:val="21"/>
          <w:color w:val="0B0B0B"/>
        </w:rPr>
        <w:t xml:space="preserve">The Corporation shall not have the power to effect a Deemed Liquidation Event referred to in </w:t>
      </w:r>
      <w:r>
        <w:rPr>
          <w:rFonts w:ascii="Arial" w:cs="Arial" w:eastAsia="Arial" w:hAnsi="Arial"/>
          <w:sz w:val="21"/>
          <w:szCs w:val="21"/>
          <w:u w:val="single" w:color="auto"/>
          <w:color w:val="0B0B0B"/>
        </w:rPr>
        <w:t>Subsection 2.3.1(a)(i)</w:t>
      </w:r>
      <w:r>
        <w:rPr>
          <w:rFonts w:ascii="Arial" w:cs="Arial" w:eastAsia="Arial" w:hAnsi="Arial"/>
          <w:sz w:val="21"/>
          <w:szCs w:val="21"/>
          <w:color w:val="0B0B0B"/>
        </w:rPr>
        <w:t xml:space="preserve"> unless the agreement or plan of merger or consolidation for such transaction (the “</w:t>
      </w:r>
      <w:r>
        <w:rPr>
          <w:rFonts w:ascii="Arial" w:cs="Arial" w:eastAsia="Arial" w:hAnsi="Arial"/>
          <w:sz w:val="21"/>
          <w:szCs w:val="21"/>
          <w:b w:val="1"/>
          <w:bCs w:val="1"/>
          <w:color w:val="0B0B0B"/>
        </w:rPr>
        <w:t>Merger</w:t>
      </w:r>
      <w:r>
        <w:rPr>
          <w:rFonts w:ascii="Arial" w:cs="Arial" w:eastAsia="Arial" w:hAnsi="Arial"/>
          <w:sz w:val="21"/>
          <w:szCs w:val="21"/>
          <w:color w:val="0B0B0B"/>
        </w:rPr>
        <w:t xml:space="preserve"> </w:t>
      </w:r>
      <w:r>
        <w:rPr>
          <w:rFonts w:ascii="Arial" w:cs="Arial" w:eastAsia="Arial" w:hAnsi="Arial"/>
          <w:sz w:val="21"/>
          <w:szCs w:val="21"/>
          <w:b w:val="1"/>
          <w:bCs w:val="1"/>
          <w:color w:val="0B0B0B"/>
        </w:rPr>
        <w:t>Agreement</w:t>
      </w:r>
      <w:r>
        <w:rPr>
          <w:rFonts w:ascii="Arial" w:cs="Arial" w:eastAsia="Arial" w:hAnsi="Arial"/>
          <w:sz w:val="21"/>
          <w:szCs w:val="21"/>
          <w:color w:val="0B0B0B"/>
        </w:rPr>
        <w:t>”) provides that the consideration payable to the stockholders of the Corporation shall be allocated among the holders</w:t>
      </w:r>
      <w:r>
        <w:rPr>
          <w:rFonts w:ascii="Arial" w:cs="Arial" w:eastAsia="Arial" w:hAnsi="Arial"/>
          <w:sz w:val="21"/>
          <w:szCs w:val="21"/>
          <w:b w:val="1"/>
          <w:bCs w:val="1"/>
          <w:color w:val="0B0B0B"/>
        </w:rPr>
        <w:t xml:space="preserve"> </w:t>
      </w:r>
      <w:r>
        <w:rPr>
          <w:rFonts w:ascii="Arial" w:cs="Arial" w:eastAsia="Arial" w:hAnsi="Arial"/>
          <w:sz w:val="21"/>
          <w:szCs w:val="21"/>
          <w:color w:val="0B0B0B"/>
        </w:rPr>
        <w:t xml:space="preserve">of capital stock of the Corporation in accordance with </w:t>
      </w:r>
      <w:r>
        <w:rPr>
          <w:rFonts w:ascii="Arial" w:cs="Arial" w:eastAsia="Arial" w:hAnsi="Arial"/>
          <w:sz w:val="21"/>
          <w:szCs w:val="21"/>
          <w:u w:val="single" w:color="auto"/>
          <w:color w:val="0B0B0B"/>
        </w:rPr>
        <w:t>Subsections 2.1</w:t>
      </w:r>
      <w:r>
        <w:rPr>
          <w:rFonts w:ascii="Arial" w:cs="Arial" w:eastAsia="Arial" w:hAnsi="Arial"/>
          <w:sz w:val="21"/>
          <w:szCs w:val="21"/>
          <w:color w:val="0B0B0B"/>
        </w:rPr>
        <w:t xml:space="preserve"> and </w:t>
      </w:r>
      <w:r>
        <w:rPr>
          <w:rFonts w:ascii="Arial" w:cs="Arial" w:eastAsia="Arial" w:hAnsi="Arial"/>
          <w:sz w:val="21"/>
          <w:szCs w:val="21"/>
          <w:u w:val="single" w:color="auto"/>
          <w:color w:val="0B0B0B"/>
        </w:rPr>
        <w:t>2.2</w:t>
      </w:r>
      <w:r>
        <w:rPr>
          <w:rFonts w:ascii="Arial" w:cs="Arial" w:eastAsia="Arial" w:hAnsi="Arial"/>
          <w:sz w:val="21"/>
          <w:szCs w:val="21"/>
          <w:color w:val="0B0B0B"/>
        </w:rPr>
        <w:t>.</w:t>
      </w:r>
    </w:p>
    <w:p>
      <w:pPr>
        <w:spacing w:after="0" w:line="121" w:lineRule="exact"/>
        <w:rPr>
          <w:rFonts w:ascii="Arial" w:cs="Arial" w:eastAsia="Arial" w:hAnsi="Arial"/>
          <w:sz w:val="21"/>
          <w:szCs w:val="21"/>
          <w:color w:val="0B0B0B"/>
        </w:rPr>
      </w:pPr>
    </w:p>
    <w:p>
      <w:pPr>
        <w:jc w:val="both"/>
        <w:ind w:firstLine="3248"/>
        <w:spacing w:after="0" w:line="249" w:lineRule="auto"/>
        <w:tabs>
          <w:tab w:leader="none" w:pos="3794" w:val="left"/>
        </w:tabs>
        <w:numPr>
          <w:ilvl w:val="0"/>
          <w:numId w:val="144"/>
        </w:numPr>
        <w:rPr>
          <w:rFonts w:ascii="Arial" w:cs="Arial" w:eastAsia="Arial" w:hAnsi="Arial"/>
          <w:sz w:val="21"/>
          <w:szCs w:val="21"/>
          <w:color w:val="0B0B0B"/>
        </w:rPr>
      </w:pPr>
      <w:r>
        <w:rPr>
          <w:rFonts w:ascii="Arial" w:cs="Arial" w:eastAsia="Arial" w:hAnsi="Arial"/>
          <w:sz w:val="21"/>
          <w:szCs w:val="21"/>
          <w:color w:val="0B0B0B"/>
        </w:rPr>
        <w:t xml:space="preserve">In the event of a Deemed Liquidation Event referred to in </w:t>
      </w:r>
      <w:r>
        <w:rPr>
          <w:rFonts w:ascii="Arial" w:cs="Arial" w:eastAsia="Arial" w:hAnsi="Arial"/>
          <w:sz w:val="21"/>
          <w:szCs w:val="21"/>
          <w:u w:val="single" w:color="auto"/>
          <w:color w:val="0B0B0B"/>
        </w:rPr>
        <w:t>Subsection 2.3.l(a)(ii)</w:t>
      </w:r>
      <w:r>
        <w:rPr>
          <w:rFonts w:ascii="Arial" w:cs="Arial" w:eastAsia="Arial" w:hAnsi="Arial"/>
          <w:sz w:val="21"/>
          <w:szCs w:val="21"/>
          <w:color w:val="0B0B0B"/>
        </w:rPr>
        <w:t xml:space="preserve"> or </w:t>
      </w:r>
      <w:r>
        <w:rPr>
          <w:rFonts w:ascii="Arial" w:cs="Arial" w:eastAsia="Arial" w:hAnsi="Arial"/>
          <w:sz w:val="21"/>
          <w:szCs w:val="21"/>
          <w:u w:val="single" w:color="auto"/>
          <w:color w:val="0B0B0B"/>
        </w:rPr>
        <w:t>2.3.1(b)</w:t>
      </w:r>
      <w:r>
        <w:rPr>
          <w:rFonts w:ascii="Arial" w:cs="Arial" w:eastAsia="Arial" w:hAnsi="Arial"/>
          <w:sz w:val="21"/>
          <w:szCs w:val="21"/>
          <w:color w:val="0B0B0B"/>
        </w:rPr>
        <w:t>, if the Corporation does not effect a dissolution of the Corporation under the General Corporation Law within ninety (90) days after such Deemed Liquidation Event, then (i) the Corporation shall send a written notice to each holder of Series A Preferred Stock no later than the ninetieth (90</w:t>
      </w:r>
      <w:r>
        <w:rPr>
          <w:rFonts w:ascii="Arial" w:cs="Arial" w:eastAsia="Arial" w:hAnsi="Arial"/>
          <w:sz w:val="27"/>
          <w:szCs w:val="27"/>
          <w:color w:val="0B0B0B"/>
          <w:vertAlign w:val="superscript"/>
        </w:rPr>
        <w:t>th</w:t>
      </w:r>
      <w:r>
        <w:rPr>
          <w:rFonts w:ascii="Arial" w:cs="Arial" w:eastAsia="Arial" w:hAnsi="Arial"/>
          <w:sz w:val="21"/>
          <w:szCs w:val="21"/>
          <w:color w:val="0B0B0B"/>
        </w:rPr>
        <w:t>) day after the Deemed Liquidation Event advising such holders of their right (and the requirements to be met to secure such right) pursuant to the terms of the following clause; (ii) to require the redemption of such shares of Series A Preferred Stock, and (iii) if the holders of at least a majority of the then outstanding shares of Series A Preferred Stock so request in a written instrument delivered to the Corporation not later than one hundred twenty (120) days after such Deemed Liquidation Event, the Corporation shall use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8" w:right="339" w:bottom="1440" w:gutter="0" w:footer="0" w:header="0"/>
        </w:sectPr>
      </w:pPr>
    </w:p>
    <w:bookmarkStart w:id="203" w:name="page204"/>
    <w:bookmarkEnd w:id="203"/>
    <w:p>
      <w:pPr>
        <w:jc w:val="both"/>
        <w:spacing w:after="0" w:line="264" w:lineRule="auto"/>
        <w:rPr>
          <w:sz w:val="20"/>
          <w:szCs w:val="20"/>
          <w:color w:val="auto"/>
        </w:rPr>
      </w:pPr>
      <w:r>
        <w:rPr>
          <w:rFonts w:ascii="Arial" w:cs="Arial" w:eastAsia="Arial" w:hAnsi="Arial"/>
          <w:sz w:val="20"/>
          <w:szCs w:val="20"/>
          <w:color w:val="0B0B0B"/>
        </w:rPr>
        <w:t>consideration received by the Corporation for such Deemed Liquidation Event (net of any retained liabilities associated with the assets sold or technology licensed, as determined in good faith by the Board), together with any other assets of the Corporation available for distribution to its stockholders, all to the extent permitted by Delaware law governing distributions to stockholders (the “</w:t>
      </w:r>
      <w:r>
        <w:rPr>
          <w:rFonts w:ascii="Arial" w:cs="Arial" w:eastAsia="Arial" w:hAnsi="Arial"/>
          <w:sz w:val="20"/>
          <w:szCs w:val="20"/>
          <w:b w:val="1"/>
          <w:bCs w:val="1"/>
          <w:color w:val="0B0B0B"/>
        </w:rPr>
        <w:t>Available Proceeds</w:t>
      </w:r>
      <w:r>
        <w:rPr>
          <w:rFonts w:ascii="Arial" w:cs="Arial" w:eastAsia="Arial" w:hAnsi="Arial"/>
          <w:sz w:val="20"/>
          <w:szCs w:val="20"/>
          <w:color w:val="0B0B0B"/>
        </w:rPr>
        <w:t>”), on the one hundred fiftieth (150</w:t>
      </w:r>
      <w:r>
        <w:rPr>
          <w:rFonts w:ascii="Arial" w:cs="Arial" w:eastAsia="Arial" w:hAnsi="Arial"/>
          <w:sz w:val="26"/>
          <w:szCs w:val="26"/>
          <w:color w:val="0B0B0B"/>
          <w:vertAlign w:val="superscript"/>
        </w:rPr>
        <w:t>th</w:t>
      </w:r>
      <w:r>
        <w:rPr>
          <w:rFonts w:ascii="Arial" w:cs="Arial" w:eastAsia="Arial" w:hAnsi="Arial"/>
          <w:sz w:val="20"/>
          <w:szCs w:val="20"/>
          <w:color w:val="0B0B0B"/>
        </w:rPr>
        <w:t xml:space="preserve">) day after such Deemed Liquidation Event, to redeem all outstanding shares of Series A Preferred Stock at a price per share equal to the Series A Liquidation Amount. Notwithstanding the foregoing, in the event of a redemption pursuant to the preceding sentence, if the Available Proceeds are not sufficient to redeem all outstanding shares of Series A Preferred Stock, the Corporation shall ratably redeem each holder’s shares of Series A Preferred Stock to the fullest extent of such Available Proceeds, and shall redeem the remaining shares as soon as practicable after the Corporation has funds legally available therefor. The provisions of </w:t>
      </w:r>
      <w:r>
        <w:rPr>
          <w:rFonts w:ascii="Arial" w:cs="Arial" w:eastAsia="Arial" w:hAnsi="Arial"/>
          <w:sz w:val="20"/>
          <w:szCs w:val="20"/>
          <w:u w:val="single" w:color="auto"/>
          <w:color w:val="0B0B0B"/>
        </w:rPr>
        <w:t>Section 6</w:t>
      </w:r>
      <w:r>
        <w:rPr>
          <w:rFonts w:ascii="Arial" w:cs="Arial" w:eastAsia="Arial" w:hAnsi="Arial"/>
          <w:sz w:val="20"/>
          <w:szCs w:val="20"/>
          <w:color w:val="0B0B0B"/>
        </w:rPr>
        <w:t xml:space="preserve"> shall apply, with such necessary changes in the details thereof as are necessitated by the context, to the redemption of the Series A Preferred Stock pursuant to this </w:t>
      </w:r>
      <w:r>
        <w:rPr>
          <w:rFonts w:ascii="Arial" w:cs="Arial" w:eastAsia="Arial" w:hAnsi="Arial"/>
          <w:sz w:val="20"/>
          <w:szCs w:val="20"/>
          <w:u w:val="single" w:color="auto"/>
          <w:color w:val="0B0B0B"/>
        </w:rPr>
        <w:t>Subsection 2.3.2(b)</w:t>
      </w:r>
      <w:r>
        <w:rPr>
          <w:rFonts w:ascii="Arial" w:cs="Arial" w:eastAsia="Arial" w:hAnsi="Arial"/>
          <w:sz w:val="20"/>
          <w:szCs w:val="20"/>
          <w:color w:val="0B0B0B"/>
        </w:rPr>
        <w:t xml:space="preserve">. Prior to the distribution or redemption provided for in this </w:t>
      </w:r>
      <w:r>
        <w:rPr>
          <w:rFonts w:ascii="Arial" w:cs="Arial" w:eastAsia="Arial" w:hAnsi="Arial"/>
          <w:sz w:val="20"/>
          <w:szCs w:val="20"/>
          <w:u w:val="single" w:color="auto"/>
          <w:color w:val="0B0B0B"/>
        </w:rPr>
        <w:t>Subsection 2.3.2(b)</w:t>
      </w:r>
      <w:r>
        <w:rPr>
          <w:rFonts w:ascii="Arial" w:cs="Arial" w:eastAsia="Arial" w:hAnsi="Arial"/>
          <w:sz w:val="20"/>
          <w:szCs w:val="20"/>
          <w:color w:val="0B0B0B"/>
        </w:rPr>
        <w:t>, the Corporation shall not expend or dissipate the consideration received for such Deemed Liquidation Event, except to discharge expenses incurred in connection with such Deemed Liquidation Event or in the ordinary course of business.</w:t>
      </w:r>
    </w:p>
    <w:p>
      <w:pPr>
        <w:spacing w:after="0" w:line="132" w:lineRule="exact"/>
        <w:rPr>
          <w:sz w:val="20"/>
          <w:szCs w:val="20"/>
          <w:color w:val="auto"/>
        </w:rPr>
      </w:pPr>
    </w:p>
    <w:p>
      <w:pPr>
        <w:jc w:val="both"/>
        <w:ind w:firstLine="2592"/>
        <w:spacing w:after="0" w:line="248" w:lineRule="auto"/>
        <w:rPr>
          <w:sz w:val="20"/>
          <w:szCs w:val="20"/>
          <w:color w:val="auto"/>
        </w:rPr>
      </w:pPr>
      <w:r>
        <w:rPr>
          <w:rFonts w:ascii="Arial" w:cs="Arial" w:eastAsia="Arial" w:hAnsi="Arial"/>
          <w:sz w:val="22"/>
          <w:szCs w:val="22"/>
          <w:color w:val="0B0B0B"/>
        </w:rPr>
        <w:t xml:space="preserve">2.3.3. </w:t>
      </w:r>
      <w:r>
        <w:rPr>
          <w:rFonts w:ascii="Arial" w:cs="Arial" w:eastAsia="Arial" w:hAnsi="Arial"/>
          <w:sz w:val="22"/>
          <w:szCs w:val="22"/>
          <w:u w:val="single" w:color="auto"/>
          <w:color w:val="0B0B0B"/>
        </w:rPr>
        <w:t>Amount Deemed Paid or Distributed</w:t>
      </w:r>
      <w:r>
        <w:rPr>
          <w:rFonts w:ascii="Arial" w:cs="Arial" w:eastAsia="Arial" w:hAnsi="Arial"/>
          <w:sz w:val="22"/>
          <w:szCs w:val="22"/>
          <w:color w:val="0B0B0B"/>
        </w:rPr>
        <w:t>. The amount deemed paid or distributed to the holders of capital stock of the Corporation upon any such merger, consolidation, sale, transfer, exclusive license, other disposition or redemption shall be the cash or the value of the property, rights or securities paid or distributed to such holders by the Corporation or the acquiring person, firm or other entity. The value of such property, rights or securities shall be determined in good faith by the Board.</w:t>
      </w:r>
    </w:p>
    <w:p>
      <w:pPr>
        <w:spacing w:after="0" w:line="138" w:lineRule="exact"/>
        <w:rPr>
          <w:sz w:val="20"/>
          <w:szCs w:val="20"/>
          <w:color w:val="auto"/>
        </w:rPr>
      </w:pPr>
    </w:p>
    <w:p>
      <w:pPr>
        <w:jc w:val="both"/>
        <w:ind w:firstLine="3248"/>
        <w:spacing w:after="0" w:line="287" w:lineRule="auto"/>
        <w:tabs>
          <w:tab w:leader="none" w:pos="3840" w:val="left"/>
        </w:tabs>
        <w:numPr>
          <w:ilvl w:val="1"/>
          <w:numId w:val="145"/>
        </w:numPr>
        <w:rPr>
          <w:rFonts w:ascii="Arial" w:cs="Arial" w:eastAsia="Arial" w:hAnsi="Arial"/>
          <w:sz w:val="19"/>
          <w:szCs w:val="19"/>
          <w:color w:val="0B0B0B"/>
        </w:rPr>
      </w:pPr>
      <w:r>
        <w:rPr>
          <w:rFonts w:ascii="Arial" w:cs="Arial" w:eastAsia="Arial" w:hAnsi="Arial"/>
          <w:sz w:val="19"/>
          <w:szCs w:val="19"/>
          <w:u w:val="single" w:color="auto"/>
          <w:color w:val="0B0B0B"/>
        </w:rPr>
        <w:t>Allocation of Escrow and Contingent Consideration</w:t>
      </w:r>
      <w:r>
        <w:rPr>
          <w:rFonts w:ascii="Arial" w:cs="Arial" w:eastAsia="Arial" w:hAnsi="Arial"/>
          <w:sz w:val="19"/>
          <w:szCs w:val="19"/>
          <w:color w:val="0B0B0B"/>
        </w:rPr>
        <w:t xml:space="preserve">. In the event of a Deemed Liquidation Event pursuant to </w:t>
      </w:r>
      <w:r>
        <w:rPr>
          <w:rFonts w:ascii="Arial" w:cs="Arial" w:eastAsia="Arial" w:hAnsi="Arial"/>
          <w:sz w:val="19"/>
          <w:szCs w:val="19"/>
          <w:u w:val="single" w:color="auto"/>
          <w:color w:val="0B0B0B"/>
        </w:rPr>
        <w:t>Subsection 2.3.1(a)(i)</w:t>
      </w:r>
      <w:r>
        <w:rPr>
          <w:rFonts w:ascii="Arial" w:cs="Arial" w:eastAsia="Arial" w:hAnsi="Arial"/>
          <w:sz w:val="19"/>
          <w:szCs w:val="19"/>
          <w:color w:val="0B0B0B"/>
        </w:rPr>
        <w:t>, if any portion of the consideration payable to the stockholders of the Corporation is payable only upon satisfaction of contingencies (the “</w:t>
      </w:r>
      <w:r>
        <w:rPr>
          <w:rFonts w:ascii="Arial" w:cs="Arial" w:eastAsia="Arial" w:hAnsi="Arial"/>
          <w:sz w:val="19"/>
          <w:szCs w:val="19"/>
          <w:b w:val="1"/>
          <w:bCs w:val="1"/>
          <w:color w:val="0B0B0B"/>
        </w:rPr>
        <w:t>Additional Consideration</w:t>
      </w:r>
      <w:r>
        <w:rPr>
          <w:rFonts w:ascii="Arial" w:cs="Arial" w:eastAsia="Arial" w:hAnsi="Arial"/>
          <w:sz w:val="19"/>
          <w:szCs w:val="19"/>
          <w:color w:val="0B0B0B"/>
        </w:rPr>
        <w:t>”), the Merger Agreement shall provide that (a) the portion of such consideration that is not Additional Consideration (such portion, the “</w:t>
      </w:r>
      <w:r>
        <w:rPr>
          <w:rFonts w:ascii="Arial" w:cs="Arial" w:eastAsia="Arial" w:hAnsi="Arial"/>
          <w:sz w:val="19"/>
          <w:szCs w:val="19"/>
          <w:b w:val="1"/>
          <w:bCs w:val="1"/>
          <w:color w:val="0B0B0B"/>
        </w:rPr>
        <w:t>Initial Consideration</w:t>
      </w:r>
      <w:r>
        <w:rPr>
          <w:rFonts w:ascii="Arial" w:cs="Arial" w:eastAsia="Arial" w:hAnsi="Arial"/>
          <w:sz w:val="19"/>
          <w:szCs w:val="19"/>
          <w:color w:val="0B0B0B"/>
        </w:rPr>
        <w:t xml:space="preserve">”) shall be allocated among the holders of capital stock of the Corporation in accordance with </w:t>
      </w:r>
      <w:r>
        <w:rPr>
          <w:rFonts w:ascii="Arial" w:cs="Arial" w:eastAsia="Arial" w:hAnsi="Arial"/>
          <w:sz w:val="19"/>
          <w:szCs w:val="19"/>
          <w:u w:val="single" w:color="auto"/>
          <w:color w:val="0B0B0B"/>
        </w:rPr>
        <w:t>Subsections 2.1</w:t>
      </w:r>
      <w:r>
        <w:rPr>
          <w:rFonts w:ascii="Arial" w:cs="Arial" w:eastAsia="Arial" w:hAnsi="Arial"/>
          <w:sz w:val="19"/>
          <w:szCs w:val="19"/>
          <w:color w:val="0B0B0B"/>
        </w:rPr>
        <w:t xml:space="preserve"> and </w:t>
      </w:r>
      <w:r>
        <w:rPr>
          <w:rFonts w:ascii="Arial" w:cs="Arial" w:eastAsia="Arial" w:hAnsi="Arial"/>
          <w:sz w:val="19"/>
          <w:szCs w:val="19"/>
          <w:u w:val="single" w:color="auto"/>
          <w:color w:val="0B0B0B"/>
        </w:rPr>
        <w:t>2.2</w:t>
      </w:r>
      <w:r>
        <w:rPr>
          <w:rFonts w:ascii="Arial" w:cs="Arial" w:eastAsia="Arial" w:hAnsi="Arial"/>
          <w:sz w:val="19"/>
          <w:szCs w:val="19"/>
          <w:color w:val="0B0B0B"/>
        </w:rPr>
        <w:t xml:space="preserve"> as if the Initial Consideration were the only consideration payable in connection with such Deemed Liquidation Event; and (b) any Additional Consideration which becomes payable to the stockholders of the Corporation upon satisfaction of such contingencies shall be allocated among the holders of capital stock of the Corporation in accordance with </w:t>
      </w:r>
      <w:r>
        <w:rPr>
          <w:rFonts w:ascii="Arial" w:cs="Arial" w:eastAsia="Arial" w:hAnsi="Arial"/>
          <w:sz w:val="19"/>
          <w:szCs w:val="19"/>
          <w:u w:val="single" w:color="auto"/>
          <w:color w:val="0B0B0B"/>
        </w:rPr>
        <w:t>Subsections 2.1</w:t>
      </w:r>
      <w:r>
        <w:rPr>
          <w:rFonts w:ascii="Arial" w:cs="Arial" w:eastAsia="Arial" w:hAnsi="Arial"/>
          <w:sz w:val="19"/>
          <w:szCs w:val="19"/>
          <w:color w:val="0B0B0B"/>
        </w:rPr>
        <w:t xml:space="preserve"> and </w:t>
      </w:r>
      <w:r>
        <w:rPr>
          <w:rFonts w:ascii="Arial" w:cs="Arial" w:eastAsia="Arial" w:hAnsi="Arial"/>
          <w:sz w:val="19"/>
          <w:szCs w:val="19"/>
          <w:u w:val="single" w:color="auto"/>
          <w:color w:val="0B0B0B"/>
        </w:rPr>
        <w:t>2.2</w:t>
      </w:r>
      <w:r>
        <w:rPr>
          <w:rFonts w:ascii="Arial" w:cs="Arial" w:eastAsia="Arial" w:hAnsi="Arial"/>
          <w:sz w:val="19"/>
          <w:szCs w:val="19"/>
          <w:color w:val="0B0B0B"/>
        </w:rPr>
        <w:t xml:space="preserve"> after taking into account the previous payment of the Initial Consideration as part of the same transaction. For the purposes of this </w:t>
      </w:r>
      <w:r>
        <w:rPr>
          <w:rFonts w:ascii="Arial" w:cs="Arial" w:eastAsia="Arial" w:hAnsi="Arial"/>
          <w:sz w:val="19"/>
          <w:szCs w:val="19"/>
          <w:u w:val="single" w:color="auto"/>
          <w:color w:val="0B0B0B"/>
        </w:rPr>
        <w:t>Subsection</w:t>
      </w:r>
      <w:r>
        <w:rPr>
          <w:rFonts w:ascii="Arial" w:cs="Arial" w:eastAsia="Arial" w:hAnsi="Arial"/>
          <w:sz w:val="19"/>
          <w:szCs w:val="19"/>
          <w:color w:val="0B0B0B"/>
        </w:rPr>
        <w:t xml:space="preserve"> </w:t>
      </w:r>
      <w:r>
        <w:rPr>
          <w:rFonts w:ascii="Arial" w:cs="Arial" w:eastAsia="Arial" w:hAnsi="Arial"/>
          <w:sz w:val="19"/>
          <w:szCs w:val="19"/>
          <w:u w:val="single" w:color="auto"/>
          <w:color w:val="0B0B0B"/>
        </w:rPr>
        <w:t>2.3.4</w:t>
      </w:r>
      <w:r>
        <w:rPr>
          <w:rFonts w:ascii="Arial" w:cs="Arial" w:eastAsia="Arial" w:hAnsi="Arial"/>
          <w:sz w:val="19"/>
          <w:szCs w:val="19"/>
          <w:color w:val="0B0B0B"/>
        </w:rPr>
        <w:t>, consideration placed into escrow or retained as holdback to be available for satisfaction of indemnification or similar obligations in connection with such Deemed Liquidation Event shall be deemed to be Additional Consideration.</w:t>
      </w:r>
    </w:p>
    <w:p>
      <w:pPr>
        <w:spacing w:after="0" w:line="109" w:lineRule="exact"/>
        <w:rPr>
          <w:rFonts w:ascii="Arial" w:cs="Arial" w:eastAsia="Arial" w:hAnsi="Arial"/>
          <w:sz w:val="19"/>
          <w:szCs w:val="19"/>
          <w:color w:val="0B0B0B"/>
        </w:rPr>
      </w:pPr>
    </w:p>
    <w:p>
      <w:pPr>
        <w:ind w:left="1680" w:hanging="376"/>
        <w:spacing w:after="0"/>
        <w:tabs>
          <w:tab w:leader="none" w:pos="1680" w:val="left"/>
        </w:tabs>
        <w:numPr>
          <w:ilvl w:val="0"/>
          <w:numId w:val="146"/>
        </w:numPr>
        <w:rPr>
          <w:rFonts w:ascii="Arial" w:cs="Arial" w:eastAsia="Arial" w:hAnsi="Arial"/>
          <w:sz w:val="22"/>
          <w:szCs w:val="22"/>
          <w:color w:val="0B0B0B"/>
        </w:rPr>
      </w:pPr>
      <w:r>
        <w:rPr>
          <w:rFonts w:ascii="Arial" w:cs="Arial" w:eastAsia="Arial" w:hAnsi="Arial"/>
          <w:sz w:val="22"/>
          <w:szCs w:val="22"/>
          <w:u w:val="single" w:color="auto"/>
          <w:color w:val="0B0B0B"/>
        </w:rPr>
        <w:t>Voting</w:t>
      </w:r>
      <w:r>
        <w:rPr>
          <w:rFonts w:ascii="Arial" w:cs="Arial" w:eastAsia="Arial" w:hAnsi="Arial"/>
          <w:sz w:val="22"/>
          <w:szCs w:val="22"/>
          <w:color w:val="0B0B0B"/>
        </w:rPr>
        <w:t>.</w:t>
      </w:r>
    </w:p>
    <w:p>
      <w:pPr>
        <w:spacing w:after="0" w:line="166" w:lineRule="exact"/>
        <w:rPr>
          <w:sz w:val="20"/>
          <w:szCs w:val="20"/>
          <w:color w:val="auto"/>
        </w:rPr>
      </w:pPr>
    </w:p>
    <w:p>
      <w:pPr>
        <w:ind w:firstLine="1944"/>
        <w:spacing w:after="0" w:line="263"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General</w:t>
      </w:r>
      <w:r>
        <w:rPr>
          <w:rFonts w:ascii="Arial" w:cs="Arial" w:eastAsia="Arial" w:hAnsi="Arial"/>
          <w:sz w:val="22"/>
          <w:szCs w:val="22"/>
          <w:color w:val="auto"/>
        </w:rPr>
        <w:t>. On any matter presented to the stockholders of the Corporation for their action or consideration at any meeting of stock.holders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204" w:name="page205"/>
    <w:bookmarkEnd w:id="204"/>
    <w:p>
      <w:pPr>
        <w:jc w:val="both"/>
        <w:spacing w:after="0" w:line="263" w:lineRule="auto"/>
        <w:rPr>
          <w:sz w:val="20"/>
          <w:szCs w:val="20"/>
          <w:color w:val="auto"/>
        </w:rPr>
      </w:pPr>
      <w:r>
        <w:rPr>
          <w:rFonts w:ascii="Arial" w:cs="Arial" w:eastAsia="Arial" w:hAnsi="Arial"/>
          <w:sz w:val="21"/>
          <w:szCs w:val="21"/>
          <w:color w:val="auto"/>
        </w:rPr>
        <w:t>(or by written consent of stockholders in lieu of meeting), each holder of outstanding shares of Series A Preferred Stock shall be entitled to cast the number of votes equal to the number of whole shares of Common Stock into which the shares of Series A Preferred Stock held by such holder are convertible as of the record date for determining stockholders entitled to vote on such matter. Except as provided by law or by the other provisions of the Certificate of Incorporation, holders of Series A Preferred Stock shall vote together with the holders of Common Stock as a single class.</w:t>
      </w:r>
    </w:p>
    <w:p>
      <w:pPr>
        <w:spacing w:after="0" w:line="121" w:lineRule="exact"/>
        <w:rPr>
          <w:sz w:val="20"/>
          <w:szCs w:val="20"/>
          <w:color w:val="auto"/>
        </w:rPr>
      </w:pPr>
    </w:p>
    <w:p>
      <w:pPr>
        <w:ind w:left="1960"/>
        <w:spacing w:after="0"/>
        <w:tabs>
          <w:tab w:leader="none" w:pos="24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Election of Directors</w:t>
      </w:r>
      <w:r>
        <w:rPr>
          <w:rFonts w:ascii="Arial" w:cs="Arial" w:eastAsia="Arial" w:hAnsi="Arial"/>
          <w:sz w:val="19"/>
          <w:szCs w:val="19"/>
          <w:color w:val="auto"/>
        </w:rPr>
        <w:t>. The Board shall initially consist of five (5) members, which shall be elected in</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the following manner: (i) the holders of record of the shares of Series A Preferred Stock, exclusively and as a separate class, shall</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be entitled to elect two (2) directors of the Corporation (the “</w:t>
      </w:r>
      <w:r>
        <w:rPr>
          <w:rFonts w:ascii="Arial" w:cs="Arial" w:eastAsia="Arial" w:hAnsi="Arial"/>
          <w:sz w:val="19"/>
          <w:szCs w:val="19"/>
          <w:b w:val="1"/>
          <w:bCs w:val="1"/>
          <w:color w:val="auto"/>
        </w:rPr>
        <w:t>Series A Directors</w:t>
      </w:r>
      <w:r>
        <w:rPr>
          <w:rFonts w:ascii="Arial" w:cs="Arial" w:eastAsia="Arial" w:hAnsi="Arial"/>
          <w:sz w:val="19"/>
          <w:szCs w:val="19"/>
          <w:color w:val="auto"/>
        </w:rPr>
        <w:t>”); (ii) the holders of record of the shares of</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Class F Common Stock, exclusively and as a separate class, shall be entitled to elect one (1) director of the Corporation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Founder Director</w:t>
      </w:r>
      <w:r>
        <w:rPr>
          <w:rFonts w:ascii="Arial" w:cs="Arial" w:eastAsia="Arial" w:hAnsi="Arial"/>
          <w:sz w:val="19"/>
          <w:szCs w:val="19"/>
          <w:color w:val="auto"/>
        </w:rPr>
        <w:t>”); and (iii) the holders of record of the shares of Common Stock, voting as a separate class, and the holders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of record of the shares of Series A Preferred Stock, voting as a separate class and on an as-converted to Common Stock basis,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shall be entitled to elect two (2) directors. Any director elected as provided in the preceding sentence may be removed without</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cause by, and only by, the affirmative vote of the holders of the shares of the class or series of capital stock entitled to elect such</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director or directors, given either at a special meeting of such stockholders duly called for that purpose or pursuant to a written</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consent of stockholders. If the holders of shares of Series A Preferred Stock or Common Stock, as the case may be, fail to elect a</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sufficient number of directors to fill all directorships for which they are entitled to elect directors, voting exclusively and as a</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separate class, pursuant to the first sentence of this </w:t>
      </w:r>
      <w:r>
        <w:rPr>
          <w:rFonts w:ascii="Arial" w:cs="Arial" w:eastAsia="Arial" w:hAnsi="Arial"/>
          <w:sz w:val="19"/>
          <w:szCs w:val="19"/>
          <w:u w:val="single" w:color="auto"/>
          <w:color w:val="auto"/>
        </w:rPr>
        <w:t>Subsection 3.2</w:t>
      </w:r>
      <w:r>
        <w:rPr>
          <w:rFonts w:ascii="Arial" w:cs="Arial" w:eastAsia="Arial" w:hAnsi="Arial"/>
          <w:sz w:val="19"/>
          <w:szCs w:val="19"/>
          <w:color w:val="auto"/>
        </w:rPr>
        <w:t>, then any directorship not so filled shall remain vacant until</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such time as the holders of the Series A Preferred Stock or Common Stock, as the case may be, elect a person to fill such</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directorship by vote or written consent in lieu of a meeting; and no such directorship may be filled by stockholders of the</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Corporation other than by the stockholders of the Corporation that are entitled to elect a person to fill such directorship, voting</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exclusively and as a separate class. The holders of record of the shares of Common Stock and of any other class or series of</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voting stock (including the Series A Preferred Stock), exclusively and voting together as a single class, shall be entitled to elect</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the balance of the total number of directors of the Corporation. At any meeting held for the purpose of electing a director,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presence in person or by proxy of the holders of a majority of the outstanding shares of the class or series entitled to elect such</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director shall constitute a quorum for the purpose of electing such director. At each meeting or each action by written consent of</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the Board, the Founder Director shall have the number of votes as a director equal to: (a) one;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(b) the size of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Board on the date of such meeting or action by written consent (the “</w:t>
      </w:r>
      <w:r>
        <w:rPr>
          <w:rFonts w:ascii="Arial" w:cs="Arial" w:eastAsia="Arial" w:hAnsi="Arial"/>
          <w:sz w:val="19"/>
          <w:szCs w:val="19"/>
          <w:b w:val="1"/>
          <w:bCs w:val="1"/>
          <w:color w:val="auto"/>
        </w:rPr>
        <w:t>Founder Director Voting Rights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that the Founder Director Voting Rights shall terminate upon a Qualified IPO, at which time the Founder Director shall be</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entitled to one (1) vote as a director. Except as otherwise provided in this </w:t>
      </w:r>
      <w:r>
        <w:rPr>
          <w:rFonts w:ascii="Arial" w:cs="Arial" w:eastAsia="Arial" w:hAnsi="Arial"/>
          <w:sz w:val="19"/>
          <w:szCs w:val="19"/>
          <w:u w:val="single" w:color="auto"/>
          <w:color w:val="auto"/>
        </w:rPr>
        <w:t>Subsection3.2</w:t>
      </w:r>
      <w:r>
        <w:rPr>
          <w:rFonts w:ascii="Arial" w:cs="Arial" w:eastAsia="Arial" w:hAnsi="Arial"/>
          <w:sz w:val="19"/>
          <w:szCs w:val="19"/>
          <w:color w:val="auto"/>
        </w:rPr>
        <w:t>, a vacancy in any directorship filled by</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the holders of any class or series shall be filled only by vote or written consent in lieu of a meeting of the holders of such class or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series or by any remaining director or directors elected by the holders of such class or series pursuant to this </w:t>
      </w:r>
      <w:r>
        <w:rPr>
          <w:rFonts w:ascii="Arial" w:cs="Arial" w:eastAsia="Arial" w:hAnsi="Arial"/>
          <w:sz w:val="19"/>
          <w:szCs w:val="19"/>
          <w:u w:val="single" w:color="auto"/>
          <w:color w:val="auto"/>
        </w:rPr>
        <w:t>Subsection 3.2</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205" w:name="page206"/>
    <w:bookmarkEnd w:id="205"/>
    <w:p>
      <w:pPr>
        <w:jc w:val="both"/>
        <w:ind w:firstLine="1944"/>
        <w:spacing w:after="0" w:line="259" w:lineRule="auto"/>
        <w:rPr>
          <w:sz w:val="20"/>
          <w:szCs w:val="20"/>
          <w:color w:val="auto"/>
        </w:rPr>
      </w:pPr>
      <w:r>
        <w:rPr>
          <w:rFonts w:ascii="Arial" w:cs="Arial" w:eastAsia="Arial" w:hAnsi="Arial"/>
          <w:sz w:val="21"/>
          <w:szCs w:val="21"/>
          <w:color w:val="auto"/>
        </w:rPr>
        <w:t xml:space="preserve">3.3 </w:t>
      </w:r>
      <w:r>
        <w:rPr>
          <w:rFonts w:ascii="Arial" w:cs="Arial" w:eastAsia="Arial" w:hAnsi="Arial"/>
          <w:sz w:val="21"/>
          <w:szCs w:val="21"/>
          <w:u w:val="single" w:color="auto"/>
          <w:color w:val="auto"/>
        </w:rPr>
        <w:t>Series A Preferred Stock Protective Provisions</w:t>
      </w:r>
      <w:r>
        <w:rPr>
          <w:rFonts w:ascii="Arial" w:cs="Arial" w:eastAsia="Arial" w:hAnsi="Arial"/>
          <w:sz w:val="21"/>
          <w:szCs w:val="21"/>
          <w:color w:val="auto"/>
        </w:rPr>
        <w:t xml:space="preserve">. At any time when at least 1,729,620 shares of Series A Preferred Stock (subject to appropriate adjustment in the event of any stock dividend, stock split, combination or other similar recapitalization with respect to the Series A Preferred Stock) are outstanding, the Corporation shall not, either directly or indirectly by amendment, merger, consolidation or otherwise, do any of the following without (in addition to any other vote required by law or the Certificate of Incorporation) the written consent or affirmative vote of the holders of at least a majority of the then outstanding shares of Series A Preferred Stock, given in writing or by vote at a meeting, consenting or voting (as the case may be) separately as a class, and any such act or transaction entered into without such consent or vote shall be null and void </w:t>
      </w:r>
      <w:r>
        <w:rPr>
          <w:rFonts w:ascii="Arial" w:cs="Arial" w:eastAsia="Arial" w:hAnsi="Arial"/>
          <w:sz w:val="21"/>
          <w:szCs w:val="21"/>
          <w:i w:val="1"/>
          <w:iCs w:val="1"/>
          <w:color w:val="auto"/>
        </w:rPr>
        <w:t>ab initio</w:t>
      </w:r>
      <w:r>
        <w:rPr>
          <w:rFonts w:ascii="Arial" w:cs="Arial" w:eastAsia="Arial" w:hAnsi="Arial"/>
          <w:sz w:val="21"/>
          <w:szCs w:val="21"/>
          <w:color w:val="auto"/>
        </w:rPr>
        <w:t>, and of no force or effect.</w:t>
      </w:r>
    </w:p>
    <w:p>
      <w:pPr>
        <w:spacing w:after="0" w:line="129" w:lineRule="exact"/>
        <w:rPr>
          <w:sz w:val="20"/>
          <w:szCs w:val="20"/>
          <w:color w:val="auto"/>
        </w:rPr>
      </w:pPr>
    </w:p>
    <w:p>
      <w:pPr>
        <w:jc w:val="both"/>
        <w:ind w:firstLine="2592"/>
        <w:spacing w:after="0" w:line="263" w:lineRule="auto"/>
        <w:rPr>
          <w:sz w:val="20"/>
          <w:szCs w:val="20"/>
          <w:color w:val="auto"/>
        </w:rPr>
      </w:pPr>
      <w:r>
        <w:rPr>
          <w:rFonts w:ascii="Arial" w:cs="Arial" w:eastAsia="Arial" w:hAnsi="Arial"/>
          <w:sz w:val="22"/>
          <w:szCs w:val="22"/>
          <w:color w:val="auto"/>
        </w:rPr>
        <w:t>3.3.1. liquidate, dissolve or wind-up the business and affairs of the Corporation, effect any merger or consolidation, other than a Deemed Liquidation Event, or consent to any of the foregoing;</w:t>
      </w:r>
    </w:p>
    <w:p>
      <w:pPr>
        <w:spacing w:after="0" w:line="121" w:lineRule="exact"/>
        <w:rPr>
          <w:sz w:val="20"/>
          <w:szCs w:val="20"/>
          <w:color w:val="auto"/>
        </w:rPr>
      </w:pPr>
    </w:p>
    <w:p>
      <w:pPr>
        <w:ind w:left="2600"/>
        <w:spacing w:after="0"/>
        <w:tabs>
          <w:tab w:leader="none" w:pos="3360" w:val="left"/>
        </w:tabs>
        <w:rPr>
          <w:sz w:val="20"/>
          <w:szCs w:val="20"/>
          <w:color w:val="auto"/>
        </w:rPr>
      </w:pPr>
      <w:r>
        <w:rPr>
          <w:rFonts w:ascii="Arial" w:cs="Arial" w:eastAsia="Arial" w:hAnsi="Arial"/>
          <w:sz w:val="22"/>
          <w:szCs w:val="22"/>
          <w:color w:val="auto"/>
        </w:rPr>
        <w:t>3.3.2.</w:t>
      </w:r>
      <w:r>
        <w:rPr>
          <w:sz w:val="20"/>
          <w:szCs w:val="20"/>
          <w:color w:val="auto"/>
        </w:rPr>
        <w:tab/>
      </w:r>
      <w:r>
        <w:rPr>
          <w:rFonts w:ascii="Arial" w:cs="Arial" w:eastAsia="Arial" w:hAnsi="Arial"/>
          <w:sz w:val="19"/>
          <w:szCs w:val="19"/>
          <w:color w:val="auto"/>
        </w:rPr>
        <w:t>amend, alter or repeal any provision of the Certificate of Incorporation or Bylaws of the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Corporation;</w:t>
      </w:r>
    </w:p>
    <w:p>
      <w:pPr>
        <w:spacing w:after="0" w:line="148" w:lineRule="exact"/>
        <w:rPr>
          <w:sz w:val="20"/>
          <w:szCs w:val="20"/>
          <w:color w:val="auto"/>
        </w:rPr>
      </w:pPr>
    </w:p>
    <w:p>
      <w:pPr>
        <w:jc w:val="both"/>
        <w:ind w:firstLine="2592"/>
        <w:spacing w:after="0" w:line="246" w:lineRule="auto"/>
        <w:rPr>
          <w:sz w:val="20"/>
          <w:szCs w:val="20"/>
          <w:color w:val="auto"/>
        </w:rPr>
      </w:pPr>
      <w:r>
        <w:rPr>
          <w:rFonts w:ascii="Arial" w:cs="Arial" w:eastAsia="Arial" w:hAnsi="Arial"/>
          <w:sz w:val="22"/>
          <w:szCs w:val="22"/>
          <w:color w:val="auto"/>
        </w:rPr>
        <w:t>3.3.3. create, or authorize the creation of, or issue or obligate itself to issue shares of, any additional class or series of capital stock unless the same ranks junior to the Series A Preferred Stock with respect to the distribution of assets on the liquidation, dissolution or winding up of the Corporation, the payment of dividends and rights of redemption, or increase the authorized number of shares of Series A Preferred Stock or increase the authorized number of shares of any additional class or series of capital stock unless the same ranks junior to the Series A Preferred Stock with respect to the distribution of assets on the liquidation, dissolution or winding up of the Corporation, the payment of dividends and rights of redemption;</w:t>
      </w:r>
    </w:p>
    <w:p>
      <w:pPr>
        <w:spacing w:after="0" w:line="142" w:lineRule="exact"/>
        <w:rPr>
          <w:sz w:val="20"/>
          <w:szCs w:val="20"/>
          <w:color w:val="auto"/>
        </w:rPr>
      </w:pPr>
    </w:p>
    <w:p>
      <w:pPr>
        <w:jc w:val="both"/>
        <w:ind w:firstLine="2592"/>
        <w:spacing w:after="0" w:line="259" w:lineRule="auto"/>
        <w:rPr>
          <w:sz w:val="20"/>
          <w:szCs w:val="20"/>
          <w:color w:val="auto"/>
        </w:rPr>
      </w:pPr>
      <w:r>
        <w:rPr>
          <w:rFonts w:ascii="Arial" w:cs="Arial" w:eastAsia="Arial" w:hAnsi="Arial"/>
          <w:sz w:val="21"/>
          <w:szCs w:val="21"/>
          <w:color w:val="auto"/>
        </w:rPr>
        <w:t xml:space="preserve">3.3.4. (i) reclassify, alter or amend any existing security of the Corporation that is </w:t>
      </w:r>
      <w:r>
        <w:rPr>
          <w:rFonts w:ascii="Arial" w:cs="Arial" w:eastAsia="Arial" w:hAnsi="Arial"/>
          <w:sz w:val="21"/>
          <w:szCs w:val="21"/>
          <w:i w:val="1"/>
          <w:iCs w:val="1"/>
          <w:color w:val="auto"/>
        </w:rPr>
        <w:t>pari passu</w:t>
      </w:r>
      <w:r>
        <w:rPr>
          <w:rFonts w:ascii="Arial" w:cs="Arial" w:eastAsia="Arial" w:hAnsi="Arial"/>
          <w:sz w:val="21"/>
          <w:szCs w:val="21"/>
          <w:color w:val="auto"/>
        </w:rPr>
        <w:t xml:space="preserve"> with the Series A Preferred Stock in respect of the distribution of assets on the liquidation, dissolution or winding up of the Corporation, the payment of dividends or rights of redemption, if such reclassification, alteration or amendment would render such other security senior to the Series A Preferred Stock in respect of any such right, preference, or privilege or (ii) reclassify, alter or amend any existing security of the Corporation that is junior to the Series A Preferred Stock in respect of the distribution of assets on the liquidation, dissolution or winding up of the Corporation, the payment of dividends or rights of redemption, if such reclassification, alteration or amendment would render such other security senior to or </w:t>
      </w:r>
      <w:r>
        <w:rPr>
          <w:rFonts w:ascii="Arial" w:cs="Arial" w:eastAsia="Arial" w:hAnsi="Arial"/>
          <w:sz w:val="21"/>
          <w:szCs w:val="21"/>
          <w:i w:val="1"/>
          <w:iCs w:val="1"/>
          <w:color w:val="auto"/>
        </w:rPr>
        <w:t>pari passu</w:t>
      </w:r>
      <w:r>
        <w:rPr>
          <w:rFonts w:ascii="Arial" w:cs="Arial" w:eastAsia="Arial" w:hAnsi="Arial"/>
          <w:sz w:val="21"/>
          <w:szCs w:val="21"/>
          <w:color w:val="auto"/>
        </w:rPr>
        <w:t xml:space="preserve"> with the Series A Preferred Stock in respect of any such right, preference or privilege;</w:t>
      </w:r>
    </w:p>
    <w:p>
      <w:pPr>
        <w:spacing w:after="0" w:line="129" w:lineRule="exact"/>
        <w:rPr>
          <w:sz w:val="20"/>
          <w:szCs w:val="20"/>
          <w:color w:val="auto"/>
        </w:rPr>
      </w:pPr>
    </w:p>
    <w:p>
      <w:pPr>
        <w:jc w:val="both"/>
        <w:ind w:firstLine="2592"/>
        <w:spacing w:after="0" w:line="294" w:lineRule="auto"/>
        <w:rPr>
          <w:sz w:val="20"/>
          <w:szCs w:val="20"/>
          <w:color w:val="auto"/>
        </w:rPr>
      </w:pPr>
      <w:r>
        <w:rPr>
          <w:rFonts w:ascii="Arial" w:cs="Arial" w:eastAsia="Arial" w:hAnsi="Arial"/>
          <w:sz w:val="19"/>
          <w:szCs w:val="19"/>
          <w:color w:val="auto"/>
        </w:rPr>
        <w:t>3.3.5. purchase or redeem (or permit any subsidiary to purchase or redeem) or pay or declare any dividend or make any distribution on, any shares of capital stock of the Corporation other than (i) redemptions of or dividends or distributions on the Series A Preferred Stock as expressly authorized herein, (ii) dividends or other distributions payable on the Common Stock solely in the form of additional shares of Common Stock and (iii) repurchases of stock from former employees, officers, directors, consultants or other persons who performed services for the Corporation or any subsidiary in connection with the cessation of such employment or service at the lower of the original purchase price or the then-current fair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206" w:name="page207"/>
    <w:bookmarkEnd w:id="206"/>
    <w:p>
      <w:pPr>
        <w:spacing w:after="0"/>
        <w:rPr>
          <w:sz w:val="20"/>
          <w:szCs w:val="20"/>
          <w:color w:val="auto"/>
        </w:rPr>
      </w:pPr>
      <w:r>
        <w:rPr>
          <w:rFonts w:ascii="Arial" w:cs="Arial" w:eastAsia="Arial" w:hAnsi="Arial"/>
          <w:sz w:val="22"/>
          <w:szCs w:val="22"/>
          <w:color w:val="auto"/>
        </w:rPr>
        <w:t>value thereof or (iv) as approved by the Board, including the approval of at least one Series A Director;</w:t>
      </w:r>
    </w:p>
    <w:p>
      <w:pPr>
        <w:spacing w:after="0" w:line="166" w:lineRule="exact"/>
        <w:rPr>
          <w:sz w:val="20"/>
          <w:szCs w:val="20"/>
          <w:color w:val="auto"/>
        </w:rPr>
      </w:pPr>
    </w:p>
    <w:p>
      <w:pPr>
        <w:jc w:val="both"/>
        <w:ind w:firstLine="2592"/>
        <w:spacing w:after="0" w:line="302" w:lineRule="auto"/>
        <w:rPr>
          <w:sz w:val="20"/>
          <w:szCs w:val="20"/>
          <w:color w:val="auto"/>
        </w:rPr>
      </w:pPr>
      <w:r>
        <w:rPr>
          <w:rFonts w:ascii="Arial" w:cs="Arial" w:eastAsia="Arial" w:hAnsi="Arial"/>
          <w:sz w:val="19"/>
          <w:szCs w:val="19"/>
          <w:color w:val="auto"/>
        </w:rPr>
        <w:t>3.3.6. create, or authorize the creation of, or issue, or authorize the issuance of any debt security, or permit any subsidiary to take any such action with respect to any debt security, if the aggregate indebtedness of the Corporation and its subsidiaries for borrowed money following such action would exceed $5,000,000 unless such debt security has received the prior approval of the Board of Directors, including the approval of the Series A Directors; or</w:t>
      </w:r>
    </w:p>
    <w:p>
      <w:pPr>
        <w:spacing w:after="0" w:line="88" w:lineRule="exact"/>
        <w:rPr>
          <w:sz w:val="20"/>
          <w:szCs w:val="20"/>
          <w:color w:val="auto"/>
        </w:rPr>
      </w:pPr>
    </w:p>
    <w:p>
      <w:pPr>
        <w:jc w:val="both"/>
        <w:ind w:firstLine="2592"/>
        <w:spacing w:after="0" w:line="248" w:lineRule="auto"/>
        <w:rPr>
          <w:sz w:val="20"/>
          <w:szCs w:val="20"/>
          <w:color w:val="auto"/>
        </w:rPr>
      </w:pPr>
      <w:r>
        <w:rPr>
          <w:rFonts w:ascii="Arial" w:cs="Arial" w:eastAsia="Arial" w:hAnsi="Arial"/>
          <w:sz w:val="22"/>
          <w:szCs w:val="22"/>
          <w:color w:val="auto"/>
        </w:rPr>
        <w:t>3.3.7. create, or hold capital stock in, any subsidiary that is not wholly owned (either directly or through one or more other subsidiaries) by the Corporation, or sell, transfer or otherwise dispose of any capital stock of any direct or indirect subsidiary of the Corporation, or permit any direct or indirect subsidiary to sell, lease, transfer, exclusively license or otherwise dispose (in a single transaction or series of related transactions) of all or substantially all of the assets of such subsidiary;</w:t>
      </w:r>
    </w:p>
    <w:p>
      <w:pPr>
        <w:spacing w:after="0" w:line="138" w:lineRule="exact"/>
        <w:rPr>
          <w:sz w:val="20"/>
          <w:szCs w:val="20"/>
          <w:color w:val="auto"/>
        </w:rPr>
      </w:pPr>
    </w:p>
    <w:p>
      <w:pPr>
        <w:ind w:left="2600"/>
        <w:spacing w:after="0"/>
        <w:tabs>
          <w:tab w:leader="none" w:pos="3280" w:val="left"/>
        </w:tabs>
        <w:rPr>
          <w:sz w:val="20"/>
          <w:szCs w:val="20"/>
          <w:color w:val="auto"/>
        </w:rPr>
      </w:pPr>
      <w:r>
        <w:rPr>
          <w:rFonts w:ascii="Arial" w:cs="Arial" w:eastAsia="Arial" w:hAnsi="Arial"/>
          <w:sz w:val="22"/>
          <w:szCs w:val="22"/>
          <w:color w:val="auto"/>
        </w:rPr>
        <w:t>3.3.8.</w:t>
      </w:r>
      <w:r>
        <w:rPr>
          <w:sz w:val="20"/>
          <w:szCs w:val="20"/>
          <w:color w:val="auto"/>
        </w:rPr>
        <w:tab/>
      </w:r>
      <w:r>
        <w:rPr>
          <w:rFonts w:ascii="Arial" w:cs="Arial" w:eastAsia="Arial" w:hAnsi="Arial"/>
          <w:sz w:val="19"/>
          <w:szCs w:val="19"/>
          <w:color w:val="auto"/>
        </w:rPr>
        <w:t>increase or decrease the size of the Board; or</w:t>
      </w:r>
    </w:p>
    <w:p>
      <w:pPr>
        <w:spacing w:after="0" w:line="166" w:lineRule="exact"/>
        <w:rPr>
          <w:sz w:val="20"/>
          <w:szCs w:val="20"/>
          <w:color w:val="auto"/>
        </w:rPr>
      </w:pPr>
    </w:p>
    <w:p>
      <w:pPr>
        <w:ind w:left="2600"/>
        <w:spacing w:after="0"/>
        <w:tabs>
          <w:tab w:leader="none" w:pos="3280" w:val="left"/>
        </w:tabs>
        <w:rPr>
          <w:sz w:val="20"/>
          <w:szCs w:val="20"/>
          <w:color w:val="auto"/>
        </w:rPr>
      </w:pPr>
      <w:r>
        <w:rPr>
          <w:rFonts w:ascii="Arial" w:cs="Arial" w:eastAsia="Arial" w:hAnsi="Arial"/>
          <w:sz w:val="22"/>
          <w:szCs w:val="22"/>
          <w:color w:val="auto"/>
        </w:rPr>
        <w:t>3.3.9.</w:t>
      </w:r>
      <w:r>
        <w:rPr>
          <w:sz w:val="20"/>
          <w:szCs w:val="20"/>
          <w:color w:val="auto"/>
        </w:rPr>
        <w:tab/>
      </w:r>
      <w:r>
        <w:rPr>
          <w:rFonts w:ascii="Arial" w:cs="Arial" w:eastAsia="Arial" w:hAnsi="Arial"/>
          <w:sz w:val="19"/>
          <w:szCs w:val="19"/>
          <w:color w:val="auto"/>
        </w:rPr>
        <w:t>amend or waiver any provision of this Section 3.3.</w:t>
      </w:r>
    </w:p>
    <w:p>
      <w:pPr>
        <w:spacing w:after="0" w:line="166" w:lineRule="exact"/>
        <w:rPr>
          <w:sz w:val="20"/>
          <w:szCs w:val="20"/>
          <w:color w:val="auto"/>
        </w:rPr>
      </w:pPr>
    </w:p>
    <w:p>
      <w:pPr>
        <w:ind w:left="1680" w:hanging="376"/>
        <w:spacing w:after="0"/>
        <w:tabs>
          <w:tab w:leader="none" w:pos="1680" w:val="left"/>
        </w:tabs>
        <w:numPr>
          <w:ilvl w:val="0"/>
          <w:numId w:val="147"/>
        </w:numPr>
        <w:rPr>
          <w:rFonts w:ascii="Arial" w:cs="Arial" w:eastAsia="Arial" w:hAnsi="Arial"/>
          <w:sz w:val="22"/>
          <w:szCs w:val="22"/>
          <w:color w:val="0B0B0B"/>
        </w:rPr>
      </w:pPr>
      <w:r>
        <w:rPr>
          <w:rFonts w:ascii="Arial" w:cs="Arial" w:eastAsia="Arial" w:hAnsi="Arial"/>
          <w:sz w:val="22"/>
          <w:szCs w:val="22"/>
          <w:u w:val="single" w:color="auto"/>
          <w:color w:val="0B0B0B"/>
        </w:rPr>
        <w:t>Optional Conversion</w:t>
      </w:r>
      <w:r>
        <w:rPr>
          <w:rFonts w:ascii="Arial" w:cs="Arial" w:eastAsia="Arial" w:hAnsi="Arial"/>
          <w:sz w:val="22"/>
          <w:szCs w:val="22"/>
          <w:color w:val="0B0B0B"/>
        </w:rPr>
        <w:t>.</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holders of the Series A Preferred Stock shall have conversion rights as follows (the “</w:t>
      </w:r>
      <w:r>
        <w:rPr>
          <w:rFonts w:ascii="Arial" w:cs="Arial" w:eastAsia="Arial" w:hAnsi="Arial"/>
          <w:sz w:val="21"/>
          <w:szCs w:val="21"/>
          <w:b w:val="1"/>
          <w:bCs w:val="1"/>
          <w:color w:val="auto"/>
        </w:rPr>
        <w:t>Conversion Rights</w:t>
      </w:r>
      <w:r>
        <w:rPr>
          <w:rFonts w:ascii="Arial" w:cs="Arial" w:eastAsia="Arial" w:hAnsi="Arial"/>
          <w:sz w:val="21"/>
          <w:szCs w:val="21"/>
          <w:color w:val="auto"/>
        </w:rPr>
        <w:t>”):</w:t>
      </w:r>
    </w:p>
    <w:p>
      <w:pPr>
        <w:spacing w:after="0" w:line="183" w:lineRule="exact"/>
        <w:rPr>
          <w:sz w:val="20"/>
          <w:szCs w:val="20"/>
          <w:color w:val="auto"/>
        </w:rPr>
      </w:pPr>
    </w:p>
    <w:p>
      <w:pPr>
        <w:ind w:left="1960"/>
        <w:spacing w:after="0"/>
        <w:tabs>
          <w:tab w:leader="none" w:pos="242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u w:val="single" w:color="auto"/>
          <w:color w:val="auto"/>
        </w:rPr>
        <w:t>Right to Convert</w:t>
      </w:r>
      <w:r>
        <w:rPr>
          <w:rFonts w:ascii="Arial" w:cs="Arial" w:eastAsia="Arial" w:hAnsi="Arial"/>
          <w:sz w:val="19"/>
          <w:szCs w:val="19"/>
          <w:color w:val="auto"/>
        </w:rPr>
        <w:t>.</w:t>
      </w:r>
    </w:p>
    <w:p>
      <w:pPr>
        <w:spacing w:after="0" w:line="166" w:lineRule="exact"/>
        <w:rPr>
          <w:sz w:val="20"/>
          <w:szCs w:val="20"/>
          <w:color w:val="auto"/>
        </w:rPr>
      </w:pPr>
    </w:p>
    <w:p>
      <w:pPr>
        <w:jc w:val="both"/>
        <w:ind w:firstLine="2592"/>
        <w:spacing w:after="0" w:line="246" w:lineRule="auto"/>
        <w:rPr>
          <w:sz w:val="20"/>
          <w:szCs w:val="20"/>
          <w:color w:val="auto"/>
        </w:rPr>
      </w:pPr>
      <w:r>
        <w:rPr>
          <w:rFonts w:ascii="Arial" w:cs="Arial" w:eastAsia="Arial" w:hAnsi="Arial"/>
          <w:sz w:val="22"/>
          <w:szCs w:val="22"/>
          <w:color w:val="auto"/>
        </w:rPr>
        <w:t xml:space="preserve">4.1.1. </w:t>
      </w:r>
      <w:r>
        <w:rPr>
          <w:rFonts w:ascii="Arial" w:cs="Arial" w:eastAsia="Arial" w:hAnsi="Arial"/>
          <w:sz w:val="22"/>
          <w:szCs w:val="22"/>
          <w:u w:val="single" w:color="auto"/>
          <w:color w:val="auto"/>
        </w:rPr>
        <w:t>Conversion Ratio</w:t>
      </w:r>
      <w:r>
        <w:rPr>
          <w:rFonts w:ascii="Arial" w:cs="Arial" w:eastAsia="Arial" w:hAnsi="Arial"/>
          <w:sz w:val="22"/>
          <w:szCs w:val="22"/>
          <w:color w:val="auto"/>
        </w:rPr>
        <w:t>. Each share of Series A Preferred Stock shall be convertible, at the option of the holder thereof, at any time and from time to time, and without the payment of additional consideration by the holder thereof, into such number of fully paid and non-assessable shares of Class A Common Stock as is determined by dividing the Series A Original Issue Price by the Series A Conversion Price (as defined below) in effect at the time of conversion. The “</w:t>
      </w:r>
      <w:r>
        <w:rPr>
          <w:rFonts w:ascii="Arial" w:cs="Arial" w:eastAsia="Arial" w:hAnsi="Arial"/>
          <w:sz w:val="22"/>
          <w:szCs w:val="22"/>
          <w:b w:val="1"/>
          <w:bCs w:val="1"/>
          <w:color w:val="auto"/>
        </w:rPr>
        <w:t>Series</w:t>
      </w:r>
      <w:r>
        <w:rPr>
          <w:rFonts w:ascii="Arial" w:cs="Arial" w:eastAsia="Arial" w:hAnsi="Arial"/>
          <w:sz w:val="22"/>
          <w:szCs w:val="22"/>
          <w:color w:val="auto"/>
        </w:rPr>
        <w:t xml:space="preserve"> </w:t>
      </w:r>
      <w:r>
        <w:rPr>
          <w:rFonts w:ascii="Arial" w:cs="Arial" w:eastAsia="Arial" w:hAnsi="Arial"/>
          <w:sz w:val="22"/>
          <w:szCs w:val="22"/>
          <w:b w:val="1"/>
          <w:bCs w:val="1"/>
          <w:color w:val="auto"/>
        </w:rPr>
        <w:t>A Conversion Price</w:t>
      </w:r>
      <w:r>
        <w:rPr>
          <w:rFonts w:ascii="Arial" w:cs="Arial" w:eastAsia="Arial" w:hAnsi="Arial"/>
          <w:sz w:val="22"/>
          <w:szCs w:val="22"/>
          <w:color w:val="auto"/>
        </w:rPr>
        <w:t>” shall initially be equal to $4.48980. Such initial Series A Conversion Price, and the rate at which shares of</w:t>
      </w:r>
      <w:r>
        <w:rPr>
          <w:rFonts w:ascii="Arial" w:cs="Arial" w:eastAsia="Arial" w:hAnsi="Arial"/>
          <w:sz w:val="22"/>
          <w:szCs w:val="22"/>
          <w:b w:val="1"/>
          <w:bCs w:val="1"/>
          <w:color w:val="auto"/>
        </w:rPr>
        <w:t xml:space="preserve"> </w:t>
      </w:r>
      <w:r>
        <w:rPr>
          <w:rFonts w:ascii="Arial" w:cs="Arial" w:eastAsia="Arial" w:hAnsi="Arial"/>
          <w:sz w:val="22"/>
          <w:szCs w:val="22"/>
          <w:color w:val="auto"/>
        </w:rPr>
        <w:t>Series A Preferred Stock may be converted into shares of Class A Common Stock, shall be subject to adjustment as provided below.</w:t>
      </w:r>
    </w:p>
    <w:p>
      <w:pPr>
        <w:spacing w:after="0" w:line="142" w:lineRule="exact"/>
        <w:rPr>
          <w:sz w:val="20"/>
          <w:szCs w:val="20"/>
          <w:color w:val="auto"/>
        </w:rPr>
      </w:pPr>
    </w:p>
    <w:p>
      <w:pPr>
        <w:jc w:val="both"/>
        <w:ind w:firstLine="2592"/>
        <w:spacing w:after="0" w:line="260" w:lineRule="auto"/>
        <w:rPr>
          <w:sz w:val="20"/>
          <w:szCs w:val="20"/>
          <w:color w:val="auto"/>
        </w:rPr>
      </w:pPr>
      <w:r>
        <w:rPr>
          <w:rFonts w:ascii="Arial" w:cs="Arial" w:eastAsia="Arial" w:hAnsi="Arial"/>
          <w:sz w:val="21"/>
          <w:szCs w:val="21"/>
          <w:color w:val="auto"/>
        </w:rPr>
        <w:t xml:space="preserve">4.1.2. </w:t>
      </w:r>
      <w:r>
        <w:rPr>
          <w:rFonts w:ascii="Arial" w:cs="Arial" w:eastAsia="Arial" w:hAnsi="Arial"/>
          <w:sz w:val="21"/>
          <w:szCs w:val="21"/>
          <w:u w:val="single" w:color="auto"/>
          <w:color w:val="auto"/>
        </w:rPr>
        <w:t>Termination of Conversion Rights</w:t>
      </w:r>
      <w:r>
        <w:rPr>
          <w:rFonts w:ascii="Arial" w:cs="Arial" w:eastAsia="Arial" w:hAnsi="Arial"/>
          <w:sz w:val="21"/>
          <w:szCs w:val="21"/>
          <w:color w:val="auto"/>
        </w:rPr>
        <w:t xml:space="preserve">. In the event of a notice of redemption of any shares of Series A Preferred Stock pursuant to </w:t>
      </w:r>
      <w:r>
        <w:rPr>
          <w:rFonts w:ascii="Arial" w:cs="Arial" w:eastAsia="Arial" w:hAnsi="Arial"/>
          <w:sz w:val="21"/>
          <w:szCs w:val="21"/>
          <w:u w:val="single" w:color="auto"/>
          <w:color w:val="auto"/>
        </w:rPr>
        <w:t>Section 6</w:t>
      </w:r>
      <w:r>
        <w:rPr>
          <w:rFonts w:ascii="Arial" w:cs="Arial" w:eastAsia="Arial" w:hAnsi="Arial"/>
          <w:sz w:val="21"/>
          <w:szCs w:val="21"/>
          <w:color w:val="auto"/>
        </w:rPr>
        <w:t>, the Conversion Rights of the shares designated for redemption shall terminate at the close of business on the last full day preceding the date fixed for redemption, unless the redemption price is not fully paid on such redemption date, in which case the Conversion Rights for such shares shall continue until such price is paid in full.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Series A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207" w:name="page208"/>
    <w:bookmarkEnd w:id="207"/>
    <w:p>
      <w:pPr>
        <w:jc w:val="both"/>
        <w:ind w:firstLine="1944"/>
        <w:spacing w:after="0" w:line="261"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u w:val="single" w:color="auto"/>
          <w:color w:val="auto"/>
        </w:rPr>
        <w:t>Fractional Shares</w:t>
      </w:r>
      <w:r>
        <w:rPr>
          <w:rFonts w:ascii="Arial" w:cs="Arial" w:eastAsia="Arial" w:hAnsi="Arial"/>
          <w:sz w:val="21"/>
          <w:szCs w:val="21"/>
          <w:color w:val="auto"/>
        </w:rPr>
        <w:t>. No fractional shares of Common Stock shall be issued upon conversion of the Series A Preferred Stock. In lieu of any fractional shares to which the holder would otherwise be entitled, the Corporation shall pay cash equal to such fraction multiplied by the fair market value of a share of Common Stock as determined in good faith by the Board. Whether or not fractional shares would be issuable upon such conversion shall be determined on the basis of the total number of shares of Series A Preferred Stock the holder is at the time converting into Common Stock and the aggregate number of shares of Common Stock issuable upon such conversion.</w:t>
      </w:r>
    </w:p>
    <w:p>
      <w:pPr>
        <w:spacing w:after="0" w:line="125" w:lineRule="exact"/>
        <w:rPr>
          <w:sz w:val="20"/>
          <w:szCs w:val="20"/>
          <w:color w:val="auto"/>
        </w:rPr>
      </w:pPr>
    </w:p>
    <w:p>
      <w:pPr>
        <w:ind w:left="1960"/>
        <w:spacing w:after="0"/>
        <w:tabs>
          <w:tab w:leader="none" w:pos="242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u w:val="single" w:color="auto"/>
          <w:color w:val="auto"/>
        </w:rPr>
        <w:t>Mechanics of Conversion</w:t>
      </w:r>
      <w:r>
        <w:rPr>
          <w:rFonts w:ascii="Arial" w:cs="Arial" w:eastAsia="Arial" w:hAnsi="Arial"/>
          <w:sz w:val="19"/>
          <w:szCs w:val="19"/>
          <w:color w:val="auto"/>
        </w:rPr>
        <w:t>.</w:t>
      </w:r>
    </w:p>
    <w:p>
      <w:pPr>
        <w:spacing w:after="0" w:line="166" w:lineRule="exact"/>
        <w:rPr>
          <w:sz w:val="20"/>
          <w:szCs w:val="20"/>
          <w:color w:val="auto"/>
        </w:rPr>
      </w:pPr>
    </w:p>
    <w:p>
      <w:pPr>
        <w:jc w:val="both"/>
        <w:ind w:firstLine="2592"/>
        <w:spacing w:after="0" w:line="284" w:lineRule="auto"/>
        <w:rPr>
          <w:sz w:val="20"/>
          <w:szCs w:val="20"/>
          <w:color w:val="auto"/>
        </w:rPr>
      </w:pPr>
      <w:r>
        <w:rPr>
          <w:rFonts w:ascii="Arial" w:cs="Arial" w:eastAsia="Arial" w:hAnsi="Arial"/>
          <w:sz w:val="19"/>
          <w:szCs w:val="19"/>
          <w:color w:val="auto"/>
        </w:rPr>
        <w:t xml:space="preserve">4.3.1. </w:t>
      </w:r>
      <w:r>
        <w:rPr>
          <w:rFonts w:ascii="Arial" w:cs="Arial" w:eastAsia="Arial" w:hAnsi="Arial"/>
          <w:sz w:val="19"/>
          <w:szCs w:val="19"/>
          <w:u w:val="single" w:color="auto"/>
          <w:color w:val="auto"/>
        </w:rPr>
        <w:t>Notice of Conversion</w:t>
      </w:r>
      <w:r>
        <w:rPr>
          <w:rFonts w:ascii="Arial" w:cs="Arial" w:eastAsia="Arial" w:hAnsi="Arial"/>
          <w:sz w:val="19"/>
          <w:szCs w:val="19"/>
          <w:color w:val="auto"/>
        </w:rPr>
        <w:t>. In order for a holder of Series A Preferred Stock to voluntarily convert shares of Series A Preferred Stock into shares of Class A Common Stock, such holder shall (a) provide written notice to the Corporation’s transfer agent at the office of the transfer agent for the Series A Preferred Stock (or at the principal office of the Corporation if the Corporation serves as its own transfer agent) that such holder elects to convert all or any number of such holder’s shares of Series A Preferred Stock and, if applicable, any event on which such conversion is contingent and (b), if such holder’s shares are certificated, surrender the certificate or certificates for such shares of Series A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Series A Preferred Stock (or at the principal office of the Corporation if the Corporation serves as its own transfer agent). Such notice shall state such holder’s name or the names of the nominees in which such holder wishes the shares of Class A Common Stock to be issued. If required by the Corporation, any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notice and, if applicable, certificates (or lost certificate affidavit and agreement) shall be the time of conversion (the “</w:t>
      </w:r>
      <w:r>
        <w:rPr>
          <w:rFonts w:ascii="Arial" w:cs="Arial" w:eastAsia="Arial" w:hAnsi="Arial"/>
          <w:sz w:val="19"/>
          <w:szCs w:val="19"/>
          <w:b w:val="1"/>
          <w:bCs w:val="1"/>
          <w:color w:val="auto"/>
        </w:rPr>
        <w:t>Conversion Time</w:t>
      </w:r>
      <w:r>
        <w:rPr>
          <w:rFonts w:ascii="Arial" w:cs="Arial" w:eastAsia="Arial" w:hAnsi="Arial"/>
          <w:sz w:val="19"/>
          <w:szCs w:val="19"/>
          <w:color w:val="auto"/>
        </w:rPr>
        <w:t xml:space="preserve">”), and the shares of Common Stock issuable upon conversion of the specified shares shall be deemed to be outstanding of record as of such date. The Corporation shall, as soon as practicable after the Conversion Time (i) issue and deliver to such holder of Series A Preferred Stock, or to his, her or its nominees, a certificate or certificates for the number of full shares of Class A Common Stock issuable upon such conversion in accordance with the provisions hereof and a certificate for the number (if any) of the shares of Series A Preferred Stock represented by the surrendered certificate that were not converted into Class A Common Stock, (ii) pay in cash such amount as provided in </w:t>
      </w:r>
      <w:r>
        <w:rPr>
          <w:rFonts w:ascii="Arial" w:cs="Arial" w:eastAsia="Arial" w:hAnsi="Arial"/>
          <w:sz w:val="19"/>
          <w:szCs w:val="19"/>
          <w:u w:val="single" w:color="auto"/>
          <w:color w:val="auto"/>
        </w:rPr>
        <w:t>Subsection 4.2</w:t>
      </w:r>
      <w:r>
        <w:rPr>
          <w:rFonts w:ascii="Arial" w:cs="Arial" w:eastAsia="Arial" w:hAnsi="Arial"/>
          <w:sz w:val="19"/>
          <w:szCs w:val="19"/>
          <w:color w:val="auto"/>
        </w:rPr>
        <w:t xml:space="preserve"> in lieu of any fraction of a share of Class A Common Stock otherwise issuable upon such conversion and (ii) pay all declared but unpaid dividends on the shares of Series A Preferred Stock converted.</w:t>
      </w:r>
    </w:p>
    <w:p>
      <w:pPr>
        <w:spacing w:after="0" w:line="115" w:lineRule="exact"/>
        <w:rPr>
          <w:sz w:val="20"/>
          <w:szCs w:val="20"/>
          <w:color w:val="auto"/>
        </w:rPr>
      </w:pPr>
    </w:p>
    <w:p>
      <w:pPr>
        <w:jc w:val="both"/>
        <w:ind w:firstLine="2592"/>
        <w:spacing w:after="0" w:line="253" w:lineRule="auto"/>
        <w:rPr>
          <w:sz w:val="20"/>
          <w:szCs w:val="20"/>
          <w:color w:val="auto"/>
        </w:rPr>
      </w:pPr>
      <w:r>
        <w:rPr>
          <w:rFonts w:ascii="Arial" w:cs="Arial" w:eastAsia="Arial" w:hAnsi="Arial"/>
          <w:sz w:val="22"/>
          <w:szCs w:val="22"/>
          <w:color w:val="auto"/>
        </w:rPr>
        <w:t xml:space="preserve">4.3.2. </w:t>
      </w:r>
      <w:r>
        <w:rPr>
          <w:rFonts w:ascii="Arial" w:cs="Arial" w:eastAsia="Arial" w:hAnsi="Arial"/>
          <w:sz w:val="22"/>
          <w:szCs w:val="22"/>
          <w:u w:val="single" w:color="auto"/>
          <w:color w:val="auto"/>
        </w:rPr>
        <w:t>Reservation of Shares</w:t>
      </w:r>
      <w:r>
        <w:rPr>
          <w:rFonts w:ascii="Arial" w:cs="Arial" w:eastAsia="Arial" w:hAnsi="Arial"/>
          <w:sz w:val="22"/>
          <w:szCs w:val="22"/>
          <w:color w:val="auto"/>
        </w:rPr>
        <w:t>. The Corporation shall at all times when the Series A Preferred Stock shall be outstanding, reserve and keep available out of its authorized but unissued capital stock, for the purpose of effecting the conversion of the Series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8" w:right="339" w:bottom="1440" w:gutter="0" w:footer="0" w:header="0"/>
        </w:sectPr>
      </w:pPr>
    </w:p>
    <w:bookmarkStart w:id="208" w:name="page209"/>
    <w:bookmarkEnd w:id="208"/>
    <w:p>
      <w:pPr>
        <w:jc w:val="both"/>
        <w:spacing w:after="0" w:line="288" w:lineRule="auto"/>
        <w:rPr>
          <w:sz w:val="20"/>
          <w:szCs w:val="20"/>
          <w:color w:val="auto"/>
        </w:rPr>
      </w:pPr>
      <w:r>
        <w:rPr>
          <w:rFonts w:ascii="Arial" w:cs="Arial" w:eastAsia="Arial" w:hAnsi="Arial"/>
          <w:sz w:val="19"/>
          <w:szCs w:val="19"/>
          <w:color w:val="auto"/>
        </w:rPr>
        <w:t>Preferred Stock, such number of its duly authorized shares of Class A Common Stock as shall from time to time be sufficient to effect the conversion of all outstanding Series A Preferred Stock; and if at any time the number of authorized but unissued shares of Common Stock shall not be sufficient to effect the conversion of all then outstanding shares of the Series A Preferred Stock, the Corporation shall take such corporate action as may be necessary to increase its authorized but unissued shares of Class A Common Stock to such number of shares as shall be sufficient for such purposes, including, without limitation, engaging in best efforts to obtain the requisite stockholder approval of any necessary amendment to the Certificate of Incorporation. Before taking any action which would cause an adjustment reducing the Series A Conversion Price below the then par value of the shares of Class A Common Stock issuable upon conversion of the Series A Preferred Stock, the Corporation will take any corporate action which may, in the opinion of its counsel, be necessary in order that the Corporation may validly and legally issue fully paid and non-assessable shares of Class A Common Stock at such adjusted Series A Conversion Price.</w:t>
      </w:r>
    </w:p>
    <w:p>
      <w:pPr>
        <w:spacing w:after="0" w:line="105" w:lineRule="exact"/>
        <w:rPr>
          <w:sz w:val="20"/>
          <w:szCs w:val="20"/>
          <w:color w:val="auto"/>
        </w:rPr>
      </w:pPr>
    </w:p>
    <w:p>
      <w:pPr>
        <w:jc w:val="both"/>
        <w:ind w:firstLine="2592"/>
        <w:spacing w:after="0" w:line="290" w:lineRule="auto"/>
        <w:rPr>
          <w:sz w:val="20"/>
          <w:szCs w:val="20"/>
          <w:color w:val="auto"/>
        </w:rPr>
      </w:pPr>
      <w:r>
        <w:rPr>
          <w:rFonts w:ascii="Arial" w:cs="Arial" w:eastAsia="Arial" w:hAnsi="Arial"/>
          <w:sz w:val="19"/>
          <w:szCs w:val="19"/>
          <w:color w:val="auto"/>
        </w:rPr>
        <w:t xml:space="preserve">4.3.3. </w:t>
      </w:r>
      <w:r>
        <w:rPr>
          <w:rFonts w:ascii="Arial" w:cs="Arial" w:eastAsia="Arial" w:hAnsi="Arial"/>
          <w:sz w:val="19"/>
          <w:szCs w:val="19"/>
          <w:u w:val="single" w:color="auto"/>
          <w:color w:val="auto"/>
        </w:rPr>
        <w:t>Effect of Conversion</w:t>
      </w:r>
      <w:r>
        <w:rPr>
          <w:rFonts w:ascii="Arial" w:cs="Arial" w:eastAsia="Arial" w:hAnsi="Arial"/>
          <w:sz w:val="19"/>
          <w:szCs w:val="19"/>
          <w:color w:val="auto"/>
        </w:rPr>
        <w:t xml:space="preserve">. All shares of Series A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Class A Common Stock in exchange therefor, to receive payment in lieu of any fraction of a share otherwise issuable upon such conversion as provided in </w:t>
      </w:r>
      <w:r>
        <w:rPr>
          <w:rFonts w:ascii="Arial" w:cs="Arial" w:eastAsia="Arial" w:hAnsi="Arial"/>
          <w:sz w:val="19"/>
          <w:szCs w:val="19"/>
          <w:u w:val="single" w:color="auto"/>
          <w:color w:val="auto"/>
        </w:rPr>
        <w:t>Subsection 4.2</w:t>
      </w:r>
      <w:r>
        <w:rPr>
          <w:rFonts w:ascii="Arial" w:cs="Arial" w:eastAsia="Arial" w:hAnsi="Arial"/>
          <w:sz w:val="19"/>
          <w:szCs w:val="19"/>
          <w:color w:val="auto"/>
        </w:rPr>
        <w:t xml:space="preserve"> and to receive payment of any dividends declared but unpaid thereon. Any shares of Series A Preferred Stock so converted shall be retired and cancelled and may not be reissued as shares of such series, and the Corporation may thereafter take such appropriate action (without the need for stockholder action) as may be necessary to reduce the authorized number of shares of Series A Preferred Stock accordingly.</w:t>
      </w:r>
    </w:p>
    <w:p>
      <w:pPr>
        <w:spacing w:after="0" w:line="102" w:lineRule="exact"/>
        <w:rPr>
          <w:sz w:val="20"/>
          <w:szCs w:val="20"/>
          <w:color w:val="auto"/>
        </w:rPr>
      </w:pPr>
    </w:p>
    <w:p>
      <w:pPr>
        <w:jc w:val="both"/>
        <w:ind w:firstLine="2592"/>
        <w:spacing w:after="0" w:line="253" w:lineRule="auto"/>
        <w:rPr>
          <w:sz w:val="20"/>
          <w:szCs w:val="20"/>
          <w:color w:val="auto"/>
        </w:rPr>
      </w:pPr>
      <w:r>
        <w:rPr>
          <w:rFonts w:ascii="Arial" w:cs="Arial" w:eastAsia="Arial" w:hAnsi="Arial"/>
          <w:sz w:val="22"/>
          <w:szCs w:val="22"/>
          <w:color w:val="auto"/>
        </w:rPr>
        <w:t xml:space="preserve">4.3.4. </w:t>
      </w:r>
      <w:r>
        <w:rPr>
          <w:rFonts w:ascii="Arial" w:cs="Arial" w:eastAsia="Arial" w:hAnsi="Arial"/>
          <w:sz w:val="22"/>
          <w:szCs w:val="22"/>
          <w:u w:val="single" w:color="auto"/>
          <w:color w:val="auto"/>
        </w:rPr>
        <w:t>No Further Adjustment</w:t>
      </w:r>
      <w:r>
        <w:rPr>
          <w:rFonts w:ascii="Arial" w:cs="Arial" w:eastAsia="Arial" w:hAnsi="Arial"/>
          <w:sz w:val="22"/>
          <w:szCs w:val="22"/>
          <w:color w:val="auto"/>
        </w:rPr>
        <w:t>. Upon any such conversion, no adjustment to the Series A Conversion Price shall be made for any declared but unpaid dividends on the Series A Preferred Stock surrendered for conversion or on the Class A Common Stock delivered upon conversion.</w:t>
      </w:r>
    </w:p>
    <w:p>
      <w:pPr>
        <w:spacing w:after="0" w:line="131" w:lineRule="exact"/>
        <w:rPr>
          <w:sz w:val="20"/>
          <w:szCs w:val="20"/>
          <w:color w:val="auto"/>
        </w:rPr>
      </w:pPr>
    </w:p>
    <w:p>
      <w:pPr>
        <w:jc w:val="both"/>
        <w:ind w:firstLine="2592"/>
        <w:spacing w:after="0" w:line="292" w:lineRule="auto"/>
        <w:rPr>
          <w:sz w:val="20"/>
          <w:szCs w:val="20"/>
          <w:color w:val="auto"/>
        </w:rPr>
      </w:pPr>
      <w:r>
        <w:rPr>
          <w:rFonts w:ascii="Arial" w:cs="Arial" w:eastAsia="Arial" w:hAnsi="Arial"/>
          <w:sz w:val="19"/>
          <w:szCs w:val="19"/>
          <w:color w:val="auto"/>
        </w:rPr>
        <w:t xml:space="preserve">4.3.5. </w:t>
      </w:r>
      <w:r>
        <w:rPr>
          <w:rFonts w:ascii="Arial" w:cs="Arial" w:eastAsia="Arial" w:hAnsi="Arial"/>
          <w:sz w:val="19"/>
          <w:szCs w:val="19"/>
          <w:u w:val="single" w:color="auto"/>
          <w:color w:val="auto"/>
        </w:rPr>
        <w:t>Taxes</w:t>
      </w:r>
      <w:r>
        <w:rPr>
          <w:rFonts w:ascii="Arial" w:cs="Arial" w:eastAsia="Arial" w:hAnsi="Arial"/>
          <w:sz w:val="19"/>
          <w:szCs w:val="19"/>
          <w:color w:val="auto"/>
        </w:rPr>
        <w:t xml:space="preserve">. The Corporation shall pay any and all issue and other similar taxes that may be payable in respect of any issuance or delivery of shares of Class A Common Stock upon conversion of shares of Series A Preferred Stock pursuant to this </w:t>
      </w:r>
      <w:r>
        <w:rPr>
          <w:rFonts w:ascii="Arial" w:cs="Arial" w:eastAsia="Arial" w:hAnsi="Arial"/>
          <w:sz w:val="19"/>
          <w:szCs w:val="19"/>
          <w:u w:val="single" w:color="auto"/>
          <w:color w:val="auto"/>
        </w:rPr>
        <w:t>Section 4</w:t>
      </w:r>
      <w:r>
        <w:rPr>
          <w:rFonts w:ascii="Arial" w:cs="Arial" w:eastAsia="Arial" w:hAnsi="Arial"/>
          <w:sz w:val="19"/>
          <w:szCs w:val="19"/>
          <w:color w:val="auto"/>
        </w:rPr>
        <w:t>. The Corporation shall not, however, be required to pay any tax which may be payable in respect of any transfer involved in the issuance and delivery of shares of Class A Common Stock in a name other than that in which the shares of Series A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8" w:right="339" w:bottom="1440" w:gutter="0" w:footer="0" w:header="0"/>
        </w:sectPr>
      </w:pPr>
    </w:p>
    <w:bookmarkStart w:id="209" w:name="page210"/>
    <w:bookmarkEnd w:id="209"/>
    <w:p>
      <w:pPr>
        <w:ind w:left="1960"/>
        <w:spacing w:after="0"/>
        <w:tabs>
          <w:tab w:leader="none" w:pos="242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u w:val="single" w:color="auto"/>
          <w:color w:val="auto"/>
        </w:rPr>
        <w:t>Adjustments to Series A Conversion Price for Diluting Issues</w:t>
      </w:r>
      <w:r>
        <w:rPr>
          <w:rFonts w:ascii="Arial" w:cs="Arial" w:eastAsia="Arial" w:hAnsi="Arial"/>
          <w:sz w:val="19"/>
          <w:szCs w:val="19"/>
          <w:color w:val="auto"/>
        </w:rPr>
        <w:t>.</w:t>
      </w:r>
    </w:p>
    <w:p>
      <w:pPr>
        <w:spacing w:after="0" w:line="166" w:lineRule="exact"/>
        <w:rPr>
          <w:sz w:val="20"/>
          <w:szCs w:val="20"/>
          <w:color w:val="auto"/>
        </w:rPr>
      </w:pPr>
    </w:p>
    <w:p>
      <w:pPr>
        <w:ind w:left="2600"/>
        <w:spacing w:after="0"/>
        <w:tabs>
          <w:tab w:leader="none" w:pos="3400" w:val="left"/>
        </w:tabs>
        <w:rPr>
          <w:sz w:val="20"/>
          <w:szCs w:val="20"/>
          <w:color w:val="auto"/>
        </w:rPr>
      </w:pPr>
      <w:r>
        <w:rPr>
          <w:rFonts w:ascii="Arial" w:cs="Arial" w:eastAsia="Arial" w:hAnsi="Arial"/>
          <w:sz w:val="22"/>
          <w:szCs w:val="22"/>
          <w:color w:val="auto"/>
        </w:rPr>
        <w:t>4.4.1.</w:t>
      </w:r>
      <w:r>
        <w:rPr>
          <w:sz w:val="20"/>
          <w:szCs w:val="20"/>
          <w:color w:val="auto"/>
        </w:rPr>
        <w:tab/>
      </w:r>
      <w:r>
        <w:rPr>
          <w:rFonts w:ascii="Arial" w:cs="Arial" w:eastAsia="Arial" w:hAnsi="Arial"/>
          <w:sz w:val="21"/>
          <w:szCs w:val="21"/>
          <w:u w:val="single" w:color="auto"/>
          <w:color w:val="auto"/>
        </w:rPr>
        <w:t>Special Definitions</w:t>
      </w:r>
      <w:r>
        <w:rPr>
          <w:rFonts w:ascii="Arial" w:cs="Arial" w:eastAsia="Arial" w:hAnsi="Arial"/>
          <w:sz w:val="21"/>
          <w:szCs w:val="21"/>
          <w:color w:val="auto"/>
        </w:rPr>
        <w:t>. For purposes of this Article Fourth, the following definitions shall</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apply:</w:t>
      </w:r>
    </w:p>
    <w:p>
      <w:pPr>
        <w:spacing w:after="0" w:line="142" w:lineRule="exact"/>
        <w:rPr>
          <w:sz w:val="20"/>
          <w:szCs w:val="20"/>
          <w:color w:val="auto"/>
        </w:rPr>
      </w:pPr>
    </w:p>
    <w:p>
      <w:pPr>
        <w:ind w:firstLine="3248"/>
        <w:spacing w:after="0" w:line="269" w:lineRule="auto"/>
        <w:tabs>
          <w:tab w:leader="none" w:pos="3925" w:val="left"/>
        </w:tabs>
        <w:numPr>
          <w:ilvl w:val="0"/>
          <w:numId w:val="1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Option</w:t>
      </w:r>
      <w:r>
        <w:rPr>
          <w:rFonts w:ascii="Arial" w:cs="Arial" w:eastAsia="Arial" w:hAnsi="Arial"/>
          <w:sz w:val="22"/>
          <w:szCs w:val="22"/>
          <w:color w:val="auto"/>
        </w:rPr>
        <w:t>” shall mean rights, options or warrants to subscribe for, purchase or otherwise acquire Common Stock or Convertible Securities.</w:t>
      </w:r>
    </w:p>
    <w:p>
      <w:pPr>
        <w:spacing w:after="0" w:line="107" w:lineRule="exact"/>
        <w:rPr>
          <w:rFonts w:ascii="Arial" w:cs="Arial" w:eastAsia="Arial" w:hAnsi="Arial"/>
          <w:sz w:val="22"/>
          <w:szCs w:val="22"/>
          <w:color w:val="auto"/>
        </w:rPr>
      </w:pPr>
    </w:p>
    <w:p>
      <w:pPr>
        <w:ind w:left="3720" w:hanging="472"/>
        <w:spacing w:after="0"/>
        <w:tabs>
          <w:tab w:leader="none" w:pos="372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Series A Original Issue Date</w:t>
      </w:r>
      <w:r>
        <w:rPr>
          <w:rFonts w:ascii="Arial" w:cs="Arial" w:eastAsia="Arial" w:hAnsi="Arial"/>
          <w:sz w:val="19"/>
          <w:szCs w:val="19"/>
          <w:color w:val="auto"/>
        </w:rPr>
        <w:t>” shall mean the date on which the first share of Series</w:t>
      </w:r>
    </w:p>
    <w:p>
      <w:pPr>
        <w:spacing w:after="0" w:line="6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 Preferred Stock was issued.</w:t>
      </w:r>
    </w:p>
    <w:p>
      <w:pPr>
        <w:spacing w:after="0" w:line="141" w:lineRule="exact"/>
        <w:rPr>
          <w:rFonts w:ascii="Arial" w:cs="Arial" w:eastAsia="Arial" w:hAnsi="Arial"/>
          <w:sz w:val="19"/>
          <w:szCs w:val="19"/>
          <w:color w:val="auto"/>
        </w:rPr>
      </w:pPr>
    </w:p>
    <w:p>
      <w:pPr>
        <w:ind w:left="3780" w:hanging="532"/>
        <w:spacing w:after="0"/>
        <w:tabs>
          <w:tab w:leader="none" w:pos="378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Convertible Securities</w:t>
      </w:r>
      <w:r>
        <w:rPr>
          <w:rFonts w:ascii="Arial" w:cs="Arial" w:eastAsia="Arial" w:hAnsi="Arial"/>
          <w:sz w:val="19"/>
          <w:szCs w:val="19"/>
          <w:color w:val="auto"/>
        </w:rPr>
        <w:t>” shall mean any evidences of indebtedness, shares or other</w:t>
      </w:r>
    </w:p>
    <w:p>
      <w:pPr>
        <w:spacing w:after="0" w:line="6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securities directly or indirectly convertible into or exchangeable for Common Stock, but excluding Options.</w:t>
      </w:r>
    </w:p>
    <w:p>
      <w:pPr>
        <w:spacing w:after="0" w:line="141" w:lineRule="exact"/>
        <w:rPr>
          <w:rFonts w:ascii="Arial" w:cs="Arial" w:eastAsia="Arial" w:hAnsi="Arial"/>
          <w:sz w:val="19"/>
          <w:szCs w:val="19"/>
          <w:color w:val="auto"/>
        </w:rPr>
      </w:pPr>
    </w:p>
    <w:p>
      <w:pPr>
        <w:jc w:val="both"/>
        <w:ind w:firstLine="3248"/>
        <w:spacing w:after="0" w:line="304" w:lineRule="auto"/>
        <w:tabs>
          <w:tab w:leader="none" w:pos="3829" w:val="left"/>
        </w:tabs>
        <w:numPr>
          <w:ilvl w:val="0"/>
          <w:numId w:val="14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Additional Shares of Common Stock</w:t>
      </w:r>
      <w:r>
        <w:rPr>
          <w:rFonts w:ascii="Arial" w:cs="Arial" w:eastAsia="Arial" w:hAnsi="Arial"/>
          <w:sz w:val="19"/>
          <w:szCs w:val="19"/>
          <w:color w:val="auto"/>
        </w:rPr>
        <w:t xml:space="preserve">” shall mean all shares of Common Stock issued (or, pursuant to </w:t>
      </w:r>
      <w:r>
        <w:rPr>
          <w:rFonts w:ascii="Arial" w:cs="Arial" w:eastAsia="Arial" w:hAnsi="Arial"/>
          <w:sz w:val="19"/>
          <w:szCs w:val="19"/>
          <w:u w:val="single" w:color="auto"/>
          <w:color w:val="auto"/>
        </w:rPr>
        <w:t>Subsection 4.4.3</w:t>
      </w:r>
      <w:r>
        <w:rPr>
          <w:rFonts w:ascii="Arial" w:cs="Arial" w:eastAsia="Arial" w:hAnsi="Arial"/>
          <w:sz w:val="19"/>
          <w:szCs w:val="19"/>
          <w:color w:val="auto"/>
        </w:rPr>
        <w:t xml:space="preserve"> below, deemed to be issued) by the Corporation after the Series A Original Issue Date, other than (1) the following shares of Common Stock and (2) shares of Common Stock deemed issued pursuant to the following Options and Convertible Securities (clauses (1) and (2), collectively, “</w:t>
      </w:r>
      <w:r>
        <w:rPr>
          <w:rFonts w:ascii="Arial" w:cs="Arial" w:eastAsia="Arial" w:hAnsi="Arial"/>
          <w:sz w:val="19"/>
          <w:szCs w:val="19"/>
          <w:b w:val="1"/>
          <w:bCs w:val="1"/>
          <w:color w:val="auto"/>
        </w:rPr>
        <w:t>Exempted Securities</w:t>
      </w:r>
      <w:r>
        <w:rPr>
          <w:rFonts w:ascii="Arial" w:cs="Arial" w:eastAsia="Arial" w:hAnsi="Arial"/>
          <w:sz w:val="19"/>
          <w:szCs w:val="19"/>
          <w:color w:val="auto"/>
        </w:rPr>
        <w:t>”):</w:t>
      </w:r>
    </w:p>
    <w:p>
      <w:pPr>
        <w:spacing w:after="0" w:line="86" w:lineRule="exact"/>
        <w:rPr>
          <w:rFonts w:ascii="Arial" w:cs="Arial" w:eastAsia="Arial" w:hAnsi="Arial"/>
          <w:sz w:val="19"/>
          <w:szCs w:val="19"/>
          <w:color w:val="auto"/>
        </w:rPr>
      </w:pPr>
    </w:p>
    <w:p>
      <w:pPr>
        <w:ind w:left="4220" w:hanging="324"/>
        <w:spacing w:after="0" w:line="263" w:lineRule="auto"/>
        <w:tabs>
          <w:tab w:leader="none" w:pos="4532" w:val="left"/>
        </w:tabs>
        <w:numPr>
          <w:ilvl w:val="1"/>
          <w:numId w:val="148"/>
        </w:numPr>
        <w:rPr>
          <w:rFonts w:ascii="Arial" w:cs="Arial" w:eastAsia="Arial" w:hAnsi="Arial"/>
          <w:sz w:val="22"/>
          <w:szCs w:val="22"/>
          <w:color w:val="auto"/>
        </w:rPr>
      </w:pPr>
      <w:r>
        <w:rPr>
          <w:rFonts w:ascii="Arial" w:cs="Arial" w:eastAsia="Arial" w:hAnsi="Arial"/>
          <w:sz w:val="22"/>
          <w:szCs w:val="22"/>
          <w:color w:val="auto"/>
        </w:rPr>
        <w:t>shares of Common Stock, Options or Convertible Securities issued as a dividend or distribution on Series A Preferred Stock;</w:t>
      </w:r>
    </w:p>
    <w:p>
      <w:pPr>
        <w:spacing w:after="0" w:line="120" w:lineRule="exact"/>
        <w:rPr>
          <w:rFonts w:ascii="Arial" w:cs="Arial" w:eastAsia="Arial" w:hAnsi="Arial"/>
          <w:sz w:val="22"/>
          <w:szCs w:val="22"/>
          <w:color w:val="auto"/>
        </w:rPr>
      </w:pPr>
    </w:p>
    <w:p>
      <w:pPr>
        <w:jc w:val="both"/>
        <w:ind w:left="4220" w:hanging="324"/>
        <w:spacing w:after="0" w:line="253" w:lineRule="auto"/>
        <w:tabs>
          <w:tab w:leader="none" w:pos="4430" w:val="left"/>
        </w:tabs>
        <w:numPr>
          <w:ilvl w:val="1"/>
          <w:numId w:val="148"/>
        </w:numPr>
        <w:rPr>
          <w:rFonts w:ascii="Arial" w:cs="Arial" w:eastAsia="Arial" w:hAnsi="Arial"/>
          <w:sz w:val="22"/>
          <w:szCs w:val="22"/>
          <w:color w:val="auto"/>
        </w:rPr>
      </w:pPr>
      <w:r>
        <w:rPr>
          <w:rFonts w:ascii="Arial" w:cs="Arial" w:eastAsia="Arial" w:hAnsi="Arial"/>
          <w:sz w:val="22"/>
          <w:szCs w:val="22"/>
          <w:color w:val="auto"/>
        </w:rPr>
        <w:t xml:space="preserve">shares of Common Stock, Options or Convertible Securities issued by reason of a dividend, stock split, split-up or other distribution on shares of Common Stock that is covered by </w:t>
      </w:r>
      <w:r>
        <w:rPr>
          <w:rFonts w:ascii="Arial" w:cs="Arial" w:eastAsia="Arial" w:hAnsi="Arial"/>
          <w:sz w:val="22"/>
          <w:szCs w:val="22"/>
          <w:u w:val="single" w:color="auto"/>
          <w:color w:val="auto"/>
        </w:rPr>
        <w:t>Subsection 4.5</w:t>
      </w:r>
      <w:r>
        <w:rPr>
          <w:rFonts w:ascii="Arial" w:cs="Arial" w:eastAsia="Arial" w:hAnsi="Arial"/>
          <w:sz w:val="22"/>
          <w:szCs w:val="22"/>
          <w:color w:val="auto"/>
        </w:rPr>
        <w:t xml:space="preserve">, </w:t>
      </w:r>
      <w:r>
        <w:rPr>
          <w:rFonts w:ascii="Arial" w:cs="Arial" w:eastAsia="Arial" w:hAnsi="Arial"/>
          <w:sz w:val="22"/>
          <w:szCs w:val="22"/>
          <w:u w:val="single" w:color="auto"/>
          <w:color w:val="auto"/>
        </w:rPr>
        <w:t>4.6</w:t>
      </w:r>
      <w:r>
        <w:rPr>
          <w:rFonts w:ascii="Arial" w:cs="Arial" w:eastAsia="Arial" w:hAnsi="Arial"/>
          <w:sz w:val="22"/>
          <w:szCs w:val="22"/>
          <w:color w:val="auto"/>
        </w:rPr>
        <w:t xml:space="preserve">, </w:t>
      </w:r>
      <w:r>
        <w:rPr>
          <w:rFonts w:ascii="Arial" w:cs="Arial" w:eastAsia="Arial" w:hAnsi="Arial"/>
          <w:sz w:val="22"/>
          <w:szCs w:val="22"/>
          <w:u w:val="single" w:color="auto"/>
          <w:color w:val="auto"/>
        </w:rPr>
        <w:t>4.7</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4.8</w:t>
      </w:r>
      <w:r>
        <w:rPr>
          <w:rFonts w:ascii="Arial" w:cs="Arial" w:eastAsia="Arial" w:hAnsi="Arial"/>
          <w:sz w:val="22"/>
          <w:szCs w:val="22"/>
          <w:color w:val="auto"/>
        </w:rPr>
        <w:t>;</w:t>
      </w:r>
    </w:p>
    <w:p>
      <w:pPr>
        <w:spacing w:after="0" w:line="131" w:lineRule="exact"/>
        <w:rPr>
          <w:sz w:val="20"/>
          <w:szCs w:val="20"/>
          <w:color w:val="auto"/>
        </w:rPr>
      </w:pPr>
    </w:p>
    <w:p>
      <w:pPr>
        <w:jc w:val="both"/>
        <w:ind w:left="4220" w:hanging="324"/>
        <w:spacing w:after="0" w:line="250" w:lineRule="auto"/>
        <w:tabs>
          <w:tab w:leader="none" w:pos="4464" w:val="left"/>
        </w:tabs>
        <w:numPr>
          <w:ilvl w:val="0"/>
          <w:numId w:val="149"/>
        </w:numPr>
        <w:rPr>
          <w:rFonts w:ascii="Arial" w:cs="Arial" w:eastAsia="Arial" w:hAnsi="Arial"/>
          <w:sz w:val="22"/>
          <w:szCs w:val="22"/>
          <w:color w:val="auto"/>
        </w:rPr>
      </w:pPr>
      <w:r>
        <w:rPr>
          <w:rFonts w:ascii="Arial" w:cs="Arial" w:eastAsia="Arial" w:hAnsi="Arial"/>
          <w:sz w:val="22"/>
          <w:szCs w:val="22"/>
          <w:color w:val="auto"/>
        </w:rPr>
        <w:t>shares of Common Stock or Options issued to employees or directors of, or consultants or advisors to, the Corporation or any of its subsidiaries pursuant to a plan, agreement or arrangement approved by the Board, including the Series A Directors;</w:t>
      </w:r>
    </w:p>
    <w:p>
      <w:pPr>
        <w:spacing w:after="0" w:line="134" w:lineRule="exact"/>
        <w:rPr>
          <w:sz w:val="20"/>
          <w:szCs w:val="20"/>
          <w:color w:val="auto"/>
        </w:rPr>
      </w:pPr>
    </w:p>
    <w:p>
      <w:pPr>
        <w:jc w:val="both"/>
        <w:ind w:left="4220" w:hanging="324"/>
        <w:spacing w:after="0" w:line="302" w:lineRule="auto"/>
        <w:tabs>
          <w:tab w:leader="none" w:pos="4505" w:val="left"/>
        </w:tabs>
        <w:numPr>
          <w:ilvl w:val="0"/>
          <w:numId w:val="150"/>
        </w:numPr>
        <w:rPr>
          <w:rFonts w:ascii="Arial" w:cs="Arial" w:eastAsia="Arial" w:hAnsi="Arial"/>
          <w:sz w:val="19"/>
          <w:szCs w:val="19"/>
          <w:color w:val="auto"/>
        </w:rPr>
      </w:pPr>
      <w:r>
        <w:rPr>
          <w:rFonts w:ascii="Arial" w:cs="Arial" w:eastAsia="Arial" w:hAnsi="Arial"/>
          <w:sz w:val="19"/>
          <w:szCs w:val="19"/>
          <w:color w:val="auto"/>
        </w:rPr>
        <w:t>shares of Common Stock or Convertible Securities actually issued upon the exercise of Options or shares of Common Stock actually issued upon the conversion or exchange of Convertible Securities, in each case provided such issuance is pursuant to the terms of such Option or Convertible Security;</w:t>
      </w:r>
    </w:p>
    <w:p>
      <w:pPr>
        <w:spacing w:after="0" w:line="88" w:lineRule="exact"/>
        <w:rPr>
          <w:rFonts w:ascii="Arial" w:cs="Arial" w:eastAsia="Arial" w:hAnsi="Arial"/>
          <w:sz w:val="19"/>
          <w:szCs w:val="19"/>
          <w:color w:val="auto"/>
        </w:rPr>
      </w:pPr>
    </w:p>
    <w:p>
      <w:pPr>
        <w:ind w:left="4360" w:hanging="464"/>
        <w:spacing w:after="0"/>
        <w:tabs>
          <w:tab w:leader="none" w:pos="436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shares of Common Stock, Options or Convertible Securities issued to banks,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8" w:right="339" w:bottom="1440" w:gutter="0" w:footer="0" w:header="0"/>
        </w:sectPr>
      </w:pPr>
    </w:p>
    <w:bookmarkStart w:id="210" w:name="page211"/>
    <w:bookmarkEnd w:id="210"/>
    <w:p>
      <w:pPr>
        <w:jc w:val="both"/>
        <w:ind w:left="4220"/>
        <w:spacing w:after="0" w:line="271" w:lineRule="auto"/>
        <w:rPr>
          <w:sz w:val="20"/>
          <w:szCs w:val="20"/>
          <w:color w:val="auto"/>
        </w:rPr>
      </w:pPr>
      <w:r>
        <w:rPr>
          <w:rFonts w:ascii="Arial" w:cs="Arial" w:eastAsia="Arial" w:hAnsi="Arial"/>
          <w:sz w:val="21"/>
          <w:szCs w:val="21"/>
          <w:color w:val="auto"/>
        </w:rPr>
        <w:t>equipment lessors or other financial institutions, or to real property lessors, pursuant to a debt financing, equipment leasing or real property leasing transaction approved by the Board, including at the Series A Directors;</w:t>
      </w:r>
    </w:p>
    <w:p>
      <w:pPr>
        <w:spacing w:after="0" w:line="113" w:lineRule="exact"/>
        <w:rPr>
          <w:sz w:val="20"/>
          <w:szCs w:val="20"/>
          <w:color w:val="auto"/>
        </w:rPr>
      </w:pPr>
    </w:p>
    <w:p>
      <w:pPr>
        <w:jc w:val="both"/>
        <w:ind w:left="4220" w:hanging="324"/>
        <w:spacing w:after="0" w:line="250" w:lineRule="auto"/>
        <w:tabs>
          <w:tab w:leader="none" w:pos="4274" w:val="left"/>
        </w:tabs>
        <w:numPr>
          <w:ilvl w:val="0"/>
          <w:numId w:val="151"/>
        </w:numPr>
        <w:rPr>
          <w:rFonts w:ascii="Arial" w:cs="Arial" w:eastAsia="Arial" w:hAnsi="Arial"/>
          <w:sz w:val="22"/>
          <w:szCs w:val="22"/>
          <w:color w:val="auto"/>
        </w:rPr>
      </w:pPr>
      <w:r>
        <w:rPr>
          <w:rFonts w:ascii="Arial" w:cs="Arial" w:eastAsia="Arial" w:hAnsi="Arial"/>
          <w:sz w:val="22"/>
          <w:szCs w:val="22"/>
          <w:color w:val="auto"/>
        </w:rPr>
        <w:t>shares of Common Stock, Options or Convertible Securities issued to suppliers or third party service providers in connection with the provision of goods or services pursuant to transactions approved by the Board, including the Series A Directors;</w:t>
      </w:r>
    </w:p>
    <w:p>
      <w:pPr>
        <w:spacing w:after="0" w:line="133" w:lineRule="exact"/>
        <w:rPr>
          <w:rFonts w:ascii="Arial" w:cs="Arial" w:eastAsia="Arial" w:hAnsi="Arial"/>
          <w:sz w:val="22"/>
          <w:szCs w:val="22"/>
          <w:color w:val="auto"/>
        </w:rPr>
      </w:pPr>
    </w:p>
    <w:p>
      <w:pPr>
        <w:jc w:val="both"/>
        <w:ind w:left="4220" w:hanging="324"/>
        <w:spacing w:after="0" w:line="263" w:lineRule="auto"/>
        <w:tabs>
          <w:tab w:leader="none" w:pos="4332" w:val="left"/>
        </w:tabs>
        <w:numPr>
          <w:ilvl w:val="0"/>
          <w:numId w:val="151"/>
        </w:numPr>
        <w:rPr>
          <w:rFonts w:ascii="Arial" w:cs="Arial" w:eastAsia="Arial" w:hAnsi="Arial"/>
          <w:sz w:val="21"/>
          <w:szCs w:val="21"/>
          <w:color w:val="auto"/>
        </w:rPr>
      </w:pPr>
      <w:r>
        <w:rPr>
          <w:rFonts w:ascii="Arial" w:cs="Arial" w:eastAsia="Arial" w:hAnsi="Arial"/>
          <w:sz w:val="21"/>
          <w:szCs w:val="21"/>
          <w:color w:val="auto"/>
        </w:rPr>
        <w:t xml:space="preserve">shares of Common Stock, Options or Convertible Securities issued pursuant to the acquisition of another corporation by the Corporation by merger, purchase of substantially all of the assets or other reorganization or to a joint venture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issuances are approved by the Board, including the Series A Directors; or</w:t>
      </w:r>
    </w:p>
    <w:p>
      <w:pPr>
        <w:spacing w:after="0" w:line="121" w:lineRule="exact"/>
        <w:rPr>
          <w:rFonts w:ascii="Arial" w:cs="Arial" w:eastAsia="Arial" w:hAnsi="Arial"/>
          <w:sz w:val="21"/>
          <w:szCs w:val="21"/>
          <w:color w:val="auto"/>
        </w:rPr>
      </w:pPr>
    </w:p>
    <w:p>
      <w:pPr>
        <w:jc w:val="both"/>
        <w:ind w:left="4220" w:hanging="324"/>
        <w:spacing w:after="0" w:line="250" w:lineRule="auto"/>
        <w:tabs>
          <w:tab w:leader="none" w:pos="4467" w:val="left"/>
        </w:tabs>
        <w:numPr>
          <w:ilvl w:val="0"/>
          <w:numId w:val="151"/>
        </w:numPr>
        <w:rPr>
          <w:rFonts w:ascii="Arial" w:cs="Arial" w:eastAsia="Arial" w:hAnsi="Arial"/>
          <w:sz w:val="22"/>
          <w:szCs w:val="22"/>
          <w:color w:val="auto"/>
        </w:rPr>
      </w:pPr>
      <w:r>
        <w:rPr>
          <w:rFonts w:ascii="Arial" w:cs="Arial" w:eastAsia="Arial" w:hAnsi="Arial"/>
          <w:sz w:val="22"/>
          <w:szCs w:val="22"/>
          <w:color w:val="auto"/>
        </w:rPr>
        <w:t>shares of Common Stock, Options or Convertible Securities issued in connection with sponsored research, collaboration, technology license, development, OEM, marketing or other similar agreements or strategic partnerships approved by the Board, including the Series A Directors.</w:t>
      </w:r>
    </w:p>
    <w:p>
      <w:pPr>
        <w:spacing w:after="0" w:line="134" w:lineRule="exact"/>
        <w:rPr>
          <w:sz w:val="20"/>
          <w:szCs w:val="20"/>
          <w:color w:val="auto"/>
        </w:rPr>
      </w:pPr>
    </w:p>
    <w:p>
      <w:pPr>
        <w:jc w:val="both"/>
        <w:ind w:firstLine="2592"/>
        <w:spacing w:after="0" w:line="248" w:lineRule="auto"/>
        <w:rPr>
          <w:sz w:val="20"/>
          <w:szCs w:val="20"/>
          <w:color w:val="auto"/>
        </w:rPr>
      </w:pPr>
      <w:r>
        <w:rPr>
          <w:rFonts w:ascii="Arial" w:cs="Arial" w:eastAsia="Arial" w:hAnsi="Arial"/>
          <w:sz w:val="22"/>
          <w:szCs w:val="22"/>
          <w:color w:val="auto"/>
        </w:rPr>
        <w:t xml:space="preserve">4.4.2. </w:t>
      </w:r>
      <w:r>
        <w:rPr>
          <w:rFonts w:ascii="Arial" w:cs="Arial" w:eastAsia="Arial" w:hAnsi="Arial"/>
          <w:sz w:val="22"/>
          <w:szCs w:val="22"/>
          <w:u w:val="single" w:color="auto"/>
          <w:color w:val="auto"/>
        </w:rPr>
        <w:t>No Adjustment of Series A Conversion Price</w:t>
      </w:r>
      <w:r>
        <w:rPr>
          <w:rFonts w:ascii="Arial" w:cs="Arial" w:eastAsia="Arial" w:hAnsi="Arial"/>
          <w:sz w:val="22"/>
          <w:szCs w:val="22"/>
          <w:color w:val="auto"/>
        </w:rPr>
        <w:t>. No adjustment in the Series A Conversion Price shall be made as the result of the issuance or deemed issuance of Additional Shares of Common Stock if the Corporation receives written notice from the holders of at least a majority of the then outstanding shares of Series A Preferred Stock agreeing that no such adjustment shall be made as the result of the issuance or deemed issuance of such Additional Shares of Common Stock.</w:t>
      </w:r>
    </w:p>
    <w:p>
      <w:pPr>
        <w:spacing w:after="0" w:line="138" w:lineRule="exact"/>
        <w:rPr>
          <w:sz w:val="20"/>
          <w:szCs w:val="20"/>
          <w:color w:val="auto"/>
        </w:rPr>
      </w:pPr>
    </w:p>
    <w:p>
      <w:pPr>
        <w:ind w:left="2600"/>
        <w:spacing w:after="0"/>
        <w:tabs>
          <w:tab w:leader="none" w:pos="3280" w:val="left"/>
        </w:tabs>
        <w:rPr>
          <w:sz w:val="20"/>
          <w:szCs w:val="20"/>
          <w:color w:val="auto"/>
        </w:rPr>
      </w:pPr>
      <w:r>
        <w:rPr>
          <w:rFonts w:ascii="Arial" w:cs="Arial" w:eastAsia="Arial" w:hAnsi="Arial"/>
          <w:sz w:val="22"/>
          <w:szCs w:val="22"/>
          <w:color w:val="auto"/>
        </w:rPr>
        <w:t>4.4.3.</w:t>
      </w:r>
      <w:r>
        <w:rPr>
          <w:sz w:val="20"/>
          <w:szCs w:val="20"/>
          <w:color w:val="auto"/>
        </w:rPr>
        <w:tab/>
      </w:r>
      <w:r>
        <w:rPr>
          <w:rFonts w:ascii="Arial" w:cs="Arial" w:eastAsia="Arial" w:hAnsi="Arial"/>
          <w:sz w:val="19"/>
          <w:szCs w:val="19"/>
          <w:u w:val="single" w:color="auto"/>
          <w:color w:val="auto"/>
        </w:rPr>
        <w:t>Deemed Issue of Additional Shares of Common Stock</w:t>
      </w:r>
      <w:r>
        <w:rPr>
          <w:rFonts w:ascii="Arial" w:cs="Arial" w:eastAsia="Arial" w:hAnsi="Arial"/>
          <w:sz w:val="19"/>
          <w:szCs w:val="19"/>
          <w:color w:val="auto"/>
        </w:rPr>
        <w:t>.</w:t>
      </w:r>
    </w:p>
    <w:p>
      <w:pPr>
        <w:spacing w:after="0" w:line="166" w:lineRule="exact"/>
        <w:rPr>
          <w:sz w:val="20"/>
          <w:szCs w:val="20"/>
          <w:color w:val="auto"/>
        </w:rPr>
      </w:pPr>
    </w:p>
    <w:p>
      <w:pPr>
        <w:jc w:val="both"/>
        <w:ind w:firstLine="3248"/>
        <w:spacing w:after="0" w:line="294" w:lineRule="auto"/>
        <w:tabs>
          <w:tab w:leader="none" w:pos="3761" w:val="left"/>
        </w:tabs>
        <w:numPr>
          <w:ilvl w:val="0"/>
          <w:numId w:val="152"/>
        </w:numPr>
        <w:rPr>
          <w:rFonts w:ascii="Arial" w:cs="Arial" w:eastAsia="Arial" w:hAnsi="Arial"/>
          <w:sz w:val="19"/>
          <w:szCs w:val="19"/>
          <w:color w:val="auto"/>
        </w:rPr>
      </w:pPr>
      <w:r>
        <w:rPr>
          <w:rFonts w:ascii="Arial" w:cs="Arial" w:eastAsia="Arial" w:hAnsi="Arial"/>
          <w:sz w:val="19"/>
          <w:szCs w:val="19"/>
          <w:color w:val="auto"/>
        </w:rPr>
        <w:t>If the Corporation at any time or from time to time after the Series A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8" w:right="339" w:bottom="1440" w:gutter="0" w:footer="0" w:header="0"/>
        </w:sectPr>
      </w:pPr>
    </w:p>
    <w:bookmarkStart w:id="211" w:name="page212"/>
    <w:bookmarkEnd w:id="211"/>
    <w:p>
      <w:pPr>
        <w:jc w:val="both"/>
        <w:ind w:right="20"/>
        <w:spacing w:after="0" w:line="253" w:lineRule="auto"/>
        <w:rPr>
          <w:sz w:val="20"/>
          <w:szCs w:val="20"/>
          <w:color w:val="auto"/>
        </w:rPr>
      </w:pPr>
      <w:r>
        <w:rPr>
          <w:rFonts w:ascii="Arial" w:cs="Arial" w:eastAsia="Arial" w:hAnsi="Arial"/>
          <w:sz w:val="22"/>
          <w:szCs w:val="22"/>
          <w:color w:val="auto"/>
        </w:rPr>
        <w:t>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131" w:lineRule="exact"/>
        <w:rPr>
          <w:sz w:val="20"/>
          <w:szCs w:val="20"/>
          <w:color w:val="auto"/>
        </w:rPr>
      </w:pPr>
    </w:p>
    <w:p>
      <w:pPr>
        <w:jc w:val="both"/>
        <w:ind w:firstLine="3248"/>
        <w:spacing w:after="0" w:line="286" w:lineRule="auto"/>
        <w:tabs>
          <w:tab w:leader="none" w:pos="3711" w:val="left"/>
        </w:tabs>
        <w:numPr>
          <w:ilvl w:val="0"/>
          <w:numId w:val="153"/>
        </w:numPr>
        <w:rPr>
          <w:rFonts w:ascii="Arial" w:cs="Arial" w:eastAsia="Arial" w:hAnsi="Arial"/>
          <w:sz w:val="19"/>
          <w:szCs w:val="19"/>
          <w:color w:val="auto"/>
        </w:rPr>
      </w:pPr>
      <w:r>
        <w:rPr>
          <w:rFonts w:ascii="Arial" w:cs="Arial" w:eastAsia="Arial" w:hAnsi="Arial"/>
          <w:sz w:val="19"/>
          <w:szCs w:val="19"/>
          <w:color w:val="auto"/>
        </w:rPr>
        <w:t xml:space="preserve">If the terms of any Option or Convertible Security, the issuance of which resulted in an adjustment to the Series A Conversion Price pursuant to the terms of </w:t>
      </w:r>
      <w:r>
        <w:rPr>
          <w:rFonts w:ascii="Arial" w:cs="Arial" w:eastAsia="Arial" w:hAnsi="Arial"/>
          <w:sz w:val="19"/>
          <w:szCs w:val="19"/>
          <w:u w:val="single" w:color="auto"/>
          <w:color w:val="auto"/>
        </w:rPr>
        <w:t>Subsection 4.4.4</w:t>
      </w:r>
      <w:r>
        <w:rPr>
          <w:rFonts w:ascii="Arial" w:cs="Arial" w:eastAsia="Arial" w:hAnsi="Arial"/>
          <w:sz w:val="19"/>
          <w:szCs w:val="19"/>
          <w:color w:val="auto"/>
        </w:rPr>
        <w:t>,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Series A Conversion Price computed upon the original issue of such Option or Convertible Security (or upon the occurrence of a record date with respect thereto) shall be readjusted to such Series A Conversion Price as would have obtained had such revised terms been in effect upon the original date of issuance of such Option or Convertible Security. Notwithstanding the foregoing, no readjustment pursuant to this clause (b) shall have the effect of increasing the Series A Conversion Price to an amount which exceeds the lower of (i) the Series A Conversion Price in effect immediately prior to the original adjustment made as a result of the issuance of such Option or Convertible Security, or (ii) the Series A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360" w:lineRule="exact"/>
        <w:rPr>
          <w:rFonts w:ascii="Arial" w:cs="Arial" w:eastAsia="Arial" w:hAnsi="Arial"/>
          <w:sz w:val="19"/>
          <w:szCs w:val="19"/>
          <w:color w:val="auto"/>
        </w:rPr>
      </w:pPr>
    </w:p>
    <w:p>
      <w:pPr>
        <w:jc w:val="both"/>
        <w:ind w:firstLine="3248"/>
        <w:spacing w:after="0" w:line="257" w:lineRule="auto"/>
        <w:tabs>
          <w:tab w:leader="none" w:pos="3740" w:val="left"/>
        </w:tabs>
        <w:numPr>
          <w:ilvl w:val="0"/>
          <w:numId w:val="153"/>
        </w:numPr>
        <w:rPr>
          <w:rFonts w:ascii="Arial" w:cs="Arial" w:eastAsia="Arial" w:hAnsi="Arial"/>
          <w:sz w:val="21"/>
          <w:szCs w:val="21"/>
          <w:color w:val="auto"/>
        </w:rPr>
      </w:pPr>
      <w:r>
        <w:rPr>
          <w:rFonts w:ascii="Arial" w:cs="Arial" w:eastAsia="Arial" w:hAnsi="Arial"/>
          <w:sz w:val="21"/>
          <w:szCs w:val="21"/>
          <w:color w:val="auto"/>
        </w:rPr>
        <w:t xml:space="preserve">If the terms of any Option or Convertible Security (excluding Options or Convertible Securities which arc themselves Exempted Securities), the issuance of which did not result in an adjustment to the Series A Conversion Price pursuant to the terms of </w:t>
      </w:r>
      <w:r>
        <w:rPr>
          <w:rFonts w:ascii="Arial" w:cs="Arial" w:eastAsia="Arial" w:hAnsi="Arial"/>
          <w:sz w:val="21"/>
          <w:szCs w:val="21"/>
          <w:u w:val="single" w:color="auto"/>
          <w:color w:val="auto"/>
        </w:rPr>
        <w:t>Subsection 4.4.4</w:t>
      </w:r>
      <w:r>
        <w:rPr>
          <w:rFonts w:ascii="Arial" w:cs="Arial" w:eastAsia="Arial" w:hAnsi="Arial"/>
          <w:sz w:val="21"/>
          <w:szCs w:val="21"/>
          <w:color w:val="auto"/>
        </w:rPr>
        <w:t xml:space="preserve"> (either because the consideration per share (determined pursuant to </w:t>
      </w:r>
      <w:r>
        <w:rPr>
          <w:rFonts w:ascii="Arial" w:cs="Arial" w:eastAsia="Arial" w:hAnsi="Arial"/>
          <w:sz w:val="21"/>
          <w:szCs w:val="21"/>
          <w:u w:val="single" w:color="auto"/>
          <w:color w:val="auto"/>
        </w:rPr>
        <w:t>Subsection 4.4.5</w:t>
      </w:r>
      <w:r>
        <w:rPr>
          <w:rFonts w:ascii="Arial" w:cs="Arial" w:eastAsia="Arial" w:hAnsi="Arial"/>
          <w:sz w:val="21"/>
          <w:szCs w:val="21"/>
          <w:color w:val="auto"/>
        </w:rPr>
        <w:t xml:space="preserve">) of the Additional Shares of Common Stock subject thereto was equal to or greater than the Series A Conversion Price then in effect, or because such Option or Convertible Security was issued before the Series A Original Issue Date), are revised after the Series A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Arial" w:cs="Arial" w:eastAsia="Arial" w:hAnsi="Arial"/>
          <w:sz w:val="21"/>
          <w:szCs w:val="21"/>
          <w:u w:val="single" w:color="auto"/>
          <w:color w:val="auto"/>
        </w:rPr>
        <w:t>Subsection 4.4.3(a)</w:t>
      </w:r>
      <w:r>
        <w:rPr>
          <w:rFonts w:ascii="Arial" w:cs="Arial" w:eastAsia="Arial" w:hAnsi="Arial"/>
          <w:sz w:val="21"/>
          <w:szCs w:val="21"/>
          <w:color w:val="auto"/>
        </w:rPr>
        <w:t xml:space="preserve"> shall be deemed to have been issued effective upon such increase or decrease becoming effective.</w:t>
      </w:r>
    </w:p>
    <w:p>
      <w:pPr>
        <w:spacing w:after="0" w:line="134" w:lineRule="exact"/>
        <w:rPr>
          <w:rFonts w:ascii="Arial" w:cs="Arial" w:eastAsia="Arial" w:hAnsi="Arial"/>
          <w:sz w:val="21"/>
          <w:szCs w:val="21"/>
          <w:color w:val="auto"/>
        </w:rPr>
      </w:pPr>
    </w:p>
    <w:p>
      <w:pPr>
        <w:jc w:val="both"/>
        <w:ind w:firstLine="3248"/>
        <w:spacing w:after="0" w:line="253" w:lineRule="auto"/>
        <w:tabs>
          <w:tab w:leader="none" w:pos="3863" w:val="left"/>
        </w:tabs>
        <w:numPr>
          <w:ilvl w:val="0"/>
          <w:numId w:val="153"/>
        </w:numPr>
        <w:rPr>
          <w:rFonts w:ascii="Arial" w:cs="Arial" w:eastAsia="Arial" w:hAnsi="Arial"/>
          <w:sz w:val="22"/>
          <w:szCs w:val="22"/>
          <w:color w:val="auto"/>
        </w:rPr>
      </w:pPr>
      <w:r>
        <w:rPr>
          <w:rFonts w:ascii="Arial" w:cs="Arial" w:eastAsia="Arial" w:hAnsi="Arial"/>
          <w:sz w:val="22"/>
          <w:szCs w:val="22"/>
          <w:color w:val="auto"/>
        </w:rPr>
        <w:t>Upon the expiration or termination of any unexercised Option or unconverted or unexchanged Convertible Security (or portion thereof) which resulted (either upon its original issuance or upon a revision of its terms) in an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28" w:right="339" w:bottom="1440" w:gutter="0" w:footer="0" w:header="0"/>
        </w:sectPr>
      </w:pPr>
    </w:p>
    <w:bookmarkStart w:id="212" w:name="page213"/>
    <w:bookmarkEnd w:id="212"/>
    <w:p>
      <w:pPr>
        <w:jc w:val="both"/>
        <w:spacing w:after="0" w:line="253" w:lineRule="auto"/>
        <w:rPr>
          <w:sz w:val="20"/>
          <w:szCs w:val="20"/>
          <w:color w:val="auto"/>
        </w:rPr>
      </w:pPr>
      <w:r>
        <w:rPr>
          <w:rFonts w:ascii="Arial" w:cs="Arial" w:eastAsia="Arial" w:hAnsi="Arial"/>
          <w:sz w:val="22"/>
          <w:szCs w:val="22"/>
          <w:color w:val="auto"/>
        </w:rPr>
        <w:t xml:space="preserve">to the Series A Conversion Price pursuant to the terms of </w:t>
      </w:r>
      <w:r>
        <w:rPr>
          <w:rFonts w:ascii="Arial" w:cs="Arial" w:eastAsia="Arial" w:hAnsi="Arial"/>
          <w:sz w:val="22"/>
          <w:szCs w:val="22"/>
          <w:u w:val="single" w:color="auto"/>
          <w:color w:val="auto"/>
        </w:rPr>
        <w:t>Subsection 4.4.4</w:t>
      </w:r>
      <w:r>
        <w:rPr>
          <w:rFonts w:ascii="Arial" w:cs="Arial" w:eastAsia="Arial" w:hAnsi="Arial"/>
          <w:sz w:val="22"/>
          <w:szCs w:val="22"/>
          <w:color w:val="auto"/>
        </w:rPr>
        <w:t>, the Series A Conversion Price shall be readjusted to such Series A Conversion Price as would have obtained had such Option or Convertible Security (or portion thereof) never been issued.</w:t>
      </w:r>
    </w:p>
    <w:p>
      <w:pPr>
        <w:spacing w:after="0" w:line="131" w:lineRule="exact"/>
        <w:rPr>
          <w:sz w:val="20"/>
          <w:szCs w:val="20"/>
          <w:color w:val="auto"/>
        </w:rPr>
      </w:pPr>
    </w:p>
    <w:p>
      <w:pPr>
        <w:jc w:val="both"/>
        <w:ind w:firstLine="3248"/>
        <w:spacing w:after="0" w:line="286" w:lineRule="auto"/>
        <w:tabs>
          <w:tab w:leader="none" w:pos="3824" w:val="left"/>
        </w:tabs>
        <w:numPr>
          <w:ilvl w:val="0"/>
          <w:numId w:val="154"/>
        </w:numPr>
        <w:rPr>
          <w:rFonts w:ascii="Arial" w:cs="Arial" w:eastAsia="Arial" w:hAnsi="Arial"/>
          <w:sz w:val="19"/>
          <w:szCs w:val="19"/>
          <w:color w:val="auto"/>
        </w:rPr>
      </w:pPr>
      <w:r>
        <w:rPr>
          <w:rFonts w:ascii="Arial" w:cs="Arial" w:eastAsia="Arial" w:hAnsi="Arial"/>
          <w:sz w:val="19"/>
          <w:szCs w:val="19"/>
          <w:color w:val="auto"/>
        </w:rPr>
        <w:t xml:space="preserve">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Series A Conversion Price provided for in this </w:t>
      </w:r>
      <w:r>
        <w:rPr>
          <w:rFonts w:ascii="Arial" w:cs="Arial" w:eastAsia="Arial" w:hAnsi="Arial"/>
          <w:sz w:val="19"/>
          <w:szCs w:val="19"/>
          <w:u w:val="single" w:color="auto"/>
          <w:color w:val="auto"/>
        </w:rPr>
        <w:t>Subsection 4.4.3</w:t>
      </w:r>
      <w:r>
        <w:rPr>
          <w:rFonts w:ascii="Arial" w:cs="Arial" w:eastAsia="Arial" w:hAnsi="Arial"/>
          <w:sz w:val="19"/>
          <w:szCs w:val="19"/>
          <w:color w:val="auto"/>
        </w:rPr>
        <w:t xml:space="preserve"> shall be effected at the time of such issuance or amendment based on such number of shares or amount of consideration without regard to any provisions for subsequent adjustments (and any subsequent adjustments shall be treated as provided in clauses (b) and (c) of this </w:t>
      </w:r>
      <w:r>
        <w:rPr>
          <w:rFonts w:ascii="Arial" w:cs="Arial" w:eastAsia="Arial" w:hAnsi="Arial"/>
          <w:sz w:val="19"/>
          <w:szCs w:val="19"/>
          <w:u w:val="single" w:color="auto"/>
          <w:color w:val="auto"/>
        </w:rPr>
        <w:t>Subsection 4.4.3</w:t>
      </w:r>
      <w:r>
        <w:rPr>
          <w:rFonts w:ascii="Arial" w:cs="Arial" w:eastAsia="Arial" w:hAnsi="Arial"/>
          <w:sz w:val="19"/>
          <w:szCs w:val="19"/>
          <w:color w:val="auto"/>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Series A Conversion Price that would result under the terms of this </w:t>
      </w:r>
      <w:r>
        <w:rPr>
          <w:rFonts w:ascii="Arial" w:cs="Arial" w:eastAsia="Arial" w:hAnsi="Arial"/>
          <w:sz w:val="19"/>
          <w:szCs w:val="19"/>
          <w:u w:val="single" w:color="auto"/>
          <w:color w:val="auto"/>
        </w:rPr>
        <w:t>Subsection 4.4.3</w:t>
      </w:r>
      <w:r>
        <w:rPr>
          <w:rFonts w:ascii="Arial" w:cs="Arial" w:eastAsia="Arial" w:hAnsi="Arial"/>
          <w:sz w:val="19"/>
          <w:szCs w:val="19"/>
          <w:color w:val="auto"/>
        </w:rPr>
        <w:t xml:space="preserve"> at the time of such issuance or amendment shall instead be effected at the time such number of Shares and/or amount of consideration is first calculable (even if subject to subsequent adjustments), assuming for purposes of calculating such adjustment to the Series A Conversion Price that such issuance or amendment took place at the time such calculation can first be made.</w:t>
      </w:r>
    </w:p>
    <w:p>
      <w:pPr>
        <w:spacing w:after="0" w:line="112" w:lineRule="exact"/>
        <w:rPr>
          <w:sz w:val="20"/>
          <w:szCs w:val="20"/>
          <w:color w:val="auto"/>
        </w:rPr>
      </w:pPr>
    </w:p>
    <w:p>
      <w:pPr>
        <w:jc w:val="both"/>
        <w:ind w:firstLine="2592"/>
        <w:spacing w:after="0" w:line="261" w:lineRule="auto"/>
        <w:rPr>
          <w:sz w:val="20"/>
          <w:szCs w:val="20"/>
          <w:color w:val="auto"/>
        </w:rPr>
      </w:pPr>
      <w:r>
        <w:rPr>
          <w:rFonts w:ascii="Arial" w:cs="Arial" w:eastAsia="Arial" w:hAnsi="Arial"/>
          <w:sz w:val="21"/>
          <w:szCs w:val="21"/>
          <w:color w:val="auto"/>
        </w:rPr>
        <w:t xml:space="preserve">4.4.4. </w:t>
      </w:r>
      <w:r>
        <w:rPr>
          <w:rFonts w:ascii="Arial" w:cs="Arial" w:eastAsia="Arial" w:hAnsi="Arial"/>
          <w:sz w:val="21"/>
          <w:szCs w:val="21"/>
          <w:u w:val="single" w:color="auto"/>
          <w:color w:val="auto"/>
        </w:rPr>
        <w:t>Adjustment of Series A Conversion Price Upon Issuance of Additional Shares of Common</w:t>
      </w:r>
      <w:r>
        <w:rPr>
          <w:rFonts w:ascii="Arial" w:cs="Arial" w:eastAsia="Arial" w:hAnsi="Arial"/>
          <w:sz w:val="21"/>
          <w:szCs w:val="21"/>
          <w:color w:val="auto"/>
        </w:rPr>
        <w:t xml:space="preserve"> </w:t>
      </w:r>
      <w:r>
        <w:rPr>
          <w:rFonts w:ascii="Arial" w:cs="Arial" w:eastAsia="Arial" w:hAnsi="Arial"/>
          <w:sz w:val="21"/>
          <w:szCs w:val="21"/>
          <w:u w:val="single" w:color="auto"/>
          <w:color w:val="auto"/>
        </w:rPr>
        <w:t>Stock</w:t>
      </w:r>
      <w:r>
        <w:rPr>
          <w:rFonts w:ascii="Arial" w:cs="Arial" w:eastAsia="Arial" w:hAnsi="Arial"/>
          <w:sz w:val="21"/>
          <w:szCs w:val="21"/>
          <w:color w:val="auto"/>
        </w:rPr>
        <w:t xml:space="preserve">. In the event the Corporation shall at any time after the Series A Original Issue Date issue Additional Shares of Common Stock (including Additional Shares of Common Stock deemed to be issued pursuant to </w:t>
      </w:r>
      <w:r>
        <w:rPr>
          <w:rFonts w:ascii="Arial" w:cs="Arial" w:eastAsia="Arial" w:hAnsi="Arial"/>
          <w:sz w:val="21"/>
          <w:szCs w:val="21"/>
          <w:u w:val="single" w:color="auto"/>
          <w:color w:val="auto"/>
        </w:rPr>
        <w:t>Subsection 4.4.3</w:t>
      </w:r>
      <w:r>
        <w:rPr>
          <w:rFonts w:ascii="Arial" w:cs="Arial" w:eastAsia="Arial" w:hAnsi="Arial"/>
          <w:sz w:val="21"/>
          <w:szCs w:val="21"/>
          <w:color w:val="auto"/>
        </w:rPr>
        <w:t>), without consideration or for a consideration per share less than the Series A Conversion Price in effect immediately prior to such issue, then the Series A Conversion Price shall be reduced, concurrently with such issue, to a price (calculated to the nearest one-hundredth of a cent) determined in accordance with the following formula:</w:t>
      </w:r>
    </w:p>
    <w:p>
      <w:pPr>
        <w:spacing w:after="0" w:line="38"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CP</w:t>
      </w:r>
      <w:r>
        <w:rPr>
          <w:rFonts w:ascii="Arial" w:cs="Arial" w:eastAsia="Arial" w:hAnsi="Arial"/>
          <w:sz w:val="28"/>
          <w:szCs w:val="28"/>
          <w:color w:val="auto"/>
          <w:vertAlign w:val="subscript"/>
        </w:rPr>
        <w:t>2</w:t>
      </w:r>
      <w:r>
        <w:rPr>
          <w:rFonts w:ascii="Arial" w:cs="Arial" w:eastAsia="Arial" w:hAnsi="Arial"/>
          <w:sz w:val="22"/>
          <w:szCs w:val="22"/>
          <w:color w:val="auto"/>
        </w:rPr>
        <w:t>= CP</w:t>
      </w:r>
      <w:r>
        <w:rPr>
          <w:rFonts w:ascii="Arial" w:cs="Arial" w:eastAsia="Arial" w:hAnsi="Arial"/>
          <w:sz w:val="28"/>
          <w:szCs w:val="28"/>
          <w:color w:val="auto"/>
          <w:vertAlign w:val="subscript"/>
        </w:rPr>
        <w:t>1</w:t>
      </w:r>
      <w:r>
        <w:rPr>
          <w:rFonts w:ascii="Arial" w:cs="Arial" w:eastAsia="Arial" w:hAnsi="Arial"/>
          <w:sz w:val="22"/>
          <w:szCs w:val="22"/>
          <w:color w:val="auto"/>
        </w:rPr>
        <w:t xml:space="preserve"> * (A+B) ÷ (A + C).</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the foregoing formula, the following definitions shall apply:</w:t>
      </w:r>
    </w:p>
    <w:p>
      <w:pPr>
        <w:spacing w:after="0" w:line="78" w:lineRule="exact"/>
        <w:rPr>
          <w:sz w:val="20"/>
          <w:szCs w:val="20"/>
          <w:color w:val="auto"/>
        </w:rPr>
      </w:pPr>
    </w:p>
    <w:p>
      <w:pPr>
        <w:ind w:left="3720" w:hanging="472"/>
        <w:spacing w:after="0"/>
        <w:tabs>
          <w:tab w:leader="none" w:pos="372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“CP</w:t>
      </w:r>
      <w:r>
        <w:rPr>
          <w:rFonts w:ascii="Arial" w:cs="Arial" w:eastAsia="Arial" w:hAnsi="Arial"/>
          <w:sz w:val="25"/>
          <w:szCs w:val="25"/>
          <w:color w:val="auto"/>
          <w:vertAlign w:val="subscript"/>
        </w:rPr>
        <w:t>2</w:t>
      </w:r>
      <w:r>
        <w:rPr>
          <w:rFonts w:ascii="Arial" w:cs="Arial" w:eastAsia="Arial" w:hAnsi="Arial"/>
          <w:sz w:val="19"/>
          <w:szCs w:val="19"/>
          <w:color w:val="auto"/>
        </w:rPr>
        <w:t>” shall mean the Series A Conversion Price in effect immediately after such issue</w:t>
      </w:r>
    </w:p>
    <w:p>
      <w:pPr>
        <w:spacing w:after="0" w:line="7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Additional Shares of Common Stock;</w:t>
      </w:r>
    </w:p>
    <w:p>
      <w:pPr>
        <w:spacing w:after="0" w:line="60" w:lineRule="exact"/>
        <w:rPr>
          <w:rFonts w:ascii="Arial" w:cs="Arial" w:eastAsia="Arial" w:hAnsi="Arial"/>
          <w:sz w:val="19"/>
          <w:szCs w:val="19"/>
          <w:color w:val="auto"/>
        </w:rPr>
      </w:pPr>
    </w:p>
    <w:p>
      <w:pPr>
        <w:ind w:firstLine="3248"/>
        <w:spacing w:after="0" w:line="281" w:lineRule="auto"/>
        <w:tabs>
          <w:tab w:leader="none" w:pos="3775" w:val="left"/>
        </w:tabs>
        <w:numPr>
          <w:ilvl w:val="0"/>
          <w:numId w:val="155"/>
        </w:numPr>
        <w:rPr>
          <w:rFonts w:ascii="Arial" w:cs="Arial" w:eastAsia="Arial" w:hAnsi="Arial"/>
          <w:sz w:val="22"/>
          <w:szCs w:val="22"/>
          <w:color w:val="auto"/>
        </w:rPr>
      </w:pPr>
      <w:r>
        <w:rPr>
          <w:rFonts w:ascii="Arial" w:cs="Arial" w:eastAsia="Arial" w:hAnsi="Arial"/>
          <w:sz w:val="22"/>
          <w:szCs w:val="22"/>
          <w:color w:val="auto"/>
        </w:rPr>
        <w:t>“CP</w:t>
      </w:r>
      <w:r>
        <w:rPr>
          <w:rFonts w:ascii="Arial" w:cs="Arial" w:eastAsia="Arial" w:hAnsi="Arial"/>
          <w:sz w:val="28"/>
          <w:szCs w:val="28"/>
          <w:color w:val="auto"/>
          <w:vertAlign w:val="subscript"/>
        </w:rPr>
        <w:t>1</w:t>
      </w:r>
      <w:r>
        <w:rPr>
          <w:rFonts w:ascii="Arial" w:cs="Arial" w:eastAsia="Arial" w:hAnsi="Arial"/>
          <w:sz w:val="22"/>
          <w:szCs w:val="22"/>
          <w:color w:val="auto"/>
        </w:rPr>
        <w:t>” shall mean the Series A Conversion Price in effect immediately prior to such issue of Additional Shares of Common Stock;</w:t>
      </w:r>
    </w:p>
    <w:p>
      <w:pPr>
        <w:spacing w:after="0" w:line="89" w:lineRule="exact"/>
        <w:rPr>
          <w:rFonts w:ascii="Arial" w:cs="Arial" w:eastAsia="Arial" w:hAnsi="Arial"/>
          <w:sz w:val="22"/>
          <w:szCs w:val="22"/>
          <w:color w:val="auto"/>
        </w:rPr>
      </w:pPr>
    </w:p>
    <w:p>
      <w:pPr>
        <w:jc w:val="both"/>
        <w:ind w:firstLine="3248"/>
        <w:spacing w:after="0" w:line="248" w:lineRule="auto"/>
        <w:tabs>
          <w:tab w:leader="none" w:pos="3702" w:val="left"/>
        </w:tabs>
        <w:numPr>
          <w:ilvl w:val="0"/>
          <w:numId w:val="155"/>
        </w:numPr>
        <w:rPr>
          <w:rFonts w:ascii="Arial" w:cs="Arial" w:eastAsia="Arial" w:hAnsi="Arial"/>
          <w:sz w:val="22"/>
          <w:szCs w:val="22"/>
          <w:color w:val="auto"/>
        </w:rPr>
      </w:pPr>
      <w:r>
        <w:rPr>
          <w:rFonts w:ascii="Arial" w:cs="Arial" w:eastAsia="Arial" w:hAnsi="Arial"/>
          <w:sz w:val="22"/>
          <w:szCs w:val="22"/>
          <w:color w:val="auto"/>
        </w:rPr>
        <w:t>“A” shall mean the number of shares of Common Stock outstanding immediately prior to such issue of Additional Shares of Common Stock (treating for this purpose as outstanding all shares of Common Stock issuable upon exercise of Options outstanding immediately prior to such issue or upon conversion or exchange of Convertible Securities (including the Series A Preferred Stock) outstanding (assuming exercise of any outstanding Options therefor) immediately prior to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28" w:right="339" w:bottom="1440" w:gutter="0" w:footer="0" w:header="0"/>
        </w:sectPr>
      </w:pPr>
    </w:p>
    <w:bookmarkStart w:id="213" w:name="page214"/>
    <w:bookmarkEnd w:id="213"/>
    <w:p>
      <w:pPr>
        <w:jc w:val="both"/>
        <w:ind w:firstLine="3248"/>
        <w:spacing w:after="0" w:line="212" w:lineRule="auto"/>
        <w:tabs>
          <w:tab w:leader="none" w:pos="3714" w:val="left"/>
        </w:tabs>
        <w:numPr>
          <w:ilvl w:val="0"/>
          <w:numId w:val="156"/>
        </w:numPr>
        <w:rPr>
          <w:rFonts w:ascii="Arial" w:cs="Arial" w:eastAsia="Arial" w:hAnsi="Arial"/>
          <w:sz w:val="22"/>
          <w:szCs w:val="22"/>
          <w:color w:val="auto"/>
        </w:rPr>
      </w:pPr>
      <w:r>
        <w:rPr>
          <w:rFonts w:ascii="Arial" w:cs="Arial" w:eastAsia="Arial" w:hAnsi="Arial"/>
          <w:sz w:val="22"/>
          <w:szCs w:val="22"/>
          <w:color w:val="auto"/>
        </w:rPr>
        <w:t>“B” shall mean the number of shares of Common Stock that would have been issued if such Additional Shares of Common Stock had been issued at a price per share equal to CP</w:t>
      </w:r>
      <w:r>
        <w:rPr>
          <w:rFonts w:ascii="Arial" w:cs="Arial" w:eastAsia="Arial" w:hAnsi="Arial"/>
          <w:sz w:val="28"/>
          <w:szCs w:val="28"/>
          <w:color w:val="auto"/>
          <w:vertAlign w:val="subscript"/>
        </w:rPr>
        <w:t>1</w:t>
      </w:r>
      <w:r>
        <w:rPr>
          <w:rFonts w:ascii="Arial" w:cs="Arial" w:eastAsia="Arial" w:hAnsi="Arial"/>
          <w:sz w:val="22"/>
          <w:szCs w:val="22"/>
          <w:color w:val="auto"/>
        </w:rPr>
        <w:t xml:space="preserve"> (determined by dividing the aggregate consideration received by the Corporation in respect of such issue by CP</w:t>
      </w:r>
      <w:r>
        <w:rPr>
          <w:rFonts w:ascii="Arial" w:cs="Arial" w:eastAsia="Arial" w:hAnsi="Arial"/>
          <w:sz w:val="28"/>
          <w:szCs w:val="28"/>
          <w:color w:val="auto"/>
          <w:vertAlign w:val="subscript"/>
        </w:rPr>
        <w:t>1</w:t>
      </w:r>
      <w:r>
        <w:rPr>
          <w:rFonts w:ascii="Arial" w:cs="Arial" w:eastAsia="Arial" w:hAnsi="Arial"/>
          <w:sz w:val="22"/>
          <w:szCs w:val="22"/>
          <w:color w:val="auto"/>
        </w:rPr>
        <w:t>); and</w:t>
      </w:r>
    </w:p>
    <w:p>
      <w:pPr>
        <w:spacing w:after="0" w:line="139" w:lineRule="exact"/>
        <w:rPr>
          <w:rFonts w:ascii="Arial" w:cs="Arial" w:eastAsia="Arial" w:hAnsi="Arial"/>
          <w:sz w:val="22"/>
          <w:szCs w:val="22"/>
          <w:color w:val="auto"/>
        </w:rPr>
      </w:pPr>
    </w:p>
    <w:p>
      <w:pPr>
        <w:ind w:left="3800" w:hanging="552"/>
        <w:spacing w:after="0"/>
        <w:tabs>
          <w:tab w:leader="none" w:pos="380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“C” shall mean the number of such Additional Shares of Common Stock issued in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such transaction.</w:t>
      </w:r>
    </w:p>
    <w:p>
      <w:pPr>
        <w:spacing w:after="0" w:line="148" w:lineRule="exact"/>
        <w:rPr>
          <w:sz w:val="20"/>
          <w:szCs w:val="20"/>
          <w:color w:val="auto"/>
        </w:rPr>
      </w:pPr>
    </w:p>
    <w:p>
      <w:pPr>
        <w:ind w:firstLine="2592"/>
        <w:spacing w:after="0" w:line="287" w:lineRule="auto"/>
        <w:rPr>
          <w:sz w:val="20"/>
          <w:szCs w:val="20"/>
          <w:color w:val="auto"/>
        </w:rPr>
      </w:pPr>
      <w:r>
        <w:rPr>
          <w:rFonts w:ascii="Arial" w:cs="Arial" w:eastAsia="Arial" w:hAnsi="Arial"/>
          <w:sz w:val="21"/>
          <w:szCs w:val="21"/>
          <w:color w:val="0B0B0B"/>
        </w:rPr>
        <w:t>4.4</w:t>
      </w:r>
      <w:r>
        <w:rPr>
          <w:rFonts w:ascii="Arial" w:cs="Arial" w:eastAsia="Arial" w:hAnsi="Arial"/>
          <w:sz w:val="21"/>
          <w:szCs w:val="21"/>
          <w:color w:val="212121"/>
        </w:rPr>
        <w:t>.</w:t>
      </w:r>
      <w:r>
        <w:rPr>
          <w:rFonts w:ascii="Arial" w:cs="Arial" w:eastAsia="Arial" w:hAnsi="Arial"/>
          <w:sz w:val="21"/>
          <w:szCs w:val="21"/>
          <w:color w:val="0B0B0B"/>
        </w:rPr>
        <w:t>5</w:t>
      </w:r>
      <w:r>
        <w:rPr>
          <w:rFonts w:ascii="Arial" w:cs="Arial" w:eastAsia="Arial" w:hAnsi="Arial"/>
          <w:sz w:val="21"/>
          <w:szCs w:val="21"/>
          <w:color w:val="212121"/>
        </w:rPr>
        <w:t>.</w:t>
      </w:r>
      <w:r>
        <w:rPr>
          <w:rFonts w:ascii="Arial" w:cs="Arial" w:eastAsia="Arial" w:hAnsi="Arial"/>
          <w:sz w:val="21"/>
          <w:szCs w:val="21"/>
          <w:color w:val="0B0B0B"/>
        </w:rPr>
        <w:t xml:space="preserve"> </w:t>
      </w:r>
      <w:r>
        <w:rPr>
          <w:rFonts w:ascii="Arial" w:cs="Arial" w:eastAsia="Arial" w:hAnsi="Arial"/>
          <w:sz w:val="21"/>
          <w:szCs w:val="21"/>
          <w:u w:val="single" w:color="auto"/>
          <w:color w:val="0B0B0B"/>
        </w:rPr>
        <w:t>Determination of Consideration</w:t>
      </w:r>
      <w:r>
        <w:rPr>
          <w:rFonts w:ascii="Arial" w:cs="Arial" w:eastAsia="Arial" w:hAnsi="Arial"/>
          <w:sz w:val="21"/>
          <w:szCs w:val="21"/>
          <w:color w:val="212121"/>
        </w:rPr>
        <w:t>.</w:t>
      </w:r>
      <w:r>
        <w:rPr>
          <w:rFonts w:ascii="Arial" w:cs="Arial" w:eastAsia="Arial" w:hAnsi="Arial"/>
          <w:sz w:val="21"/>
          <w:szCs w:val="21"/>
          <w:color w:val="0B0B0B"/>
        </w:rPr>
        <w:t xml:space="preserve"> For purposes of this </w:t>
      </w:r>
      <w:r>
        <w:rPr>
          <w:rFonts w:ascii="Arial" w:cs="Arial" w:eastAsia="Arial" w:hAnsi="Arial"/>
          <w:sz w:val="21"/>
          <w:szCs w:val="21"/>
          <w:u w:val="single" w:color="auto"/>
          <w:color w:val="0B0B0B"/>
        </w:rPr>
        <w:t>Subsection 4.4</w:t>
      </w:r>
      <w:r>
        <w:rPr>
          <w:rFonts w:ascii="Arial" w:cs="Arial" w:eastAsia="Arial" w:hAnsi="Arial"/>
          <w:sz w:val="21"/>
          <w:szCs w:val="21"/>
          <w:color w:val="0B0B0B"/>
        </w:rPr>
        <w:t>, the consideration received by the Corporation for the issue of any Additional Shares of Common Stock shall be computed as follows:</w:t>
      </w:r>
    </w:p>
    <w:p>
      <w:pPr>
        <w:spacing w:after="0" w:line="97" w:lineRule="exact"/>
        <w:rPr>
          <w:sz w:val="20"/>
          <w:szCs w:val="20"/>
          <w:color w:val="auto"/>
        </w:rPr>
      </w:pPr>
    </w:p>
    <w:p>
      <w:pPr>
        <w:ind w:left="3700" w:hanging="452"/>
        <w:spacing w:after="0"/>
        <w:tabs>
          <w:tab w:leader="none" w:pos="3700" w:val="left"/>
        </w:tabs>
        <w:numPr>
          <w:ilvl w:val="0"/>
          <w:numId w:val="157"/>
        </w:numPr>
        <w:rPr>
          <w:rFonts w:ascii="Arial" w:cs="Arial" w:eastAsia="Arial" w:hAnsi="Arial"/>
          <w:sz w:val="22"/>
          <w:szCs w:val="22"/>
          <w:color w:val="0B0B0B"/>
        </w:rPr>
      </w:pPr>
      <w:r>
        <w:rPr>
          <w:rFonts w:ascii="Arial" w:cs="Arial" w:eastAsia="Arial" w:hAnsi="Arial"/>
          <w:sz w:val="22"/>
          <w:szCs w:val="22"/>
          <w:u w:val="single" w:color="auto"/>
          <w:color w:val="0B0B0B"/>
        </w:rPr>
        <w:t>Cash and Property</w:t>
      </w:r>
      <w:r>
        <w:rPr>
          <w:rFonts w:ascii="Arial" w:cs="Arial" w:eastAsia="Arial" w:hAnsi="Arial"/>
          <w:sz w:val="22"/>
          <w:szCs w:val="22"/>
          <w:color w:val="0B0B0B"/>
        </w:rPr>
        <w:t>: Such con</w:t>
      </w:r>
      <w:r>
        <w:rPr>
          <w:rFonts w:ascii="Arial" w:cs="Arial" w:eastAsia="Arial" w:hAnsi="Arial"/>
          <w:sz w:val="22"/>
          <w:szCs w:val="22"/>
          <w:color w:val="212121"/>
        </w:rPr>
        <w:t>s</w:t>
      </w:r>
      <w:r>
        <w:rPr>
          <w:rFonts w:ascii="Arial" w:cs="Arial" w:eastAsia="Arial" w:hAnsi="Arial"/>
          <w:sz w:val="22"/>
          <w:szCs w:val="22"/>
          <w:color w:val="0B0B0B"/>
        </w:rPr>
        <w:t>ideration shall</w:t>
      </w:r>
      <w:r>
        <w:rPr>
          <w:rFonts w:ascii="Arial" w:cs="Arial" w:eastAsia="Arial" w:hAnsi="Arial"/>
          <w:sz w:val="22"/>
          <w:szCs w:val="22"/>
          <w:color w:val="212121"/>
        </w:rPr>
        <w:t>:</w:t>
      </w:r>
    </w:p>
    <w:p>
      <w:pPr>
        <w:spacing w:after="0" w:line="165" w:lineRule="exact"/>
        <w:rPr>
          <w:rFonts w:ascii="Arial" w:cs="Arial" w:eastAsia="Arial" w:hAnsi="Arial"/>
          <w:sz w:val="22"/>
          <w:szCs w:val="22"/>
          <w:color w:val="0B0B0B"/>
        </w:rPr>
      </w:pPr>
    </w:p>
    <w:p>
      <w:pPr>
        <w:jc w:val="both"/>
        <w:ind w:left="4220" w:hanging="324"/>
        <w:spacing w:after="0" w:line="253" w:lineRule="auto"/>
        <w:tabs>
          <w:tab w:leader="none" w:pos="4424" w:val="left"/>
        </w:tabs>
        <w:numPr>
          <w:ilvl w:val="1"/>
          <w:numId w:val="157"/>
        </w:numPr>
        <w:rPr>
          <w:rFonts w:ascii="Arial" w:cs="Arial" w:eastAsia="Arial" w:hAnsi="Arial"/>
          <w:sz w:val="22"/>
          <w:szCs w:val="22"/>
          <w:color w:val="0B0B0B"/>
        </w:rPr>
      </w:pPr>
      <w:r>
        <w:rPr>
          <w:rFonts w:ascii="Arial" w:cs="Arial" w:eastAsia="Arial" w:hAnsi="Arial"/>
          <w:sz w:val="22"/>
          <w:szCs w:val="22"/>
          <w:color w:val="0B0B0B"/>
        </w:rPr>
        <w:t>in</w:t>
      </w:r>
      <w:r>
        <w:rPr>
          <w:rFonts w:ascii="Arial" w:cs="Arial" w:eastAsia="Arial" w:hAnsi="Arial"/>
          <w:sz w:val="22"/>
          <w:szCs w:val="22"/>
          <w:color w:val="212121"/>
        </w:rPr>
        <w:t>s</w:t>
      </w:r>
      <w:r>
        <w:rPr>
          <w:rFonts w:ascii="Arial" w:cs="Arial" w:eastAsia="Arial" w:hAnsi="Arial"/>
          <w:sz w:val="22"/>
          <w:szCs w:val="22"/>
          <w:color w:val="0B0B0B"/>
        </w:rPr>
        <w:t>ofar as it consists of ca</w:t>
      </w:r>
      <w:r>
        <w:rPr>
          <w:rFonts w:ascii="Arial" w:cs="Arial" w:eastAsia="Arial" w:hAnsi="Arial"/>
          <w:sz w:val="22"/>
          <w:szCs w:val="22"/>
          <w:color w:val="212121"/>
        </w:rPr>
        <w:t>s</w:t>
      </w:r>
      <w:r>
        <w:rPr>
          <w:rFonts w:ascii="Arial" w:cs="Arial" w:eastAsia="Arial" w:hAnsi="Arial"/>
          <w:sz w:val="22"/>
          <w:szCs w:val="22"/>
          <w:color w:val="0B0B0B"/>
        </w:rPr>
        <w:t>h, be computed at the aggregate amount of cash received by the Corporation, excluding amounts paid or payable for accrued interest;</w:t>
      </w:r>
    </w:p>
    <w:p>
      <w:pPr>
        <w:spacing w:after="0" w:line="131" w:lineRule="exact"/>
        <w:rPr>
          <w:rFonts w:ascii="Arial" w:cs="Arial" w:eastAsia="Arial" w:hAnsi="Arial"/>
          <w:sz w:val="22"/>
          <w:szCs w:val="22"/>
          <w:color w:val="0B0B0B"/>
        </w:rPr>
      </w:pPr>
    </w:p>
    <w:p>
      <w:pPr>
        <w:jc w:val="both"/>
        <w:ind w:left="4220" w:hanging="324"/>
        <w:spacing w:after="0" w:line="253" w:lineRule="auto"/>
        <w:tabs>
          <w:tab w:leader="none" w:pos="4524" w:val="left"/>
        </w:tabs>
        <w:numPr>
          <w:ilvl w:val="1"/>
          <w:numId w:val="157"/>
        </w:numPr>
        <w:rPr>
          <w:rFonts w:ascii="Arial" w:cs="Arial" w:eastAsia="Arial" w:hAnsi="Arial"/>
          <w:sz w:val="22"/>
          <w:szCs w:val="22"/>
          <w:color w:val="0B0B0B"/>
        </w:rPr>
      </w:pPr>
      <w:r>
        <w:rPr>
          <w:rFonts w:ascii="Arial" w:cs="Arial" w:eastAsia="Arial" w:hAnsi="Arial"/>
          <w:sz w:val="22"/>
          <w:szCs w:val="22"/>
          <w:color w:val="0B0B0B"/>
        </w:rPr>
        <w:t>insofar as it consists of property other than cash</w:t>
      </w:r>
      <w:r>
        <w:rPr>
          <w:rFonts w:ascii="Arial" w:cs="Arial" w:eastAsia="Arial" w:hAnsi="Arial"/>
          <w:sz w:val="22"/>
          <w:szCs w:val="22"/>
          <w:color w:val="363636"/>
        </w:rPr>
        <w:t>,</w:t>
      </w:r>
      <w:r>
        <w:rPr>
          <w:rFonts w:ascii="Arial" w:cs="Arial" w:eastAsia="Arial" w:hAnsi="Arial"/>
          <w:sz w:val="22"/>
          <w:szCs w:val="22"/>
          <w:color w:val="0B0B0B"/>
        </w:rPr>
        <w:t xml:space="preserve"> be computed at the fair market value thereof at the time of such issue, as determined in good faith by the Board; and</w:t>
      </w:r>
    </w:p>
    <w:p>
      <w:pPr>
        <w:spacing w:after="0" w:line="131" w:lineRule="exact"/>
        <w:rPr>
          <w:sz w:val="20"/>
          <w:szCs w:val="20"/>
          <w:color w:val="auto"/>
        </w:rPr>
      </w:pPr>
    </w:p>
    <w:p>
      <w:pPr>
        <w:jc w:val="both"/>
        <w:ind w:left="4220" w:hanging="323"/>
        <w:spacing w:after="0" w:line="248" w:lineRule="auto"/>
        <w:tabs>
          <w:tab w:leader="none" w:pos="4200" w:val="left"/>
        </w:tabs>
        <w:rPr>
          <w:sz w:val="20"/>
          <w:szCs w:val="20"/>
          <w:color w:val="auto"/>
        </w:rPr>
      </w:pPr>
      <w:r>
        <w:rPr>
          <w:rFonts w:ascii="Arial" w:cs="Arial" w:eastAsia="Arial" w:hAnsi="Arial"/>
          <w:sz w:val="22"/>
          <w:szCs w:val="22"/>
          <w:color w:val="0B0B0B"/>
        </w:rPr>
        <w:t>(iii</w:t>
      </w:r>
      <w:r>
        <w:rPr>
          <w:rFonts w:ascii="Arial" w:cs="Arial" w:eastAsia="Arial" w:hAnsi="Arial"/>
          <w:sz w:val="22"/>
          <w:szCs w:val="22"/>
          <w:color w:val="212121"/>
        </w:rPr>
        <w:t>)</w:t>
      </w:r>
      <w:r>
        <w:rPr>
          <w:rFonts w:ascii="Arial" w:cs="Arial" w:eastAsia="Arial" w:hAnsi="Arial"/>
          <w:sz w:val="22"/>
          <w:szCs w:val="22"/>
          <w:color w:val="0B0B0B"/>
        </w:rPr>
        <w:tab/>
        <w:t>in the event Additional Shares of Common Stock are issued together w</w:t>
      </w:r>
      <w:r>
        <w:rPr>
          <w:rFonts w:ascii="Arial" w:cs="Arial" w:eastAsia="Arial" w:hAnsi="Arial"/>
          <w:sz w:val="22"/>
          <w:szCs w:val="22"/>
          <w:color w:val="212121"/>
        </w:rPr>
        <w:t>i</w:t>
      </w:r>
      <w:r>
        <w:rPr>
          <w:rFonts w:ascii="Arial" w:cs="Arial" w:eastAsia="Arial" w:hAnsi="Arial"/>
          <w:sz w:val="22"/>
          <w:szCs w:val="22"/>
          <w:color w:val="0B0B0B"/>
        </w:rPr>
        <w:t>th other shares or securitie</w:t>
      </w:r>
      <w:r>
        <w:rPr>
          <w:rFonts w:ascii="Arial" w:cs="Arial" w:eastAsia="Arial" w:hAnsi="Arial"/>
          <w:sz w:val="22"/>
          <w:szCs w:val="22"/>
          <w:color w:val="212121"/>
        </w:rPr>
        <w:t>s</w:t>
      </w:r>
      <w:r>
        <w:rPr>
          <w:rFonts w:ascii="Arial" w:cs="Arial" w:eastAsia="Arial" w:hAnsi="Arial"/>
          <w:sz w:val="22"/>
          <w:szCs w:val="22"/>
          <w:color w:val="0B0B0B"/>
        </w:rPr>
        <w:t xml:space="preserve"> or other assets of the Corporation for consideration which covers both</w:t>
      </w:r>
      <w:r>
        <w:rPr>
          <w:rFonts w:ascii="Arial" w:cs="Arial" w:eastAsia="Arial" w:hAnsi="Arial"/>
          <w:sz w:val="22"/>
          <w:szCs w:val="22"/>
          <w:color w:val="212121"/>
        </w:rPr>
        <w:t>,</w:t>
      </w:r>
      <w:r>
        <w:rPr>
          <w:rFonts w:ascii="Arial" w:cs="Arial" w:eastAsia="Arial" w:hAnsi="Arial"/>
          <w:sz w:val="22"/>
          <w:szCs w:val="22"/>
          <w:color w:val="0B0B0B"/>
        </w:rPr>
        <w:t xml:space="preserve"> be the proportion of such consideration so received</w:t>
      </w:r>
      <w:r>
        <w:rPr>
          <w:rFonts w:ascii="Arial" w:cs="Arial" w:eastAsia="Arial" w:hAnsi="Arial"/>
          <w:sz w:val="22"/>
          <w:szCs w:val="22"/>
          <w:color w:val="212121"/>
        </w:rPr>
        <w:t>,</w:t>
      </w:r>
      <w:r>
        <w:rPr>
          <w:rFonts w:ascii="Arial" w:cs="Arial" w:eastAsia="Arial" w:hAnsi="Arial"/>
          <w:sz w:val="22"/>
          <w:szCs w:val="22"/>
          <w:color w:val="0B0B0B"/>
        </w:rPr>
        <w:t xml:space="preserve"> computed as provided in clau</w:t>
      </w:r>
      <w:r>
        <w:rPr>
          <w:rFonts w:ascii="Arial" w:cs="Arial" w:eastAsia="Arial" w:hAnsi="Arial"/>
          <w:sz w:val="22"/>
          <w:szCs w:val="22"/>
          <w:color w:val="212121"/>
        </w:rPr>
        <w:t>s</w:t>
      </w:r>
      <w:r>
        <w:rPr>
          <w:rFonts w:ascii="Arial" w:cs="Arial" w:eastAsia="Arial" w:hAnsi="Arial"/>
          <w:sz w:val="22"/>
          <w:szCs w:val="22"/>
          <w:color w:val="0B0B0B"/>
        </w:rPr>
        <w:t>es (i) and (ii) above</w:t>
      </w:r>
      <w:r>
        <w:rPr>
          <w:rFonts w:ascii="Arial" w:cs="Arial" w:eastAsia="Arial" w:hAnsi="Arial"/>
          <w:sz w:val="22"/>
          <w:szCs w:val="22"/>
          <w:color w:val="212121"/>
        </w:rPr>
        <w:t>,</w:t>
      </w:r>
      <w:r>
        <w:rPr>
          <w:rFonts w:ascii="Arial" w:cs="Arial" w:eastAsia="Arial" w:hAnsi="Arial"/>
          <w:sz w:val="22"/>
          <w:szCs w:val="22"/>
          <w:color w:val="0B0B0B"/>
        </w:rPr>
        <w:t xml:space="preserve"> as determined in good faith by the Board.</w:t>
      </w:r>
    </w:p>
    <w:p>
      <w:pPr>
        <w:spacing w:after="0" w:line="138" w:lineRule="exact"/>
        <w:rPr>
          <w:sz w:val="20"/>
          <w:szCs w:val="20"/>
          <w:color w:val="auto"/>
        </w:rPr>
      </w:pPr>
    </w:p>
    <w:p>
      <w:pPr>
        <w:jc w:val="both"/>
        <w:ind w:right="20" w:firstLine="3248"/>
        <w:spacing w:after="0" w:line="253" w:lineRule="auto"/>
        <w:tabs>
          <w:tab w:leader="none" w:pos="3883" w:val="left"/>
        </w:tabs>
        <w:numPr>
          <w:ilvl w:val="0"/>
          <w:numId w:val="158"/>
        </w:numPr>
        <w:rPr>
          <w:rFonts w:ascii="Arial" w:cs="Arial" w:eastAsia="Arial" w:hAnsi="Arial"/>
          <w:sz w:val="22"/>
          <w:szCs w:val="22"/>
          <w:color w:val="0B0B0B"/>
        </w:rPr>
      </w:pPr>
      <w:r>
        <w:rPr>
          <w:rFonts w:ascii="Arial" w:cs="Arial" w:eastAsia="Arial" w:hAnsi="Arial"/>
          <w:sz w:val="22"/>
          <w:szCs w:val="22"/>
          <w:u w:val="single" w:color="auto"/>
          <w:color w:val="0B0B0B"/>
        </w:rPr>
        <w:t>Options and Convertible Securities</w:t>
      </w:r>
      <w:r>
        <w:rPr>
          <w:rFonts w:ascii="Arial" w:cs="Arial" w:eastAsia="Arial" w:hAnsi="Arial"/>
          <w:sz w:val="22"/>
          <w:szCs w:val="22"/>
          <w:color w:val="212121"/>
        </w:rPr>
        <w:t>,</w:t>
      </w:r>
      <w:r>
        <w:rPr>
          <w:rFonts w:ascii="Arial" w:cs="Arial" w:eastAsia="Arial" w:hAnsi="Arial"/>
          <w:sz w:val="22"/>
          <w:szCs w:val="22"/>
          <w:color w:val="0B0B0B"/>
        </w:rPr>
        <w:t xml:space="preserve"> The consideration per share received by the Corporation for Additional Shares of Common Stock deemed to have been issued pursuant to </w:t>
      </w:r>
      <w:r>
        <w:rPr>
          <w:rFonts w:ascii="Arial" w:cs="Arial" w:eastAsia="Arial" w:hAnsi="Arial"/>
          <w:sz w:val="22"/>
          <w:szCs w:val="22"/>
          <w:u w:val="single" w:color="auto"/>
          <w:color w:val="0B0B0B"/>
        </w:rPr>
        <w:t>Subsecti</w:t>
      </w:r>
      <w:r>
        <w:rPr>
          <w:rFonts w:ascii="Arial" w:cs="Arial" w:eastAsia="Arial" w:hAnsi="Arial"/>
          <w:sz w:val="22"/>
          <w:szCs w:val="22"/>
          <w:u w:val="single" w:color="auto"/>
          <w:color w:val="212121"/>
        </w:rPr>
        <w:t>o</w:t>
      </w:r>
      <w:r>
        <w:rPr>
          <w:rFonts w:ascii="Arial" w:cs="Arial" w:eastAsia="Arial" w:hAnsi="Arial"/>
          <w:sz w:val="22"/>
          <w:szCs w:val="22"/>
          <w:u w:val="single" w:color="auto"/>
          <w:color w:val="0B0B0B"/>
        </w:rPr>
        <w:t>n 4</w:t>
      </w:r>
      <w:r>
        <w:rPr>
          <w:rFonts w:ascii="Arial" w:cs="Arial" w:eastAsia="Arial" w:hAnsi="Arial"/>
          <w:sz w:val="22"/>
          <w:szCs w:val="22"/>
          <w:u w:val="single" w:color="auto"/>
          <w:color w:val="212121"/>
        </w:rPr>
        <w:t>.</w:t>
      </w:r>
      <w:r>
        <w:rPr>
          <w:rFonts w:ascii="Arial" w:cs="Arial" w:eastAsia="Arial" w:hAnsi="Arial"/>
          <w:sz w:val="22"/>
          <w:szCs w:val="22"/>
          <w:u w:val="single" w:color="auto"/>
          <w:color w:val="0B0B0B"/>
        </w:rPr>
        <w:t>4</w:t>
      </w:r>
      <w:r>
        <w:rPr>
          <w:rFonts w:ascii="Arial" w:cs="Arial" w:eastAsia="Arial" w:hAnsi="Arial"/>
          <w:sz w:val="22"/>
          <w:szCs w:val="22"/>
          <w:u w:val="single" w:color="auto"/>
          <w:color w:val="212121"/>
        </w:rPr>
        <w:t>.</w:t>
      </w:r>
      <w:r>
        <w:rPr>
          <w:rFonts w:ascii="Arial" w:cs="Arial" w:eastAsia="Arial" w:hAnsi="Arial"/>
          <w:sz w:val="22"/>
          <w:szCs w:val="22"/>
          <w:u w:val="single" w:color="auto"/>
          <w:color w:val="0B0B0B"/>
        </w:rPr>
        <w:t>3</w:t>
      </w:r>
      <w:r>
        <w:rPr>
          <w:rFonts w:ascii="Arial" w:cs="Arial" w:eastAsia="Arial" w:hAnsi="Arial"/>
          <w:sz w:val="22"/>
          <w:szCs w:val="22"/>
          <w:color w:val="0B0B0B"/>
        </w:rPr>
        <w:t>, relating to Options and C</w:t>
      </w:r>
      <w:r>
        <w:rPr>
          <w:rFonts w:ascii="Arial" w:cs="Arial" w:eastAsia="Arial" w:hAnsi="Arial"/>
          <w:sz w:val="22"/>
          <w:szCs w:val="22"/>
          <w:color w:val="212121"/>
        </w:rPr>
        <w:t>o</w:t>
      </w:r>
      <w:r>
        <w:rPr>
          <w:rFonts w:ascii="Arial" w:cs="Arial" w:eastAsia="Arial" w:hAnsi="Arial"/>
          <w:sz w:val="22"/>
          <w:szCs w:val="22"/>
          <w:color w:val="0B0B0B"/>
        </w:rPr>
        <w:t>nvertible Securities, shall be determined by dividing:</w:t>
      </w:r>
    </w:p>
    <w:p>
      <w:pPr>
        <w:spacing w:after="0" w:line="131" w:lineRule="exact"/>
        <w:rPr>
          <w:rFonts w:ascii="Arial" w:cs="Arial" w:eastAsia="Arial" w:hAnsi="Arial"/>
          <w:sz w:val="22"/>
          <w:szCs w:val="22"/>
          <w:color w:val="0B0B0B"/>
        </w:rPr>
      </w:pPr>
    </w:p>
    <w:p>
      <w:pPr>
        <w:jc w:val="both"/>
        <w:ind w:left="4220" w:hanging="324"/>
        <w:spacing w:after="0" w:line="260" w:lineRule="auto"/>
        <w:tabs>
          <w:tab w:leader="none" w:pos="4557" w:val="left"/>
        </w:tabs>
        <w:numPr>
          <w:ilvl w:val="1"/>
          <w:numId w:val="158"/>
        </w:numPr>
        <w:rPr>
          <w:rFonts w:ascii="Arial" w:cs="Arial" w:eastAsia="Arial" w:hAnsi="Arial"/>
          <w:sz w:val="21"/>
          <w:szCs w:val="21"/>
          <w:color w:val="0B0B0B"/>
        </w:rPr>
      </w:pPr>
      <w:r>
        <w:rPr>
          <w:rFonts w:ascii="Arial" w:cs="Arial" w:eastAsia="Arial" w:hAnsi="Arial"/>
          <w:sz w:val="21"/>
          <w:szCs w:val="21"/>
          <w:color w:val="0B0B0B"/>
        </w:rPr>
        <w:t>The total amount, if any, received or receivable by the Corporation as consideration for the issue of such Options or Convertible Securities</w:t>
      </w:r>
      <w:r>
        <w:rPr>
          <w:rFonts w:ascii="Arial" w:cs="Arial" w:eastAsia="Arial" w:hAnsi="Arial"/>
          <w:sz w:val="21"/>
          <w:szCs w:val="21"/>
          <w:color w:val="212121"/>
        </w:rPr>
        <w:t>,</w:t>
      </w:r>
      <w:r>
        <w:rPr>
          <w:rFonts w:ascii="Arial" w:cs="Arial" w:eastAsia="Arial" w:hAnsi="Arial"/>
          <w:sz w:val="21"/>
          <w:szCs w:val="21"/>
          <w:color w:val="0B0B0B"/>
        </w:rPr>
        <w:t xml:space="preserve"> plus the minimum aggregate amount of additional consideration (as </w:t>
      </w:r>
      <w:r>
        <w:rPr>
          <w:rFonts w:ascii="Arial" w:cs="Arial" w:eastAsia="Arial" w:hAnsi="Arial"/>
          <w:sz w:val="21"/>
          <w:szCs w:val="21"/>
          <w:color w:val="212121"/>
        </w:rPr>
        <w:t>s</w:t>
      </w:r>
      <w:r>
        <w:rPr>
          <w:rFonts w:ascii="Arial" w:cs="Arial" w:eastAsia="Arial" w:hAnsi="Arial"/>
          <w:sz w:val="21"/>
          <w:szCs w:val="21"/>
          <w:color w:val="0B0B0B"/>
        </w:rPr>
        <w:t>et forth in the instruments relating thereto, without regard to any provision contained therein for a subsequent adjustment of such consideration) payable to the Corporation upon the exercise of such Option</w:t>
      </w:r>
      <w:r>
        <w:rPr>
          <w:rFonts w:ascii="Arial" w:cs="Arial" w:eastAsia="Arial" w:hAnsi="Arial"/>
          <w:sz w:val="21"/>
          <w:szCs w:val="21"/>
          <w:color w:val="212121"/>
        </w:rPr>
        <w:t>s</w:t>
      </w:r>
      <w:r>
        <w:rPr>
          <w:rFonts w:ascii="Arial" w:cs="Arial" w:eastAsia="Arial" w:hAnsi="Arial"/>
          <w:sz w:val="21"/>
          <w:szCs w:val="21"/>
          <w:color w:val="0B0B0B"/>
        </w:rPr>
        <w:t xml:space="preserve"> or the con</w:t>
      </w:r>
      <w:r>
        <w:rPr>
          <w:rFonts w:ascii="Arial" w:cs="Arial" w:eastAsia="Arial" w:hAnsi="Arial"/>
          <w:sz w:val="21"/>
          <w:szCs w:val="21"/>
          <w:color w:val="212121"/>
        </w:rPr>
        <w:t>v</w:t>
      </w:r>
      <w:r>
        <w:rPr>
          <w:rFonts w:ascii="Arial" w:cs="Arial" w:eastAsia="Arial" w:hAnsi="Arial"/>
          <w:sz w:val="21"/>
          <w:szCs w:val="21"/>
          <w:color w:val="0B0B0B"/>
        </w:rPr>
        <w:t>ersion or exchange of such Convertible Securitie</w:t>
      </w:r>
      <w:r>
        <w:rPr>
          <w:rFonts w:ascii="Arial" w:cs="Arial" w:eastAsia="Arial" w:hAnsi="Arial"/>
          <w:sz w:val="21"/>
          <w:szCs w:val="21"/>
          <w:color w:val="212121"/>
        </w:rPr>
        <w:t>s,</w:t>
      </w:r>
      <w:r>
        <w:rPr>
          <w:rFonts w:ascii="Arial" w:cs="Arial" w:eastAsia="Arial" w:hAnsi="Arial"/>
          <w:sz w:val="21"/>
          <w:szCs w:val="21"/>
          <w:color w:val="0B0B0B"/>
        </w:rPr>
        <w:t xml:space="preserve"> or in the case of Options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28" w:right="339" w:bottom="1440" w:gutter="0" w:footer="0" w:header="0"/>
        </w:sectPr>
      </w:pPr>
    </w:p>
    <w:bookmarkStart w:id="214" w:name="page215"/>
    <w:bookmarkEnd w:id="214"/>
    <w:p>
      <w:pPr>
        <w:ind w:left="4220" w:right="20"/>
        <w:spacing w:after="0" w:line="343" w:lineRule="auto"/>
        <w:rPr>
          <w:sz w:val="20"/>
          <w:szCs w:val="20"/>
          <w:color w:val="auto"/>
        </w:rPr>
      </w:pPr>
      <w:r>
        <w:rPr>
          <w:rFonts w:ascii="Arial" w:cs="Arial" w:eastAsia="Arial" w:hAnsi="Arial"/>
          <w:sz w:val="19"/>
          <w:szCs w:val="19"/>
          <w:color w:val="0B0B0B"/>
        </w:rPr>
        <w:t>Convertible Securities, the exercise of such Options for Convertible Securities and the conversion or exchange of such Convertible Securities, by</w:t>
      </w:r>
    </w:p>
    <w:p>
      <w:pPr>
        <w:spacing w:after="0" w:line="50" w:lineRule="exact"/>
        <w:rPr>
          <w:sz w:val="20"/>
          <w:szCs w:val="20"/>
          <w:color w:val="auto"/>
        </w:rPr>
      </w:pPr>
    </w:p>
    <w:p>
      <w:pPr>
        <w:jc w:val="both"/>
        <w:ind w:left="4220" w:hanging="324"/>
        <w:spacing w:after="0" w:line="260" w:lineRule="auto"/>
        <w:tabs>
          <w:tab w:leader="none" w:pos="4592" w:val="left"/>
        </w:tabs>
        <w:numPr>
          <w:ilvl w:val="0"/>
          <w:numId w:val="159"/>
        </w:numPr>
        <w:rPr>
          <w:rFonts w:ascii="Arial" w:cs="Arial" w:eastAsia="Arial" w:hAnsi="Arial"/>
          <w:sz w:val="21"/>
          <w:szCs w:val="21"/>
          <w:color w:val="0B0B0B"/>
        </w:rPr>
      </w:pPr>
      <w:r>
        <w:rPr>
          <w:rFonts w:ascii="Arial" w:cs="Arial" w:eastAsia="Arial" w:hAnsi="Arial"/>
          <w:sz w:val="21"/>
          <w:szCs w:val="21"/>
          <w:color w:val="0B0B0B"/>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126" w:lineRule="exact"/>
        <w:rPr>
          <w:sz w:val="20"/>
          <w:szCs w:val="20"/>
          <w:color w:val="auto"/>
        </w:rPr>
      </w:pPr>
    </w:p>
    <w:p>
      <w:pPr>
        <w:jc w:val="both"/>
        <w:ind w:firstLine="2592"/>
        <w:spacing w:after="0" w:line="247" w:lineRule="auto"/>
        <w:rPr>
          <w:sz w:val="20"/>
          <w:szCs w:val="20"/>
          <w:color w:val="auto"/>
        </w:rPr>
      </w:pPr>
      <w:r>
        <w:rPr>
          <w:rFonts w:ascii="Arial" w:cs="Arial" w:eastAsia="Arial" w:hAnsi="Arial"/>
          <w:sz w:val="22"/>
          <w:szCs w:val="22"/>
          <w:color w:val="0B0B0B"/>
        </w:rPr>
        <w:t xml:space="preserve">4.4.6. </w:t>
      </w:r>
      <w:r>
        <w:rPr>
          <w:rFonts w:ascii="Arial" w:cs="Arial" w:eastAsia="Arial" w:hAnsi="Arial"/>
          <w:sz w:val="22"/>
          <w:szCs w:val="22"/>
          <w:u w:val="single" w:color="auto"/>
          <w:color w:val="0B0B0B"/>
        </w:rPr>
        <w:t>Multiple Closing Dates</w:t>
      </w:r>
      <w:r>
        <w:rPr>
          <w:rFonts w:ascii="Arial" w:cs="Arial" w:eastAsia="Arial" w:hAnsi="Arial"/>
          <w:sz w:val="22"/>
          <w:szCs w:val="22"/>
          <w:color w:val="0B0B0B"/>
        </w:rPr>
        <w:t xml:space="preserve">. In the event the Corporation shall issue on more than one date Additional Shares of Common Stock that are a part of one transaction or a series of related transactions and that would result in an adjustment to the Series A Conversion Price pursuant to the terms of </w:t>
      </w:r>
      <w:r>
        <w:rPr>
          <w:rFonts w:ascii="Arial" w:cs="Arial" w:eastAsia="Arial" w:hAnsi="Arial"/>
          <w:sz w:val="22"/>
          <w:szCs w:val="22"/>
          <w:u w:val="single" w:color="auto"/>
          <w:color w:val="0B0B0B"/>
        </w:rPr>
        <w:t>Subsection 4.4.4</w:t>
      </w:r>
      <w:r>
        <w:rPr>
          <w:rFonts w:ascii="Arial" w:cs="Arial" w:eastAsia="Arial" w:hAnsi="Arial"/>
          <w:sz w:val="22"/>
          <w:szCs w:val="22"/>
          <w:color w:val="0B0B0B"/>
        </w:rPr>
        <w:t>, then, upon the final such issuance, the Series A Conversion Price shall be readjusted to give effect to all such issuances as if they occurred on the date of the first such issuance (and without giving effect to any additional adjustments as a result of any such subsequent issuances within such period).</w:t>
      </w:r>
    </w:p>
    <w:p>
      <w:pPr>
        <w:spacing w:after="0" w:line="139" w:lineRule="exact"/>
        <w:rPr>
          <w:sz w:val="20"/>
          <w:szCs w:val="20"/>
          <w:color w:val="auto"/>
        </w:rPr>
      </w:pPr>
    </w:p>
    <w:p>
      <w:pPr>
        <w:jc w:val="both"/>
        <w:ind w:firstLine="1944"/>
        <w:spacing w:after="0" w:line="258" w:lineRule="auto"/>
        <w:rPr>
          <w:sz w:val="20"/>
          <w:szCs w:val="20"/>
          <w:color w:val="auto"/>
        </w:rPr>
      </w:pPr>
      <w:r>
        <w:rPr>
          <w:rFonts w:ascii="Arial" w:cs="Arial" w:eastAsia="Arial" w:hAnsi="Arial"/>
          <w:sz w:val="21"/>
          <w:szCs w:val="21"/>
          <w:color w:val="0B0B0B"/>
        </w:rPr>
        <w:t xml:space="preserve">4.5 </w:t>
      </w:r>
      <w:r>
        <w:rPr>
          <w:rFonts w:ascii="Arial" w:cs="Arial" w:eastAsia="Arial" w:hAnsi="Arial"/>
          <w:sz w:val="21"/>
          <w:szCs w:val="21"/>
          <w:u w:val="single" w:color="auto"/>
          <w:color w:val="0B0B0B"/>
        </w:rPr>
        <w:t>Adjustment for Stock Splits and Combinations</w:t>
      </w:r>
      <w:r>
        <w:rPr>
          <w:rFonts w:ascii="Arial" w:cs="Arial" w:eastAsia="Arial" w:hAnsi="Arial"/>
          <w:sz w:val="21"/>
          <w:szCs w:val="21"/>
          <w:color w:val="2D2D2D"/>
        </w:rPr>
        <w:t>.</w:t>
      </w:r>
      <w:r>
        <w:rPr>
          <w:rFonts w:ascii="Arial" w:cs="Arial" w:eastAsia="Arial" w:hAnsi="Arial"/>
          <w:sz w:val="21"/>
          <w:szCs w:val="21"/>
          <w:color w:val="0B0B0B"/>
        </w:rPr>
        <w:t xml:space="preserve"> If the Corporation shall at any time or from time to time after the Series A Original Issue Date effect a subdivision of the outstanding Common Stock, the Series A Conversion Price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Series A Original Issue Date combine the outstanding shares of Common Stock, the Series A Conversion Price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subsection shall become effective at the close of business on the date the subdivision or combination becomes effective.</w:t>
      </w:r>
    </w:p>
    <w:p>
      <w:pPr>
        <w:spacing w:after="0" w:line="131"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21"/>
          <w:szCs w:val="21"/>
          <w:color w:val="0B0B0B"/>
        </w:rPr>
        <w:t xml:space="preserve">4.6 </w:t>
      </w:r>
      <w:r>
        <w:rPr>
          <w:rFonts w:ascii="Arial" w:cs="Arial" w:eastAsia="Arial" w:hAnsi="Arial"/>
          <w:sz w:val="21"/>
          <w:szCs w:val="21"/>
          <w:u w:val="single" w:color="auto"/>
          <w:color w:val="0B0B0B"/>
        </w:rPr>
        <w:t>Adjustment for Certain Dividends and Distributions</w:t>
      </w:r>
      <w:r>
        <w:rPr>
          <w:rFonts w:ascii="Arial" w:cs="Arial" w:eastAsia="Arial" w:hAnsi="Arial"/>
          <w:sz w:val="21"/>
          <w:szCs w:val="21"/>
          <w:color w:val="0B0B0B"/>
        </w:rPr>
        <w:t>. In the event the Corporation at any time or from time to time after the Series A Original Issue Date shall make or issue, or fix a record date for the determination of holders of Common Stock entitled to receive, a dividend or other distribution payable on the Common Stock in additional shares of Common Stock, then and in each such event the Series A Conversion Price in effect immediately before such event shall be decreased as of the time of such issuance or, in the event such a record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28" w:right="339" w:bottom="1440" w:gutter="0" w:footer="0" w:header="0"/>
        </w:sectPr>
      </w:pPr>
    </w:p>
    <w:bookmarkStart w:id="215" w:name="page216"/>
    <w:bookmarkEnd w:id="215"/>
    <w:p>
      <w:pPr>
        <w:ind w:right="20"/>
        <w:spacing w:after="0" w:line="263" w:lineRule="auto"/>
        <w:rPr>
          <w:sz w:val="20"/>
          <w:szCs w:val="20"/>
          <w:color w:val="auto"/>
        </w:rPr>
      </w:pPr>
      <w:r>
        <w:rPr>
          <w:rFonts w:ascii="Arial" w:cs="Arial" w:eastAsia="Arial" w:hAnsi="Arial"/>
          <w:sz w:val="22"/>
          <w:szCs w:val="22"/>
          <w:color w:val="0B0B0B"/>
        </w:rPr>
        <w:t>date shall have been fixed, as of the close of business on such record date, by multiplying the Series A Conversion Price then in effect by a fraction:</w:t>
      </w:r>
    </w:p>
    <w:p>
      <w:pPr>
        <w:spacing w:after="0" w:line="121" w:lineRule="exact"/>
        <w:rPr>
          <w:sz w:val="20"/>
          <w:szCs w:val="20"/>
          <w:color w:val="auto"/>
        </w:rPr>
      </w:pPr>
    </w:p>
    <w:p>
      <w:pPr>
        <w:ind w:firstLine="2600"/>
        <w:spacing w:after="0" w:line="287" w:lineRule="auto"/>
        <w:tabs>
          <w:tab w:leader="none" w:pos="3171" w:val="left"/>
        </w:tabs>
        <w:numPr>
          <w:ilvl w:val="0"/>
          <w:numId w:val="160"/>
        </w:numPr>
        <w:rPr>
          <w:rFonts w:ascii="Arial" w:cs="Arial" w:eastAsia="Arial" w:hAnsi="Arial"/>
          <w:sz w:val="21"/>
          <w:szCs w:val="21"/>
          <w:color w:val="0B0B0B"/>
        </w:rPr>
      </w:pPr>
      <w:r>
        <w:rPr>
          <w:rFonts w:ascii="Arial" w:cs="Arial" w:eastAsia="Arial" w:hAnsi="Arial"/>
          <w:sz w:val="21"/>
          <w:szCs w:val="21"/>
          <w:color w:val="0B0B0B"/>
        </w:rPr>
        <w:t>the numerator of which shall be the total number of shares of Common Stock issued and outstanding immediately prior to the time of such issuance or the close of business on such record date, and</w:t>
      </w:r>
    </w:p>
    <w:p>
      <w:pPr>
        <w:spacing w:after="0" w:line="97" w:lineRule="exact"/>
        <w:rPr>
          <w:rFonts w:ascii="Arial" w:cs="Arial" w:eastAsia="Arial" w:hAnsi="Arial"/>
          <w:sz w:val="21"/>
          <w:szCs w:val="21"/>
          <w:color w:val="0B0B0B"/>
        </w:rPr>
      </w:pPr>
    </w:p>
    <w:p>
      <w:pPr>
        <w:jc w:val="both"/>
        <w:ind w:firstLine="2600"/>
        <w:spacing w:after="0" w:line="253" w:lineRule="auto"/>
        <w:tabs>
          <w:tab w:leader="none" w:pos="3128" w:val="left"/>
        </w:tabs>
        <w:numPr>
          <w:ilvl w:val="0"/>
          <w:numId w:val="160"/>
        </w:numPr>
        <w:rPr>
          <w:rFonts w:ascii="Arial" w:cs="Arial" w:eastAsia="Arial" w:hAnsi="Arial"/>
          <w:sz w:val="22"/>
          <w:szCs w:val="22"/>
          <w:color w:val="0B0B0B"/>
        </w:rPr>
      </w:pPr>
      <w:r>
        <w:rPr>
          <w:rFonts w:ascii="Arial" w:cs="Arial" w:eastAsia="Arial" w:hAnsi="Arial"/>
          <w:sz w:val="22"/>
          <w:szCs w:val="22"/>
          <w:color w:val="0B0B0B"/>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31"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0B0B0B"/>
        </w:rPr>
        <w:t>Notwithstanding the foregoing (a) if such record date shall have been fixed and such dividend is not fully paid or if such distribution is not fully made on the date fixed therefor, the Series A Conversion Price shall be recomputed accordingly as of the close of business on such record date and thereafter the Series A Conversion Price shall be adjusted pursuant to this subsection as of the time of actual payment of such dividends or distributions; and (b) that no such adjustment shall be made if the holders of Series A Preferred Stock simultaneously receive a dividend or other distribution of shares of Common Stock in a number equal to the number of shares of Comm on Stock as they would have received if all outstanding shares of Series A Preferred Stock had been converted into Comm on Stock on the date of such event.</w:t>
      </w:r>
    </w:p>
    <w:p>
      <w:pPr>
        <w:spacing w:after="0" w:line="126" w:lineRule="exact"/>
        <w:rPr>
          <w:sz w:val="20"/>
          <w:szCs w:val="20"/>
          <w:color w:val="auto"/>
        </w:rPr>
      </w:pPr>
    </w:p>
    <w:p>
      <w:pPr>
        <w:jc w:val="both"/>
        <w:ind w:firstLine="1944"/>
        <w:spacing w:after="0" w:line="245" w:lineRule="auto"/>
        <w:rPr>
          <w:sz w:val="20"/>
          <w:szCs w:val="20"/>
          <w:color w:val="auto"/>
        </w:rPr>
      </w:pPr>
      <w:r>
        <w:rPr>
          <w:rFonts w:ascii="Arial" w:cs="Arial" w:eastAsia="Arial" w:hAnsi="Arial"/>
          <w:sz w:val="22"/>
          <w:szCs w:val="22"/>
          <w:color w:val="0B0B0B"/>
        </w:rPr>
        <w:t xml:space="preserve">4.7 </w:t>
      </w:r>
      <w:r>
        <w:rPr>
          <w:rFonts w:ascii="Arial" w:cs="Arial" w:eastAsia="Arial" w:hAnsi="Arial"/>
          <w:sz w:val="22"/>
          <w:szCs w:val="22"/>
          <w:u w:val="single" w:color="auto"/>
          <w:color w:val="0B0B0B"/>
        </w:rPr>
        <w:t>Adjustments for Other Dividends and Distributions</w:t>
      </w:r>
      <w:r>
        <w:rPr>
          <w:rFonts w:ascii="Arial" w:cs="Arial" w:eastAsia="Arial" w:hAnsi="Arial"/>
          <w:sz w:val="22"/>
          <w:szCs w:val="22"/>
          <w:color w:val="0B0B0B"/>
        </w:rPr>
        <w:t>. In the event the Corporation at any time or from time to time after the Series A Original Issue Date shall make or issue</w:t>
      </w:r>
      <w:r>
        <w:rPr>
          <w:rFonts w:ascii="Arial" w:cs="Arial" w:eastAsia="Arial" w:hAnsi="Arial"/>
          <w:sz w:val="22"/>
          <w:szCs w:val="22"/>
          <w:color w:val="2A2A2A"/>
        </w:rPr>
        <w:t>,</w:t>
      </w:r>
      <w:r>
        <w:rPr>
          <w:rFonts w:ascii="Arial" w:cs="Arial" w:eastAsia="Arial" w:hAnsi="Arial"/>
          <w:sz w:val="22"/>
          <w:szCs w:val="22"/>
          <w:color w:val="0B0B0B"/>
        </w:rPr>
        <w:t xml:space="preserve"> or fix a record date for the determination of holders of Comm on Stock entitled to receive, a dividend or other distribution payable in securities of the Corporation (other than a distribution of shares of Common Stock in respect of outstanding shares of Common Stock) or in other property and the provisions of </w:t>
      </w:r>
      <w:r>
        <w:rPr>
          <w:rFonts w:ascii="Arial" w:cs="Arial" w:eastAsia="Arial" w:hAnsi="Arial"/>
          <w:sz w:val="22"/>
          <w:szCs w:val="22"/>
          <w:u w:val="single" w:color="auto"/>
          <w:color w:val="0B0B0B"/>
        </w:rPr>
        <w:t>Section 1</w:t>
      </w:r>
      <w:r>
        <w:rPr>
          <w:rFonts w:ascii="Arial" w:cs="Arial" w:eastAsia="Arial" w:hAnsi="Arial"/>
          <w:sz w:val="22"/>
          <w:szCs w:val="22"/>
          <w:color w:val="0B0B0B"/>
        </w:rPr>
        <w:t xml:space="preserve"> do not apply to such dividend or distribution, then and in each such event the holders of Series A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Series A Preferred Stock had been converted into Common Stock on the date of such event</w:t>
      </w:r>
      <w:r>
        <w:rPr>
          <w:rFonts w:ascii="Arial" w:cs="Arial" w:eastAsia="Arial" w:hAnsi="Arial"/>
          <w:sz w:val="22"/>
          <w:szCs w:val="22"/>
          <w:color w:val="2A2A2A"/>
        </w:rPr>
        <w:t>.</w:t>
      </w:r>
    </w:p>
    <w:p>
      <w:pPr>
        <w:spacing w:after="0" w:line="146" w:lineRule="exact"/>
        <w:rPr>
          <w:sz w:val="20"/>
          <w:szCs w:val="20"/>
          <w:color w:val="auto"/>
        </w:rPr>
      </w:pPr>
    </w:p>
    <w:p>
      <w:pPr>
        <w:jc w:val="both"/>
        <w:ind w:firstLine="1944"/>
        <w:spacing w:after="0" w:line="288" w:lineRule="auto"/>
        <w:rPr>
          <w:sz w:val="20"/>
          <w:szCs w:val="20"/>
          <w:color w:val="auto"/>
        </w:rPr>
      </w:pPr>
      <w:r>
        <w:rPr>
          <w:rFonts w:ascii="Arial" w:cs="Arial" w:eastAsia="Arial" w:hAnsi="Arial"/>
          <w:sz w:val="19"/>
          <w:szCs w:val="19"/>
          <w:color w:val="0B0B0B"/>
        </w:rPr>
        <w:t xml:space="preserve">4.8 </w:t>
      </w:r>
      <w:r>
        <w:rPr>
          <w:rFonts w:ascii="Arial" w:cs="Arial" w:eastAsia="Arial" w:hAnsi="Arial"/>
          <w:sz w:val="19"/>
          <w:szCs w:val="19"/>
          <w:u w:val="single" w:color="auto"/>
          <w:color w:val="0B0B0B"/>
        </w:rPr>
        <w:t>Adjustment for Merger or Reorganization, etc</w:t>
      </w:r>
      <w:r>
        <w:rPr>
          <w:rFonts w:ascii="Arial" w:cs="Arial" w:eastAsia="Arial" w:hAnsi="Arial"/>
          <w:sz w:val="19"/>
          <w:szCs w:val="19"/>
          <w:color w:val="2A2A2A"/>
        </w:rPr>
        <w:t>.</w:t>
      </w:r>
      <w:r>
        <w:rPr>
          <w:rFonts w:ascii="Arial" w:cs="Arial" w:eastAsia="Arial" w:hAnsi="Arial"/>
          <w:sz w:val="19"/>
          <w:szCs w:val="19"/>
          <w:color w:val="0B0B0B"/>
        </w:rPr>
        <w:t xml:space="preserve"> Subject to the provisions of </w:t>
      </w:r>
      <w:r>
        <w:rPr>
          <w:rFonts w:ascii="Arial" w:cs="Arial" w:eastAsia="Arial" w:hAnsi="Arial"/>
          <w:sz w:val="19"/>
          <w:szCs w:val="19"/>
          <w:u w:val="single" w:color="auto"/>
          <w:color w:val="0B0B0B"/>
        </w:rPr>
        <w:t>Subsection 2.3</w:t>
      </w:r>
      <w:r>
        <w:rPr>
          <w:rFonts w:ascii="Arial" w:cs="Arial" w:eastAsia="Arial" w:hAnsi="Arial"/>
          <w:sz w:val="19"/>
          <w:szCs w:val="19"/>
          <w:color w:val="0B0B0B"/>
        </w:rPr>
        <w:t>, if there shall occur any reorganization, recapitalization</w:t>
      </w:r>
      <w:r>
        <w:rPr>
          <w:rFonts w:ascii="Arial" w:cs="Arial" w:eastAsia="Arial" w:hAnsi="Arial"/>
          <w:sz w:val="19"/>
          <w:szCs w:val="19"/>
          <w:color w:val="2A2A2A"/>
        </w:rPr>
        <w:t>,</w:t>
      </w:r>
      <w:r>
        <w:rPr>
          <w:rFonts w:ascii="Arial" w:cs="Arial" w:eastAsia="Arial" w:hAnsi="Arial"/>
          <w:sz w:val="19"/>
          <w:szCs w:val="19"/>
          <w:color w:val="0B0B0B"/>
        </w:rPr>
        <w:t xml:space="preserve"> reclassification, consolidation or merger involving the Corporation in which the Common Stock (but not the Series A Preferred Stock) is converted into or exchanged for </w:t>
      </w:r>
      <w:r>
        <w:rPr>
          <w:rFonts w:ascii="Arial" w:cs="Arial" w:eastAsia="Arial" w:hAnsi="Arial"/>
          <w:sz w:val="19"/>
          <w:szCs w:val="19"/>
          <w:color w:val="2A2A2A"/>
        </w:rPr>
        <w:t>s</w:t>
      </w:r>
      <w:r>
        <w:rPr>
          <w:rFonts w:ascii="Arial" w:cs="Arial" w:eastAsia="Arial" w:hAnsi="Arial"/>
          <w:sz w:val="19"/>
          <w:szCs w:val="19"/>
          <w:color w:val="0B0B0B"/>
        </w:rPr>
        <w:t xml:space="preserve">ecurities, cash or other property (other than a transaction covered by </w:t>
      </w:r>
      <w:r>
        <w:rPr>
          <w:rFonts w:ascii="Arial" w:cs="Arial" w:eastAsia="Arial" w:hAnsi="Arial"/>
          <w:sz w:val="19"/>
          <w:szCs w:val="19"/>
          <w:u w:val="single" w:color="auto"/>
          <w:color w:val="0B0B0B"/>
        </w:rPr>
        <w:t>Subsections 4</w:t>
      </w:r>
      <w:r>
        <w:rPr>
          <w:rFonts w:ascii="Arial" w:cs="Arial" w:eastAsia="Arial" w:hAnsi="Arial"/>
          <w:sz w:val="19"/>
          <w:szCs w:val="19"/>
          <w:u w:val="single" w:color="auto"/>
          <w:color w:val="2A2A2A"/>
        </w:rPr>
        <w:t>.</w:t>
      </w:r>
      <w:r>
        <w:rPr>
          <w:rFonts w:ascii="Arial" w:cs="Arial" w:eastAsia="Arial" w:hAnsi="Arial"/>
          <w:sz w:val="19"/>
          <w:szCs w:val="19"/>
          <w:u w:val="single" w:color="auto"/>
          <w:color w:val="0B0B0B"/>
        </w:rPr>
        <w:t>4</w:t>
      </w:r>
      <w:r>
        <w:rPr>
          <w:rFonts w:ascii="Arial" w:cs="Arial" w:eastAsia="Arial" w:hAnsi="Arial"/>
          <w:sz w:val="19"/>
          <w:szCs w:val="19"/>
          <w:color w:val="0B0B0B"/>
        </w:rPr>
        <w:t xml:space="preserve">, </w:t>
      </w:r>
      <w:r>
        <w:rPr>
          <w:rFonts w:ascii="Arial" w:cs="Arial" w:eastAsia="Arial" w:hAnsi="Arial"/>
          <w:sz w:val="19"/>
          <w:szCs w:val="19"/>
          <w:u w:val="single" w:color="auto"/>
          <w:color w:val="0B0B0B"/>
        </w:rPr>
        <w:t>4</w:t>
      </w:r>
      <w:r>
        <w:rPr>
          <w:rFonts w:ascii="Arial" w:cs="Arial" w:eastAsia="Arial" w:hAnsi="Arial"/>
          <w:sz w:val="19"/>
          <w:szCs w:val="19"/>
          <w:u w:val="single" w:color="auto"/>
          <w:color w:val="2A2A2A"/>
        </w:rPr>
        <w:t>.</w:t>
      </w:r>
      <w:r>
        <w:rPr>
          <w:rFonts w:ascii="Arial" w:cs="Arial" w:eastAsia="Arial" w:hAnsi="Arial"/>
          <w:sz w:val="19"/>
          <w:szCs w:val="19"/>
          <w:u w:val="single" w:color="auto"/>
          <w:color w:val="0B0B0B"/>
        </w:rPr>
        <w:t>6</w:t>
      </w:r>
      <w:r>
        <w:rPr>
          <w:rFonts w:ascii="Arial" w:cs="Arial" w:eastAsia="Arial" w:hAnsi="Arial"/>
          <w:sz w:val="19"/>
          <w:szCs w:val="19"/>
          <w:color w:val="0B0B0B"/>
        </w:rPr>
        <w:t xml:space="preserve"> or </w:t>
      </w:r>
      <w:r>
        <w:rPr>
          <w:rFonts w:ascii="Arial" w:cs="Arial" w:eastAsia="Arial" w:hAnsi="Arial"/>
          <w:sz w:val="19"/>
          <w:szCs w:val="19"/>
          <w:u w:val="single" w:color="auto"/>
          <w:color w:val="0B0B0B"/>
        </w:rPr>
        <w:t>4.7</w:t>
      </w:r>
      <w:r>
        <w:rPr>
          <w:rFonts w:ascii="Arial" w:cs="Arial" w:eastAsia="Arial" w:hAnsi="Arial"/>
          <w:sz w:val="19"/>
          <w:szCs w:val="19"/>
          <w:color w:val="0B0B0B"/>
        </w:rPr>
        <w:t>), then</w:t>
      </w:r>
      <w:r>
        <w:rPr>
          <w:rFonts w:ascii="Arial" w:cs="Arial" w:eastAsia="Arial" w:hAnsi="Arial"/>
          <w:sz w:val="19"/>
          <w:szCs w:val="19"/>
          <w:color w:val="2A2A2A"/>
        </w:rPr>
        <w:t>,</w:t>
      </w:r>
      <w:r>
        <w:rPr>
          <w:rFonts w:ascii="Arial" w:cs="Arial" w:eastAsia="Arial" w:hAnsi="Arial"/>
          <w:sz w:val="19"/>
          <w:szCs w:val="19"/>
          <w:color w:val="0B0B0B"/>
        </w:rPr>
        <w:t xml:space="preserve"> following any such reorganization, recapitalization, reclassification</w:t>
      </w:r>
      <w:r>
        <w:rPr>
          <w:rFonts w:ascii="Arial" w:cs="Arial" w:eastAsia="Arial" w:hAnsi="Arial"/>
          <w:sz w:val="19"/>
          <w:szCs w:val="19"/>
          <w:color w:val="2A2A2A"/>
        </w:rPr>
        <w:t>,</w:t>
      </w:r>
      <w:r>
        <w:rPr>
          <w:rFonts w:ascii="Arial" w:cs="Arial" w:eastAsia="Arial" w:hAnsi="Arial"/>
          <w:sz w:val="19"/>
          <w:szCs w:val="19"/>
          <w:color w:val="0B0B0B"/>
        </w:rPr>
        <w:t xml:space="preserve"> consolidation or merger</w:t>
      </w:r>
      <w:r>
        <w:rPr>
          <w:rFonts w:ascii="Arial" w:cs="Arial" w:eastAsia="Arial" w:hAnsi="Arial"/>
          <w:sz w:val="19"/>
          <w:szCs w:val="19"/>
          <w:color w:val="2A2A2A"/>
        </w:rPr>
        <w:t>,</w:t>
      </w:r>
      <w:r>
        <w:rPr>
          <w:rFonts w:ascii="Arial" w:cs="Arial" w:eastAsia="Arial" w:hAnsi="Arial"/>
          <w:sz w:val="19"/>
          <w:szCs w:val="19"/>
          <w:color w:val="0B0B0B"/>
        </w:rPr>
        <w:t xml:space="preserve"> each share of Series A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Series A Preferred Stock immediately prior to such reorganization, recapitalization, reclassification, consolidation or merger would have been entitled to receive pursuant to such transaction; and, in such case, appropriate adjustment (as determined in good faith by the Board) shall be made in the application of the provisions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28" w:right="339" w:bottom="1440" w:gutter="0" w:footer="0" w:header="0"/>
        </w:sectPr>
      </w:pPr>
    </w:p>
    <w:bookmarkStart w:id="216" w:name="page217"/>
    <w:bookmarkEnd w:id="216"/>
    <w:p>
      <w:pPr>
        <w:jc w:val="both"/>
        <w:spacing w:after="0" w:line="292" w:lineRule="auto"/>
        <w:rPr>
          <w:sz w:val="20"/>
          <w:szCs w:val="20"/>
          <w:color w:val="auto"/>
        </w:rPr>
      </w:pPr>
      <w:r>
        <w:rPr>
          <w:rFonts w:ascii="Arial" w:cs="Arial" w:eastAsia="Arial" w:hAnsi="Arial"/>
          <w:sz w:val="19"/>
          <w:szCs w:val="19"/>
          <w:u w:val="single" w:color="auto"/>
          <w:color w:val="0B0B0B"/>
        </w:rPr>
        <w:t>Section 4</w:t>
      </w:r>
      <w:r>
        <w:rPr>
          <w:rFonts w:ascii="Arial" w:cs="Arial" w:eastAsia="Arial" w:hAnsi="Arial"/>
          <w:sz w:val="19"/>
          <w:szCs w:val="19"/>
          <w:color w:val="0B0B0B"/>
        </w:rPr>
        <w:t xml:space="preserve"> with respect to the rights and interests thereafter of the holders of the Series A Preferred Stock, to the end that the provisions set forth in this </w:t>
      </w:r>
      <w:r>
        <w:rPr>
          <w:rFonts w:ascii="Arial" w:cs="Arial" w:eastAsia="Arial" w:hAnsi="Arial"/>
          <w:sz w:val="19"/>
          <w:szCs w:val="19"/>
          <w:u w:val="single" w:color="auto"/>
          <w:color w:val="0B0B0B"/>
        </w:rPr>
        <w:t>Section 4</w:t>
      </w:r>
      <w:r>
        <w:rPr>
          <w:rFonts w:ascii="Arial" w:cs="Arial" w:eastAsia="Arial" w:hAnsi="Arial"/>
          <w:sz w:val="19"/>
          <w:szCs w:val="19"/>
          <w:color w:val="0B0B0B"/>
        </w:rPr>
        <w:t xml:space="preserve"> (including provisions with respect to changes in and other adjustments of the Series A Conversion Price) shall thereafter be applicable</w:t>
      </w:r>
      <w:r>
        <w:rPr>
          <w:rFonts w:ascii="Arial" w:cs="Arial" w:eastAsia="Arial" w:hAnsi="Arial"/>
          <w:sz w:val="19"/>
          <w:szCs w:val="19"/>
          <w:color w:val="1F1F1F"/>
        </w:rPr>
        <w:t>,</w:t>
      </w:r>
      <w:r>
        <w:rPr>
          <w:rFonts w:ascii="Arial" w:cs="Arial" w:eastAsia="Arial" w:hAnsi="Arial"/>
          <w:sz w:val="19"/>
          <w:szCs w:val="19"/>
          <w:color w:val="0B0B0B"/>
        </w:rPr>
        <w:t xml:space="preserve"> as nearly as reasonably may be, in relation to any securities or other property thereafter deliverable upon the conversion of the Series A Preferred Stock. For the avoidance of doubt, nothing in this </w:t>
      </w:r>
      <w:r>
        <w:rPr>
          <w:rFonts w:ascii="Arial" w:cs="Arial" w:eastAsia="Arial" w:hAnsi="Arial"/>
          <w:sz w:val="19"/>
          <w:szCs w:val="19"/>
          <w:u w:val="single" w:color="auto"/>
          <w:color w:val="0B0B0B"/>
        </w:rPr>
        <w:t>Subsection</w:t>
      </w:r>
      <w:r>
        <w:rPr>
          <w:rFonts w:ascii="Arial" w:cs="Arial" w:eastAsia="Arial" w:hAnsi="Arial"/>
          <w:sz w:val="19"/>
          <w:szCs w:val="19"/>
          <w:color w:val="0B0B0B"/>
        </w:rPr>
        <w:t xml:space="preserve"> </w:t>
      </w:r>
      <w:r>
        <w:rPr>
          <w:rFonts w:ascii="Arial" w:cs="Arial" w:eastAsia="Arial" w:hAnsi="Arial"/>
          <w:sz w:val="19"/>
          <w:szCs w:val="19"/>
          <w:u w:val="single" w:color="auto"/>
          <w:color w:val="0B0B0B"/>
        </w:rPr>
        <w:t>4.8</w:t>
      </w:r>
      <w:r>
        <w:rPr>
          <w:rFonts w:ascii="Arial" w:cs="Arial" w:eastAsia="Arial" w:hAnsi="Arial"/>
          <w:sz w:val="19"/>
          <w:szCs w:val="19"/>
          <w:color w:val="0B0B0B"/>
        </w:rPr>
        <w:t xml:space="preserve"> shall be construed as preventing the holders of Series A Preferred Stock from seeking any appraisal rights to which they are otherwise entitled under the DGCL in connection with a merger triggering an adjustment hereunder, nor shall this </w:t>
      </w:r>
      <w:r>
        <w:rPr>
          <w:rFonts w:ascii="Arial" w:cs="Arial" w:eastAsia="Arial" w:hAnsi="Arial"/>
          <w:sz w:val="19"/>
          <w:szCs w:val="19"/>
          <w:u w:val="single" w:color="auto"/>
          <w:color w:val="0B0B0B"/>
        </w:rPr>
        <w:t>Subsection 4.8</w:t>
      </w:r>
      <w:r>
        <w:rPr>
          <w:rFonts w:ascii="Arial" w:cs="Arial" w:eastAsia="Arial" w:hAnsi="Arial"/>
          <w:sz w:val="19"/>
          <w:szCs w:val="19"/>
          <w:color w:val="0B0B0B"/>
        </w:rPr>
        <w:t xml:space="preserve"> be deemed conclusive evidence of the fair value of the shares of Series A Preferred Stock in any such appraisal proceeding.</w:t>
      </w:r>
    </w:p>
    <w:p>
      <w:pPr>
        <w:spacing w:after="0" w:line="97" w:lineRule="exact"/>
        <w:rPr>
          <w:sz w:val="20"/>
          <w:szCs w:val="20"/>
          <w:color w:val="auto"/>
        </w:rPr>
      </w:pPr>
    </w:p>
    <w:p>
      <w:pPr>
        <w:jc w:val="both"/>
        <w:ind w:firstLine="1944"/>
        <w:spacing w:after="0" w:line="288" w:lineRule="auto"/>
        <w:rPr>
          <w:sz w:val="20"/>
          <w:szCs w:val="20"/>
          <w:color w:val="auto"/>
        </w:rPr>
      </w:pPr>
      <w:r>
        <w:rPr>
          <w:rFonts w:ascii="Arial" w:cs="Arial" w:eastAsia="Arial" w:hAnsi="Arial"/>
          <w:sz w:val="19"/>
          <w:szCs w:val="19"/>
          <w:color w:val="0B0B0B"/>
        </w:rPr>
        <w:t xml:space="preserve">4.9 </w:t>
      </w:r>
      <w:r>
        <w:rPr>
          <w:rFonts w:ascii="Arial" w:cs="Arial" w:eastAsia="Arial" w:hAnsi="Arial"/>
          <w:sz w:val="19"/>
          <w:szCs w:val="19"/>
          <w:u w:val="single" w:color="auto"/>
          <w:color w:val="0B0B0B"/>
        </w:rPr>
        <w:t>Certificate as to Adjustments</w:t>
      </w:r>
      <w:r>
        <w:rPr>
          <w:rFonts w:ascii="Arial" w:cs="Arial" w:eastAsia="Arial" w:hAnsi="Arial"/>
          <w:sz w:val="19"/>
          <w:szCs w:val="19"/>
          <w:color w:val="0B0B0B"/>
        </w:rPr>
        <w:t xml:space="preserve">. Upon the occurrence of each adjustment or readjustment of the Series A Conversion Price pursuant to this </w:t>
      </w:r>
      <w:r>
        <w:rPr>
          <w:rFonts w:ascii="Arial" w:cs="Arial" w:eastAsia="Arial" w:hAnsi="Arial"/>
          <w:sz w:val="19"/>
          <w:szCs w:val="19"/>
          <w:u w:val="single" w:color="auto"/>
          <w:color w:val="0B0B0B"/>
        </w:rPr>
        <w:t>Section 4</w:t>
      </w:r>
      <w:r>
        <w:rPr>
          <w:rFonts w:ascii="Arial" w:cs="Arial" w:eastAsia="Arial" w:hAnsi="Arial"/>
          <w:sz w:val="19"/>
          <w:szCs w:val="19"/>
          <w:color w:val="1F1F1F"/>
        </w:rPr>
        <w:t>,</w:t>
      </w:r>
      <w:r>
        <w:rPr>
          <w:rFonts w:ascii="Arial" w:cs="Arial" w:eastAsia="Arial" w:hAnsi="Arial"/>
          <w:sz w:val="19"/>
          <w:szCs w:val="19"/>
          <w:color w:val="0B0B0B"/>
        </w:rPr>
        <w:t xml:space="preserve"> th</w:t>
      </w:r>
      <w:r>
        <w:rPr>
          <w:rFonts w:ascii="Arial" w:cs="Arial" w:eastAsia="Arial" w:hAnsi="Arial"/>
          <w:sz w:val="19"/>
          <w:szCs w:val="19"/>
          <w:color w:val="1F1F1F"/>
        </w:rPr>
        <w:t>e</w:t>
      </w:r>
      <w:r>
        <w:rPr>
          <w:rFonts w:ascii="Arial" w:cs="Arial" w:eastAsia="Arial" w:hAnsi="Arial"/>
          <w:sz w:val="19"/>
          <w:szCs w:val="19"/>
          <w:color w:val="0B0B0B"/>
        </w:rPr>
        <w:t xml:space="preserve"> Corporation at its expense shall, as promptly as reasonably practicable but in any event not later than ten (10) days thereafter</w:t>
      </w:r>
      <w:r>
        <w:rPr>
          <w:rFonts w:ascii="Arial" w:cs="Arial" w:eastAsia="Arial" w:hAnsi="Arial"/>
          <w:sz w:val="19"/>
          <w:szCs w:val="19"/>
          <w:color w:val="1F1F1F"/>
        </w:rPr>
        <w:t>,</w:t>
      </w:r>
      <w:r>
        <w:rPr>
          <w:rFonts w:ascii="Arial" w:cs="Arial" w:eastAsia="Arial" w:hAnsi="Arial"/>
          <w:sz w:val="19"/>
          <w:szCs w:val="19"/>
          <w:color w:val="0B0B0B"/>
        </w:rPr>
        <w:t xml:space="preserve"> compute such adjustment or readjustment in accordance with the terms hereof and furnish to each holder of Series A Preferred Stock a certificate setting forth such adjustment or readjustment (including the kind and amount of securities, cash </w:t>
      </w:r>
      <w:r>
        <w:rPr>
          <w:rFonts w:ascii="Arial" w:cs="Arial" w:eastAsia="Arial" w:hAnsi="Arial"/>
          <w:sz w:val="19"/>
          <w:szCs w:val="19"/>
          <w:color w:val="1F1F1F"/>
        </w:rPr>
        <w:t>o</w:t>
      </w:r>
      <w:r>
        <w:rPr>
          <w:rFonts w:ascii="Arial" w:cs="Arial" w:eastAsia="Arial" w:hAnsi="Arial"/>
          <w:sz w:val="19"/>
          <w:szCs w:val="19"/>
          <w:color w:val="0B0B0B"/>
        </w:rPr>
        <w:t>r other property into which the Series A Preferred Stock is convertible) and showing in detail the facts upon which such adjustment or readjustment i</w:t>
      </w:r>
      <w:r>
        <w:rPr>
          <w:rFonts w:ascii="Arial" w:cs="Arial" w:eastAsia="Arial" w:hAnsi="Arial"/>
          <w:sz w:val="19"/>
          <w:szCs w:val="19"/>
          <w:color w:val="1F1F1F"/>
        </w:rPr>
        <w:t>s</w:t>
      </w:r>
      <w:r>
        <w:rPr>
          <w:rFonts w:ascii="Arial" w:cs="Arial" w:eastAsia="Arial" w:hAnsi="Arial"/>
          <w:sz w:val="19"/>
          <w:szCs w:val="19"/>
          <w:color w:val="0B0B0B"/>
        </w:rPr>
        <w:t xml:space="preserve"> based. The Corporation shall, as promptly as rea</w:t>
      </w:r>
      <w:r>
        <w:rPr>
          <w:rFonts w:ascii="Arial" w:cs="Arial" w:eastAsia="Arial" w:hAnsi="Arial"/>
          <w:sz w:val="19"/>
          <w:szCs w:val="19"/>
          <w:color w:val="1F1F1F"/>
        </w:rPr>
        <w:t>s</w:t>
      </w:r>
      <w:r>
        <w:rPr>
          <w:rFonts w:ascii="Arial" w:cs="Arial" w:eastAsia="Arial" w:hAnsi="Arial"/>
          <w:sz w:val="19"/>
          <w:szCs w:val="19"/>
          <w:color w:val="0B0B0B"/>
        </w:rPr>
        <w:t>onably practicable after the written request at any time of any holder of Series A Preferred Stock (but in any event not later than ten (10</w:t>
      </w:r>
      <w:r>
        <w:rPr>
          <w:rFonts w:ascii="Arial" w:cs="Arial" w:eastAsia="Arial" w:hAnsi="Arial"/>
          <w:sz w:val="19"/>
          <w:szCs w:val="19"/>
          <w:color w:val="1F1F1F"/>
        </w:rPr>
        <w:t>)</w:t>
      </w:r>
      <w:r>
        <w:rPr>
          <w:rFonts w:ascii="Arial" w:cs="Arial" w:eastAsia="Arial" w:hAnsi="Arial"/>
          <w:sz w:val="19"/>
          <w:szCs w:val="19"/>
          <w:color w:val="0B0B0B"/>
        </w:rPr>
        <w:t xml:space="preserve"> days thereafter), furnish or cause to be furnished to such holder a certificate setting forth (i) the Series A Conversion Price then in effect</w:t>
      </w:r>
      <w:r>
        <w:rPr>
          <w:rFonts w:ascii="Arial" w:cs="Arial" w:eastAsia="Arial" w:hAnsi="Arial"/>
          <w:sz w:val="19"/>
          <w:szCs w:val="19"/>
          <w:color w:val="1F1F1F"/>
        </w:rPr>
        <w:t>,</w:t>
      </w:r>
      <w:r>
        <w:rPr>
          <w:rFonts w:ascii="Arial" w:cs="Arial" w:eastAsia="Arial" w:hAnsi="Arial"/>
          <w:sz w:val="19"/>
          <w:szCs w:val="19"/>
          <w:color w:val="0B0B0B"/>
        </w:rPr>
        <w:t xml:space="preserve"> and (ii) the number of shares of Common Stock and the amount, if any, of other securitie</w:t>
      </w:r>
      <w:r>
        <w:rPr>
          <w:rFonts w:ascii="Arial" w:cs="Arial" w:eastAsia="Arial" w:hAnsi="Arial"/>
          <w:sz w:val="19"/>
          <w:szCs w:val="19"/>
          <w:color w:val="1F1F1F"/>
        </w:rPr>
        <w:t>s,</w:t>
      </w:r>
      <w:r>
        <w:rPr>
          <w:rFonts w:ascii="Arial" w:cs="Arial" w:eastAsia="Arial" w:hAnsi="Arial"/>
          <w:sz w:val="19"/>
          <w:szCs w:val="19"/>
          <w:color w:val="0B0B0B"/>
        </w:rPr>
        <w:t xml:space="preserve"> cash or property which then would be received upon the conversion of Series A Preferred Stock</w:t>
      </w:r>
      <w:r>
        <w:rPr>
          <w:rFonts w:ascii="Arial" w:cs="Arial" w:eastAsia="Arial" w:hAnsi="Arial"/>
          <w:sz w:val="19"/>
          <w:szCs w:val="19"/>
          <w:color w:val="1F1F1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2292350</wp:posOffset>
            </wp:positionH>
            <wp:positionV relativeFrom="paragraph">
              <wp:posOffset>-1522095</wp:posOffset>
            </wp:positionV>
            <wp:extent cx="342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85" w:lineRule="exact"/>
        <w:rPr>
          <w:sz w:val="20"/>
          <w:szCs w:val="20"/>
          <w:color w:val="auto"/>
        </w:rPr>
      </w:pPr>
    </w:p>
    <w:p>
      <w:pPr>
        <w:ind w:left="1960"/>
        <w:spacing w:after="0"/>
        <w:tabs>
          <w:tab w:leader="none" w:pos="2520" w:val="left"/>
        </w:tabs>
        <w:rPr>
          <w:sz w:val="20"/>
          <w:szCs w:val="20"/>
          <w:color w:val="auto"/>
        </w:rPr>
      </w:pPr>
      <w:r>
        <w:rPr>
          <w:rFonts w:ascii="Arial" w:cs="Arial" w:eastAsia="Arial" w:hAnsi="Arial"/>
          <w:sz w:val="22"/>
          <w:szCs w:val="22"/>
          <w:color w:val="0B0B0B"/>
        </w:rPr>
        <w:t>4.10</w:t>
      </w:r>
      <w:r>
        <w:rPr>
          <w:sz w:val="20"/>
          <w:szCs w:val="20"/>
          <w:color w:val="auto"/>
        </w:rPr>
        <w:tab/>
      </w:r>
      <w:r>
        <w:rPr>
          <w:rFonts w:ascii="Arial" w:cs="Arial" w:eastAsia="Arial" w:hAnsi="Arial"/>
          <w:sz w:val="19"/>
          <w:szCs w:val="19"/>
          <w:u w:val="single" w:color="auto"/>
          <w:color w:val="1F1F1F"/>
        </w:rPr>
        <w:t>N</w:t>
      </w:r>
      <w:r>
        <w:rPr>
          <w:rFonts w:ascii="Arial" w:cs="Arial" w:eastAsia="Arial" w:hAnsi="Arial"/>
          <w:sz w:val="19"/>
          <w:szCs w:val="19"/>
          <w:u w:val="single" w:color="auto"/>
          <w:color w:val="0B0B0B"/>
        </w:rPr>
        <w:t>otice of Record Date</w:t>
      </w:r>
      <w:r>
        <w:rPr>
          <w:rFonts w:ascii="Arial" w:cs="Arial" w:eastAsia="Arial" w:hAnsi="Arial"/>
          <w:sz w:val="19"/>
          <w:szCs w:val="19"/>
          <w:color w:val="0B0B0B"/>
        </w:rPr>
        <w:t>. In the event:</w:t>
      </w:r>
    </w:p>
    <w:p>
      <w:pPr>
        <w:spacing w:after="0" w:line="166" w:lineRule="exact"/>
        <w:rPr>
          <w:sz w:val="20"/>
          <w:szCs w:val="20"/>
          <w:color w:val="auto"/>
        </w:rPr>
      </w:pPr>
    </w:p>
    <w:p>
      <w:pPr>
        <w:jc w:val="both"/>
        <w:ind w:firstLine="3248"/>
        <w:spacing w:after="0" w:line="265" w:lineRule="auto"/>
        <w:tabs>
          <w:tab w:leader="none" w:pos="3828" w:val="left"/>
        </w:tabs>
        <w:numPr>
          <w:ilvl w:val="0"/>
          <w:numId w:val="161"/>
        </w:numPr>
        <w:rPr>
          <w:rFonts w:ascii="Arial" w:cs="Arial" w:eastAsia="Arial" w:hAnsi="Arial"/>
          <w:sz w:val="21"/>
          <w:szCs w:val="21"/>
          <w:color w:val="0B0B0B"/>
        </w:rPr>
      </w:pPr>
      <w:r>
        <w:rPr>
          <w:rFonts w:ascii="Arial" w:cs="Arial" w:eastAsia="Arial" w:hAnsi="Arial"/>
          <w:sz w:val="21"/>
          <w:szCs w:val="21"/>
          <w:color w:val="0B0B0B"/>
        </w:rPr>
        <w:t>the Corporation shall take a record of the holders of its Common Stock (or other capital stock or securities at the time issuable upon conversion of the Series A Preferred Stock) for the purpose of entitling or enabling them to rece</w:t>
      </w:r>
      <w:r>
        <w:rPr>
          <w:rFonts w:ascii="Arial" w:cs="Arial" w:eastAsia="Arial" w:hAnsi="Arial"/>
          <w:sz w:val="21"/>
          <w:szCs w:val="21"/>
          <w:color w:val="1F1F1F"/>
        </w:rPr>
        <w:t>iv</w:t>
      </w:r>
      <w:r>
        <w:rPr>
          <w:rFonts w:ascii="Arial" w:cs="Arial" w:eastAsia="Arial" w:hAnsi="Arial"/>
          <w:sz w:val="21"/>
          <w:szCs w:val="21"/>
          <w:color w:val="0B0B0B"/>
        </w:rPr>
        <w:t xml:space="preserve">e </w:t>
      </w:r>
      <w:r>
        <w:rPr>
          <w:rFonts w:ascii="Arial" w:cs="Arial" w:eastAsia="Arial" w:hAnsi="Arial"/>
          <w:sz w:val="21"/>
          <w:szCs w:val="21"/>
          <w:color w:val="1F1F1F"/>
        </w:rPr>
        <w:t>a</w:t>
      </w:r>
      <w:r>
        <w:rPr>
          <w:rFonts w:ascii="Arial" w:cs="Arial" w:eastAsia="Arial" w:hAnsi="Arial"/>
          <w:sz w:val="21"/>
          <w:szCs w:val="21"/>
          <w:color w:val="0B0B0B"/>
        </w:rPr>
        <w:t>ny dividend or other di</w:t>
      </w:r>
      <w:r>
        <w:rPr>
          <w:rFonts w:ascii="Arial" w:cs="Arial" w:eastAsia="Arial" w:hAnsi="Arial"/>
          <w:sz w:val="21"/>
          <w:szCs w:val="21"/>
          <w:color w:val="1F1F1F"/>
        </w:rPr>
        <w:t>s</w:t>
      </w:r>
      <w:r>
        <w:rPr>
          <w:rFonts w:ascii="Arial" w:cs="Arial" w:eastAsia="Arial" w:hAnsi="Arial"/>
          <w:sz w:val="21"/>
          <w:szCs w:val="21"/>
          <w:color w:val="0B0B0B"/>
        </w:rPr>
        <w:t>tribut</w:t>
      </w:r>
      <w:r>
        <w:rPr>
          <w:rFonts w:ascii="Arial" w:cs="Arial" w:eastAsia="Arial" w:hAnsi="Arial"/>
          <w:sz w:val="21"/>
          <w:szCs w:val="21"/>
          <w:color w:val="1F1F1F"/>
        </w:rPr>
        <w:t>i</w:t>
      </w:r>
      <w:r>
        <w:rPr>
          <w:rFonts w:ascii="Arial" w:cs="Arial" w:eastAsia="Arial" w:hAnsi="Arial"/>
          <w:sz w:val="21"/>
          <w:szCs w:val="21"/>
          <w:color w:val="0B0B0B"/>
        </w:rPr>
        <w:t>on, or to receive any right to subscribe for or purchase any shares of capital stock of any class or any other securities, or to receive any other security; or</w:t>
      </w:r>
    </w:p>
    <w:p>
      <w:pPr>
        <w:spacing w:after="0" w:line="121" w:lineRule="exact"/>
        <w:rPr>
          <w:rFonts w:ascii="Arial" w:cs="Arial" w:eastAsia="Arial" w:hAnsi="Arial"/>
          <w:sz w:val="21"/>
          <w:szCs w:val="21"/>
          <w:color w:val="0B0B0B"/>
        </w:rPr>
      </w:pPr>
    </w:p>
    <w:p>
      <w:pPr>
        <w:ind w:firstLine="3248"/>
        <w:spacing w:after="0" w:line="263" w:lineRule="auto"/>
        <w:tabs>
          <w:tab w:leader="none" w:pos="3762" w:val="left"/>
        </w:tabs>
        <w:numPr>
          <w:ilvl w:val="0"/>
          <w:numId w:val="161"/>
        </w:numPr>
        <w:rPr>
          <w:rFonts w:ascii="Arial" w:cs="Arial" w:eastAsia="Arial" w:hAnsi="Arial"/>
          <w:sz w:val="22"/>
          <w:szCs w:val="22"/>
          <w:color w:val="0B0B0B"/>
        </w:rPr>
      </w:pPr>
      <w:r>
        <w:rPr>
          <w:rFonts w:ascii="Arial" w:cs="Arial" w:eastAsia="Arial" w:hAnsi="Arial"/>
          <w:sz w:val="22"/>
          <w:szCs w:val="22"/>
          <w:color w:val="0B0B0B"/>
        </w:rPr>
        <w:t>of any capital reorganization of the Corporation</w:t>
      </w:r>
      <w:r>
        <w:rPr>
          <w:rFonts w:ascii="Arial" w:cs="Arial" w:eastAsia="Arial" w:hAnsi="Arial"/>
          <w:sz w:val="22"/>
          <w:szCs w:val="22"/>
          <w:color w:val="1F1F1F"/>
        </w:rPr>
        <w:t>,</w:t>
      </w:r>
      <w:r>
        <w:rPr>
          <w:rFonts w:ascii="Arial" w:cs="Arial" w:eastAsia="Arial" w:hAnsi="Arial"/>
          <w:sz w:val="22"/>
          <w:szCs w:val="22"/>
          <w:color w:val="0B0B0B"/>
        </w:rPr>
        <w:t xml:space="preserve"> any reclassification of the Common Stock of the Corporation</w:t>
      </w:r>
      <w:r>
        <w:rPr>
          <w:rFonts w:ascii="Arial" w:cs="Arial" w:eastAsia="Arial" w:hAnsi="Arial"/>
          <w:sz w:val="22"/>
          <w:szCs w:val="22"/>
          <w:color w:val="1F1F1F"/>
        </w:rPr>
        <w:t>,</w:t>
      </w:r>
      <w:r>
        <w:rPr>
          <w:rFonts w:ascii="Arial" w:cs="Arial" w:eastAsia="Arial" w:hAnsi="Arial"/>
          <w:sz w:val="22"/>
          <w:szCs w:val="22"/>
          <w:color w:val="0B0B0B"/>
        </w:rPr>
        <w:t xml:space="preserve"> or any Deemed Liquidation Event</w:t>
      </w:r>
      <w:r>
        <w:rPr>
          <w:rFonts w:ascii="Arial" w:cs="Arial" w:eastAsia="Arial" w:hAnsi="Arial"/>
          <w:sz w:val="22"/>
          <w:szCs w:val="22"/>
          <w:color w:val="1F1F1F"/>
        </w:rPr>
        <w:t>;</w:t>
      </w:r>
      <w:r>
        <w:rPr>
          <w:rFonts w:ascii="Arial" w:cs="Arial" w:eastAsia="Arial" w:hAnsi="Arial"/>
          <w:sz w:val="22"/>
          <w:szCs w:val="22"/>
          <w:color w:val="0B0B0B"/>
        </w:rPr>
        <w:t xml:space="preserve"> o</w:t>
      </w:r>
      <w:r>
        <w:rPr>
          <w:rFonts w:ascii="Arial" w:cs="Arial" w:eastAsia="Arial" w:hAnsi="Arial"/>
          <w:sz w:val="22"/>
          <w:szCs w:val="22"/>
          <w:color w:val="1F1F1F"/>
        </w:rPr>
        <w:t>r</w:t>
      </w:r>
    </w:p>
    <w:p>
      <w:pPr>
        <w:spacing w:after="0" w:line="120" w:lineRule="exact"/>
        <w:rPr>
          <w:rFonts w:ascii="Arial" w:cs="Arial" w:eastAsia="Arial" w:hAnsi="Arial"/>
          <w:sz w:val="22"/>
          <w:szCs w:val="22"/>
          <w:color w:val="0B0B0B"/>
        </w:rPr>
      </w:pPr>
    </w:p>
    <w:p>
      <w:pPr>
        <w:ind w:left="3980" w:hanging="732"/>
        <w:spacing w:after="0"/>
        <w:tabs>
          <w:tab w:leader="none" w:pos="3980" w:val="left"/>
        </w:tabs>
        <w:numPr>
          <w:ilvl w:val="0"/>
          <w:numId w:val="161"/>
        </w:numPr>
        <w:rPr>
          <w:rFonts w:ascii="Arial" w:cs="Arial" w:eastAsia="Arial" w:hAnsi="Arial"/>
          <w:sz w:val="22"/>
          <w:szCs w:val="22"/>
          <w:color w:val="0B0B0B"/>
        </w:rPr>
      </w:pPr>
      <w:r>
        <w:rPr>
          <w:rFonts w:ascii="Arial" w:cs="Arial" w:eastAsia="Arial" w:hAnsi="Arial"/>
          <w:sz w:val="22"/>
          <w:szCs w:val="22"/>
          <w:color w:val="0B0B0B"/>
        </w:rPr>
        <w:t>of the volunt</w:t>
      </w:r>
      <w:r>
        <w:rPr>
          <w:rFonts w:ascii="Arial" w:cs="Arial" w:eastAsia="Arial" w:hAnsi="Arial"/>
          <w:sz w:val="22"/>
          <w:szCs w:val="22"/>
          <w:color w:val="1F1F1F"/>
        </w:rPr>
        <w:t>a</w:t>
      </w:r>
      <w:r>
        <w:rPr>
          <w:rFonts w:ascii="Arial" w:cs="Arial" w:eastAsia="Arial" w:hAnsi="Arial"/>
          <w:sz w:val="22"/>
          <w:szCs w:val="22"/>
          <w:color w:val="0B0B0B"/>
        </w:rPr>
        <w:t>ry or in</w:t>
      </w:r>
      <w:r>
        <w:rPr>
          <w:rFonts w:ascii="Arial" w:cs="Arial" w:eastAsia="Arial" w:hAnsi="Arial"/>
          <w:sz w:val="22"/>
          <w:szCs w:val="22"/>
          <w:color w:val="1F1F1F"/>
        </w:rPr>
        <w:t>v</w:t>
      </w:r>
      <w:r>
        <w:rPr>
          <w:rFonts w:ascii="Arial" w:cs="Arial" w:eastAsia="Arial" w:hAnsi="Arial"/>
          <w:sz w:val="22"/>
          <w:szCs w:val="22"/>
          <w:color w:val="0B0B0B"/>
        </w:rPr>
        <w:t>olunt</w:t>
      </w:r>
      <w:r>
        <w:rPr>
          <w:rFonts w:ascii="Arial" w:cs="Arial" w:eastAsia="Arial" w:hAnsi="Arial"/>
          <w:sz w:val="22"/>
          <w:szCs w:val="22"/>
          <w:color w:val="1F1F1F"/>
        </w:rPr>
        <w:t>ar</w:t>
      </w:r>
      <w:r>
        <w:rPr>
          <w:rFonts w:ascii="Arial" w:cs="Arial" w:eastAsia="Arial" w:hAnsi="Arial"/>
          <w:sz w:val="22"/>
          <w:szCs w:val="22"/>
          <w:color w:val="0B0B0B"/>
        </w:rPr>
        <w:t>y dissoluti</w:t>
      </w:r>
      <w:r>
        <w:rPr>
          <w:rFonts w:ascii="Arial" w:cs="Arial" w:eastAsia="Arial" w:hAnsi="Arial"/>
          <w:sz w:val="22"/>
          <w:szCs w:val="22"/>
          <w:color w:val="1F1F1F"/>
        </w:rPr>
        <w:t>o</w:t>
      </w:r>
      <w:r>
        <w:rPr>
          <w:rFonts w:ascii="Arial" w:cs="Arial" w:eastAsia="Arial" w:hAnsi="Arial"/>
          <w:sz w:val="22"/>
          <w:szCs w:val="22"/>
          <w:color w:val="0B0B0B"/>
        </w:rPr>
        <w:t xml:space="preserve">n, liquidation </w:t>
      </w:r>
      <w:r>
        <w:rPr>
          <w:rFonts w:ascii="Arial" w:cs="Arial" w:eastAsia="Arial" w:hAnsi="Arial"/>
          <w:sz w:val="22"/>
          <w:szCs w:val="22"/>
          <w:color w:val="1F1F1F"/>
        </w:rPr>
        <w:t>o</w:t>
      </w:r>
      <w:r>
        <w:rPr>
          <w:rFonts w:ascii="Arial" w:cs="Arial" w:eastAsia="Arial" w:hAnsi="Arial"/>
          <w:sz w:val="22"/>
          <w:szCs w:val="22"/>
          <w:color w:val="0B0B0B"/>
        </w:rPr>
        <w:t>r winding-up of the</w:t>
      </w:r>
    </w:p>
    <w:p>
      <w:pPr>
        <w:spacing w:after="0" w:line="21" w:lineRule="exact"/>
        <w:rPr>
          <w:rFonts w:ascii="Arial" w:cs="Arial" w:eastAsia="Arial" w:hAnsi="Arial"/>
          <w:sz w:val="22"/>
          <w:szCs w:val="22"/>
          <w:color w:val="0B0B0B"/>
        </w:rPr>
      </w:pPr>
    </w:p>
    <w:p>
      <w:pPr>
        <w:spacing w:after="0"/>
        <w:rPr>
          <w:rFonts w:ascii="Arial" w:cs="Arial" w:eastAsia="Arial" w:hAnsi="Arial"/>
          <w:sz w:val="22"/>
          <w:szCs w:val="22"/>
          <w:color w:val="0B0B0B"/>
        </w:rPr>
      </w:pPr>
      <w:r>
        <w:rPr>
          <w:rFonts w:ascii="Arial" w:cs="Arial" w:eastAsia="Arial" w:hAnsi="Arial"/>
          <w:sz w:val="22"/>
          <w:szCs w:val="22"/>
          <w:color w:val="0B0B0B"/>
        </w:rPr>
        <w:t>Corp</w:t>
      </w:r>
      <w:r>
        <w:rPr>
          <w:rFonts w:ascii="Arial" w:cs="Arial" w:eastAsia="Arial" w:hAnsi="Arial"/>
          <w:sz w:val="22"/>
          <w:szCs w:val="22"/>
          <w:color w:val="1F1F1F"/>
        </w:rPr>
        <w:t>o</w:t>
      </w:r>
      <w:r>
        <w:rPr>
          <w:rFonts w:ascii="Arial" w:cs="Arial" w:eastAsia="Arial" w:hAnsi="Arial"/>
          <w:sz w:val="22"/>
          <w:szCs w:val="22"/>
          <w:color w:val="0B0B0B"/>
        </w:rPr>
        <w:t>ration</w:t>
      </w:r>
      <w:r>
        <w:rPr>
          <w:rFonts w:ascii="Arial" w:cs="Arial" w:eastAsia="Arial" w:hAnsi="Arial"/>
          <w:sz w:val="22"/>
          <w:szCs w:val="22"/>
          <w:color w:val="1F1F1F"/>
        </w:rPr>
        <w:t>,</w:t>
      </w:r>
    </w:p>
    <w:p>
      <w:pPr>
        <w:spacing w:after="0" w:line="148"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0B0B0B"/>
        </w:rPr>
        <w:t>then, and in each such case</w:t>
      </w:r>
      <w:r>
        <w:rPr>
          <w:rFonts w:ascii="Arial" w:cs="Arial" w:eastAsia="Arial" w:hAnsi="Arial"/>
          <w:sz w:val="19"/>
          <w:szCs w:val="19"/>
          <w:color w:val="1F1F1F"/>
        </w:rPr>
        <w:t>,</w:t>
      </w:r>
      <w:r>
        <w:rPr>
          <w:rFonts w:ascii="Arial" w:cs="Arial" w:eastAsia="Arial" w:hAnsi="Arial"/>
          <w:sz w:val="19"/>
          <w:szCs w:val="19"/>
          <w:color w:val="0B0B0B"/>
        </w:rPr>
        <w:t xml:space="preserve"> the Corporation will send or cause to be sent t</w:t>
      </w:r>
      <w:r>
        <w:rPr>
          <w:rFonts w:ascii="Arial" w:cs="Arial" w:eastAsia="Arial" w:hAnsi="Arial"/>
          <w:sz w:val="19"/>
          <w:szCs w:val="19"/>
          <w:color w:val="1F1F1F"/>
        </w:rPr>
        <w:t>o</w:t>
      </w:r>
      <w:r>
        <w:rPr>
          <w:rFonts w:ascii="Arial" w:cs="Arial" w:eastAsia="Arial" w:hAnsi="Arial"/>
          <w:sz w:val="19"/>
          <w:szCs w:val="19"/>
          <w:color w:val="0B0B0B"/>
        </w:rPr>
        <w:t xml:space="preserve"> the holders of the Series A Preferred Stock a notice specifying, as the case may be, (i) the record date for such dividend, distribution or right, and the amount and cha</w:t>
      </w:r>
      <w:r>
        <w:rPr>
          <w:rFonts w:ascii="Arial" w:cs="Arial" w:eastAsia="Arial" w:hAnsi="Arial"/>
          <w:sz w:val="19"/>
          <w:szCs w:val="19"/>
          <w:color w:val="1F1F1F"/>
        </w:rPr>
        <w:t>r</w:t>
      </w:r>
      <w:r>
        <w:rPr>
          <w:rFonts w:ascii="Arial" w:cs="Arial" w:eastAsia="Arial" w:hAnsi="Arial"/>
          <w:sz w:val="19"/>
          <w:szCs w:val="19"/>
          <w:color w:val="0B0B0B"/>
        </w:rPr>
        <w:t>acter of such dividend, distribution or right, or (ii) the effective date on which such reorganization</w:t>
      </w:r>
      <w:r>
        <w:rPr>
          <w:rFonts w:ascii="Arial" w:cs="Arial" w:eastAsia="Arial" w:hAnsi="Arial"/>
          <w:sz w:val="19"/>
          <w:szCs w:val="19"/>
          <w:color w:val="1F1F1F"/>
        </w:rPr>
        <w:t>,</w:t>
      </w:r>
      <w:r>
        <w:rPr>
          <w:rFonts w:ascii="Arial" w:cs="Arial" w:eastAsia="Arial" w:hAnsi="Arial"/>
          <w:sz w:val="19"/>
          <w:szCs w:val="19"/>
          <w:color w:val="0B0B0B"/>
        </w:rPr>
        <w:t xml:space="preserve"> reclassification</w:t>
      </w:r>
      <w:r>
        <w:rPr>
          <w:rFonts w:ascii="Arial" w:cs="Arial" w:eastAsia="Arial" w:hAnsi="Arial"/>
          <w:sz w:val="19"/>
          <w:szCs w:val="19"/>
          <w:color w:val="1F1F1F"/>
        </w:rPr>
        <w:t>,</w:t>
      </w:r>
      <w:r>
        <w:rPr>
          <w:rFonts w:ascii="Arial" w:cs="Arial" w:eastAsia="Arial" w:hAnsi="Arial"/>
          <w:sz w:val="19"/>
          <w:szCs w:val="19"/>
          <w:color w:val="0B0B0B"/>
        </w:rPr>
        <w:t xml:space="preserve"> con</w:t>
      </w:r>
      <w:r>
        <w:rPr>
          <w:rFonts w:ascii="Arial" w:cs="Arial" w:eastAsia="Arial" w:hAnsi="Arial"/>
          <w:sz w:val="19"/>
          <w:szCs w:val="19"/>
          <w:color w:val="1F1F1F"/>
        </w:rPr>
        <w:t>s</w:t>
      </w:r>
      <w:r>
        <w:rPr>
          <w:rFonts w:ascii="Arial" w:cs="Arial" w:eastAsia="Arial" w:hAnsi="Arial"/>
          <w:sz w:val="19"/>
          <w:szCs w:val="19"/>
          <w:color w:val="0B0B0B"/>
        </w:rPr>
        <w:t>olidation, merger</w:t>
      </w:r>
      <w:r>
        <w:rPr>
          <w:rFonts w:ascii="Arial" w:cs="Arial" w:eastAsia="Arial" w:hAnsi="Arial"/>
          <w:sz w:val="19"/>
          <w:szCs w:val="19"/>
          <w:color w:val="1F1F1F"/>
        </w:rPr>
        <w:t>,</w:t>
      </w:r>
      <w:r>
        <w:rPr>
          <w:rFonts w:ascii="Arial" w:cs="Arial" w:eastAsia="Arial" w:hAnsi="Arial"/>
          <w:sz w:val="19"/>
          <w:szCs w:val="19"/>
          <w:color w:val="0B0B0B"/>
        </w:rPr>
        <w:t xml:space="preserve"> transfer, dissolution, liquidation or winding-up is proposed to take place, and the time, if any is to be fixed</w:t>
      </w:r>
      <w:r>
        <w:rPr>
          <w:rFonts w:ascii="Arial" w:cs="Arial" w:eastAsia="Arial" w:hAnsi="Arial"/>
          <w:sz w:val="19"/>
          <w:szCs w:val="19"/>
          <w:color w:val="1F1F1F"/>
        </w:rPr>
        <w:t>,</w:t>
      </w:r>
      <w:r>
        <w:rPr>
          <w:rFonts w:ascii="Arial" w:cs="Arial" w:eastAsia="Arial" w:hAnsi="Arial"/>
          <w:sz w:val="19"/>
          <w:szCs w:val="19"/>
          <w:color w:val="0B0B0B"/>
        </w:rPr>
        <w:t xml:space="preserve"> as of which the holders of </w:t>
      </w:r>
      <w:r>
        <w:rPr>
          <w:rFonts w:ascii="Arial" w:cs="Arial" w:eastAsia="Arial" w:hAnsi="Arial"/>
          <w:sz w:val="19"/>
          <w:szCs w:val="19"/>
          <w:color w:val="1F1F1F"/>
        </w:rPr>
        <w:t>r</w:t>
      </w:r>
      <w:r>
        <w:rPr>
          <w:rFonts w:ascii="Arial" w:cs="Arial" w:eastAsia="Arial" w:hAnsi="Arial"/>
          <w:sz w:val="19"/>
          <w:szCs w:val="19"/>
          <w:color w:val="0B0B0B"/>
        </w:rPr>
        <w:t>ecord of Common Stock (or such other capital stock or securities at the time i</w:t>
      </w:r>
      <w:r>
        <w:rPr>
          <w:rFonts w:ascii="Arial" w:cs="Arial" w:eastAsia="Arial" w:hAnsi="Arial"/>
          <w:sz w:val="19"/>
          <w:szCs w:val="19"/>
          <w:color w:val="1F1F1F"/>
        </w:rPr>
        <w:t>s</w:t>
      </w:r>
      <w:r>
        <w:rPr>
          <w:rFonts w:ascii="Arial" w:cs="Arial" w:eastAsia="Arial" w:hAnsi="Arial"/>
          <w:sz w:val="19"/>
          <w:szCs w:val="19"/>
          <w:color w:val="0B0B0B"/>
        </w:rPr>
        <w:t xml:space="preserve">suable upon the conversion of the Series A Preferred Stock) shall be entitled to exchange their </w:t>
      </w:r>
      <w:r>
        <w:rPr>
          <w:rFonts w:ascii="Arial" w:cs="Arial" w:eastAsia="Arial" w:hAnsi="Arial"/>
          <w:sz w:val="19"/>
          <w:szCs w:val="19"/>
          <w:color w:val="1F1F1F"/>
        </w:rPr>
        <w:t>s</w:t>
      </w:r>
      <w:r>
        <w:rPr>
          <w:rFonts w:ascii="Arial" w:cs="Arial" w:eastAsia="Arial" w:hAnsi="Arial"/>
          <w:sz w:val="19"/>
          <w:szCs w:val="19"/>
          <w:color w:val="0B0B0B"/>
        </w:rPr>
        <w:t>hares of Common Stock (or such other capital stock or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28" w:right="339" w:bottom="1440" w:gutter="0" w:footer="0" w:header="0"/>
        </w:sectPr>
      </w:pPr>
    </w:p>
    <w:bookmarkStart w:id="217" w:name="page218"/>
    <w:bookmarkEnd w:id="217"/>
    <w:p>
      <w:pPr>
        <w:jc w:val="both"/>
        <w:spacing w:after="0" w:line="250" w:lineRule="auto"/>
        <w:rPr>
          <w:sz w:val="20"/>
          <w:szCs w:val="20"/>
          <w:color w:val="auto"/>
        </w:rPr>
      </w:pPr>
      <w:r>
        <w:rPr>
          <w:rFonts w:ascii="Arial" w:cs="Arial" w:eastAsia="Arial" w:hAnsi="Arial"/>
          <w:sz w:val="22"/>
          <w:szCs w:val="22"/>
          <w:color w:val="0B0B0B"/>
        </w:rPr>
        <w:t>for securities or other property deliverable upon such reorgani</w:t>
      </w:r>
      <w:r>
        <w:rPr>
          <w:rFonts w:ascii="Arial" w:cs="Arial" w:eastAsia="Arial" w:hAnsi="Arial"/>
          <w:sz w:val="22"/>
          <w:szCs w:val="22"/>
          <w:color w:val="1F1F1F"/>
        </w:rPr>
        <w:t>z</w:t>
      </w:r>
      <w:r>
        <w:rPr>
          <w:rFonts w:ascii="Arial" w:cs="Arial" w:eastAsia="Arial" w:hAnsi="Arial"/>
          <w:sz w:val="22"/>
          <w:szCs w:val="22"/>
          <w:color w:val="0B0B0B"/>
        </w:rPr>
        <w:t>ation, reclassification, consolidation</w:t>
      </w:r>
      <w:r>
        <w:rPr>
          <w:rFonts w:ascii="Arial" w:cs="Arial" w:eastAsia="Arial" w:hAnsi="Arial"/>
          <w:sz w:val="22"/>
          <w:szCs w:val="22"/>
          <w:color w:val="1F1F1F"/>
        </w:rPr>
        <w:t>,</w:t>
      </w:r>
      <w:r>
        <w:rPr>
          <w:rFonts w:ascii="Arial" w:cs="Arial" w:eastAsia="Arial" w:hAnsi="Arial"/>
          <w:sz w:val="22"/>
          <w:szCs w:val="22"/>
          <w:color w:val="0B0B0B"/>
        </w:rPr>
        <w:t xml:space="preserve"> merger</w:t>
      </w:r>
      <w:r>
        <w:rPr>
          <w:rFonts w:ascii="Arial" w:cs="Arial" w:eastAsia="Arial" w:hAnsi="Arial"/>
          <w:sz w:val="22"/>
          <w:szCs w:val="22"/>
          <w:color w:val="1F1F1F"/>
        </w:rPr>
        <w:t>,</w:t>
      </w:r>
      <w:r>
        <w:rPr>
          <w:rFonts w:ascii="Arial" w:cs="Arial" w:eastAsia="Arial" w:hAnsi="Arial"/>
          <w:sz w:val="22"/>
          <w:szCs w:val="22"/>
          <w:color w:val="0B0B0B"/>
        </w:rPr>
        <w:t xml:space="preserve"> transfer, dissolution, liquidation or winding-up</w:t>
      </w:r>
      <w:r>
        <w:rPr>
          <w:rFonts w:ascii="Arial" w:cs="Arial" w:eastAsia="Arial" w:hAnsi="Arial"/>
          <w:sz w:val="22"/>
          <w:szCs w:val="22"/>
          <w:color w:val="1F1F1F"/>
        </w:rPr>
        <w:t>,</w:t>
      </w:r>
      <w:r>
        <w:rPr>
          <w:rFonts w:ascii="Arial" w:cs="Arial" w:eastAsia="Arial" w:hAnsi="Arial"/>
          <w:sz w:val="22"/>
          <w:szCs w:val="22"/>
          <w:color w:val="0B0B0B"/>
        </w:rPr>
        <w:t xml:space="preserve"> and the amount per share and character of such exchange applicable to the Series A Preferred Stock and the Common Stock. Such notice shall be sent at least ten (10) days prior to the record date or effective date for the event specified in such notice.</w:t>
      </w:r>
    </w:p>
    <w:p>
      <w:pPr>
        <w:spacing w:after="0" w:line="134" w:lineRule="exact"/>
        <w:rPr>
          <w:sz w:val="20"/>
          <w:szCs w:val="20"/>
          <w:color w:val="auto"/>
        </w:rPr>
      </w:pPr>
    </w:p>
    <w:p>
      <w:pPr>
        <w:ind w:left="1680" w:hanging="376"/>
        <w:spacing w:after="0"/>
        <w:tabs>
          <w:tab w:leader="none" w:pos="1680" w:val="left"/>
        </w:tabs>
        <w:numPr>
          <w:ilvl w:val="0"/>
          <w:numId w:val="162"/>
        </w:numPr>
        <w:rPr>
          <w:rFonts w:ascii="Arial" w:cs="Arial" w:eastAsia="Arial" w:hAnsi="Arial"/>
          <w:sz w:val="22"/>
          <w:szCs w:val="22"/>
          <w:color w:val="0B0B0B"/>
        </w:rPr>
      </w:pPr>
      <w:r>
        <w:rPr>
          <w:rFonts w:ascii="Arial" w:cs="Arial" w:eastAsia="Arial" w:hAnsi="Arial"/>
          <w:sz w:val="22"/>
          <w:szCs w:val="22"/>
          <w:u w:val="single" w:color="auto"/>
          <w:color w:val="0B0B0B"/>
        </w:rPr>
        <w:t>Mandatory Conversion</w:t>
      </w:r>
      <w:r>
        <w:rPr>
          <w:rFonts w:ascii="Arial" w:cs="Arial" w:eastAsia="Arial" w:hAnsi="Arial"/>
          <w:sz w:val="22"/>
          <w:szCs w:val="22"/>
          <w:color w:val="0B0B0B"/>
        </w:rPr>
        <w:t>.</w:t>
      </w:r>
    </w:p>
    <w:p>
      <w:pPr>
        <w:spacing w:after="0" w:line="166" w:lineRule="exact"/>
        <w:rPr>
          <w:sz w:val="20"/>
          <w:szCs w:val="20"/>
          <w:color w:val="auto"/>
        </w:rPr>
      </w:pPr>
    </w:p>
    <w:p>
      <w:pPr>
        <w:jc w:val="both"/>
        <w:ind w:firstLine="1944"/>
        <w:spacing w:after="0" w:line="288" w:lineRule="auto"/>
        <w:rPr>
          <w:sz w:val="20"/>
          <w:szCs w:val="20"/>
          <w:color w:val="auto"/>
        </w:rPr>
      </w:pPr>
      <w:r>
        <w:rPr>
          <w:rFonts w:ascii="Arial" w:cs="Arial" w:eastAsia="Arial" w:hAnsi="Arial"/>
          <w:sz w:val="19"/>
          <w:szCs w:val="19"/>
          <w:color w:val="0B0B0B"/>
        </w:rPr>
        <w:t xml:space="preserve">5.1 </w:t>
      </w:r>
      <w:r>
        <w:rPr>
          <w:rFonts w:ascii="Arial" w:cs="Arial" w:eastAsia="Arial" w:hAnsi="Arial"/>
          <w:sz w:val="19"/>
          <w:szCs w:val="19"/>
          <w:u w:val="single" w:color="auto"/>
          <w:color w:val="0B0B0B"/>
        </w:rPr>
        <w:t>Trigger Events</w:t>
      </w:r>
      <w:r>
        <w:rPr>
          <w:rFonts w:ascii="Arial" w:cs="Arial" w:eastAsia="Arial" w:hAnsi="Arial"/>
          <w:sz w:val="19"/>
          <w:szCs w:val="19"/>
          <w:color w:val="0B0B0B"/>
        </w:rPr>
        <w:t>. Upon either (a) the closing of the sale of shares of Common Stock to the public at a price of at least $8.97960 per share (subject to appropriate adjustment in the event of any stock dividend, stock split, combination or other similar recapitalization with respect to the Common Stock), in a firm-commitment underwritten public offering pursuant to an effective registration statement under the Securities Act of 1933, as amended, resulting in at least $50,000,000 of proceeds, net of the underwriting discount and commissions, to the Corporation or (b) the date and time, or the occurrence of an event, specified by vote or written consent of the holders of at least majority of the then outstanding shares of Series A Preferred Stock (the time of such closing or the date and time specified or the time of the event specified in such vote or written consent is referred to herein as the “</w:t>
      </w:r>
      <w:r>
        <w:rPr>
          <w:rFonts w:ascii="Arial" w:cs="Arial" w:eastAsia="Arial" w:hAnsi="Arial"/>
          <w:sz w:val="19"/>
          <w:szCs w:val="19"/>
          <w:b w:val="1"/>
          <w:bCs w:val="1"/>
          <w:color w:val="0B0B0B"/>
        </w:rPr>
        <w:t>Mandatory Conversion Time</w:t>
      </w:r>
      <w:r>
        <w:rPr>
          <w:rFonts w:ascii="Arial" w:cs="Arial" w:eastAsia="Arial" w:hAnsi="Arial"/>
          <w:sz w:val="19"/>
          <w:szCs w:val="19"/>
          <w:color w:val="0B0B0B"/>
        </w:rPr>
        <w:t xml:space="preserve">”), then (i) all outstanding shares of Series A Preferred Stock shall automatically be converted into shares of Class A Common Stock, at the then effective conversion rate as calculated pursuant to </w:t>
      </w:r>
      <w:r>
        <w:rPr>
          <w:rFonts w:ascii="Arial" w:cs="Arial" w:eastAsia="Arial" w:hAnsi="Arial"/>
          <w:sz w:val="19"/>
          <w:szCs w:val="19"/>
          <w:u w:val="single" w:color="auto"/>
          <w:color w:val="0B0B0B"/>
        </w:rPr>
        <w:t>Subsection 4.1.1</w:t>
      </w:r>
      <w:r>
        <w:rPr>
          <w:rFonts w:ascii="Arial" w:cs="Arial" w:eastAsia="Arial" w:hAnsi="Arial"/>
          <w:sz w:val="19"/>
          <w:szCs w:val="19"/>
          <w:color w:val="0B0B0B"/>
        </w:rPr>
        <w:t>. and (ii) such shares may not be reissued by the Corporation.</w:t>
      </w:r>
    </w:p>
    <w:p>
      <w:pPr>
        <w:spacing w:after="0" w:line="105" w:lineRule="exact"/>
        <w:rPr>
          <w:sz w:val="20"/>
          <w:szCs w:val="20"/>
          <w:color w:val="auto"/>
        </w:rPr>
      </w:pPr>
    </w:p>
    <w:p>
      <w:pPr>
        <w:jc w:val="both"/>
        <w:ind w:firstLine="1944"/>
        <w:spacing w:after="0" w:line="285" w:lineRule="auto"/>
        <w:rPr>
          <w:sz w:val="20"/>
          <w:szCs w:val="20"/>
          <w:color w:val="auto"/>
        </w:rPr>
      </w:pPr>
      <w:r>
        <w:rPr>
          <w:rFonts w:ascii="Arial" w:cs="Arial" w:eastAsia="Arial" w:hAnsi="Arial"/>
          <w:sz w:val="19"/>
          <w:szCs w:val="19"/>
          <w:color w:val="0B0B0B"/>
        </w:rPr>
        <w:t xml:space="preserve">5.2 </w:t>
      </w:r>
      <w:r>
        <w:rPr>
          <w:rFonts w:ascii="Arial" w:cs="Arial" w:eastAsia="Arial" w:hAnsi="Arial"/>
          <w:sz w:val="19"/>
          <w:szCs w:val="19"/>
          <w:u w:val="single" w:color="auto"/>
          <w:color w:val="0B0B0B"/>
        </w:rPr>
        <w:t>Procedural Requirements</w:t>
      </w:r>
      <w:r>
        <w:rPr>
          <w:rFonts w:ascii="Arial" w:cs="Arial" w:eastAsia="Arial" w:hAnsi="Arial"/>
          <w:sz w:val="19"/>
          <w:szCs w:val="19"/>
          <w:color w:val="0B0B0B"/>
        </w:rPr>
        <w:t xml:space="preserve">. All holders of record of shares of Series A Preferred Stock shall be sent written notice of the Mandatory Conversion Time and the place designated for mandatory conversion of all such shares of Series A Preferred Stock pursuant to this </w:t>
      </w:r>
      <w:r>
        <w:rPr>
          <w:rFonts w:ascii="Arial" w:cs="Arial" w:eastAsia="Arial" w:hAnsi="Arial"/>
          <w:sz w:val="19"/>
          <w:szCs w:val="19"/>
          <w:u w:val="single" w:color="auto"/>
          <w:color w:val="0B0B0B"/>
        </w:rPr>
        <w:t>Section 5</w:t>
      </w:r>
      <w:r>
        <w:rPr>
          <w:rFonts w:ascii="Arial" w:cs="Arial" w:eastAsia="Arial" w:hAnsi="Arial"/>
          <w:sz w:val="19"/>
          <w:szCs w:val="19"/>
          <w:color w:val="0B0B0B"/>
        </w:rPr>
        <w:t xml:space="preserve">. Such notice need not be sent in advance of the occurrence of the Mandatory Conversion Time. Upon receipt of such notice, each holder of shares of Series A Preferred Stock in certificated form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Series A Preferred Stock converted pursuant to </w:t>
      </w:r>
      <w:r>
        <w:rPr>
          <w:rFonts w:ascii="Arial" w:cs="Arial" w:eastAsia="Arial" w:hAnsi="Arial"/>
          <w:sz w:val="19"/>
          <w:szCs w:val="19"/>
          <w:u w:val="single" w:color="auto"/>
          <w:color w:val="0B0B0B"/>
        </w:rPr>
        <w:t>Subsection 5.1</w:t>
      </w:r>
      <w:r>
        <w:rPr>
          <w:rFonts w:ascii="Arial" w:cs="Arial" w:eastAsia="Arial" w:hAnsi="Arial"/>
          <w:sz w:val="19"/>
          <w:szCs w:val="19"/>
          <w:color w:val="0B0B0B"/>
        </w:rPr>
        <w:t xml:space="preserve">, including the rights, if any, to receive notices and vote (other than as a holder of Common Stock), will terminate at the Mandatory Conversion Time (notwithstanding the failure of the holder or holders thereof to </w:t>
      </w:r>
      <w:r>
        <w:rPr>
          <w:rFonts w:ascii="Arial" w:cs="Arial" w:eastAsia="Arial" w:hAnsi="Arial"/>
          <w:sz w:val="19"/>
          <w:szCs w:val="19"/>
          <w:color w:val="2D2D2D"/>
        </w:rPr>
        <w:t>s</w:t>
      </w:r>
      <w:r>
        <w:rPr>
          <w:rFonts w:ascii="Arial" w:cs="Arial" w:eastAsia="Arial" w:hAnsi="Arial"/>
          <w:sz w:val="19"/>
          <w:szCs w:val="19"/>
          <w:color w:val="0B0B0B"/>
        </w:rPr>
        <w:t xml:space="preserve">urrender any certificates at or prior to such time), except only the rights of the holders thereof, upon surrender of any certificate or certificates of such holders (or lost certificate affidavit and agreement) therefor, to receive the items provided for in the next sentence of this </w:t>
      </w:r>
      <w:r>
        <w:rPr>
          <w:rFonts w:ascii="Arial" w:cs="Arial" w:eastAsia="Arial" w:hAnsi="Arial"/>
          <w:sz w:val="19"/>
          <w:szCs w:val="19"/>
          <w:u w:val="single" w:color="auto"/>
          <w:color w:val="0B0B0B"/>
        </w:rPr>
        <w:t>Subsection 5.2</w:t>
      </w:r>
      <w:r>
        <w:rPr>
          <w:rFonts w:ascii="Arial" w:cs="Arial" w:eastAsia="Arial" w:hAnsi="Arial"/>
          <w:sz w:val="19"/>
          <w:szCs w:val="19"/>
          <w:color w:val="0B0B0B"/>
        </w:rPr>
        <w:t>. As soon as practicable after the Mandatory Conversion Time and, if applicable, the surrender of any certificate or certificates (or lost certificate affidavit and agreement) for Series A Preferred Stock, the Corporation shall (a) issue and deliver to such holder, or to his, her or its nominees, a certificate or certificates for the number of full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28" w:right="339" w:bottom="1440" w:gutter="0" w:footer="0" w:header="0"/>
        </w:sectPr>
      </w:pPr>
    </w:p>
    <w:bookmarkStart w:id="218" w:name="page219"/>
    <w:bookmarkEnd w:id="218"/>
    <w:p>
      <w:pPr>
        <w:jc w:val="both"/>
        <w:spacing w:after="0" w:line="247" w:lineRule="auto"/>
        <w:rPr>
          <w:sz w:val="20"/>
          <w:szCs w:val="20"/>
          <w:color w:val="auto"/>
        </w:rPr>
      </w:pPr>
      <w:r>
        <w:rPr>
          <w:rFonts w:ascii="Arial" w:cs="Arial" w:eastAsia="Arial" w:hAnsi="Arial"/>
          <w:sz w:val="22"/>
          <w:szCs w:val="22"/>
          <w:color w:val="0B0B0B"/>
        </w:rPr>
        <w:t xml:space="preserve">Common Stock issuable on such conversion in accordance with the provisions hereof and (b)pay cash as provided in </w:t>
      </w:r>
      <w:r>
        <w:rPr>
          <w:rFonts w:ascii="Arial" w:cs="Arial" w:eastAsia="Arial" w:hAnsi="Arial"/>
          <w:sz w:val="22"/>
          <w:szCs w:val="22"/>
          <w:u w:val="single" w:color="auto"/>
          <w:color w:val="0B0B0B"/>
        </w:rPr>
        <w:t>Subsection</w:t>
      </w:r>
      <w:r>
        <w:rPr>
          <w:rFonts w:ascii="Arial" w:cs="Arial" w:eastAsia="Arial" w:hAnsi="Arial"/>
          <w:sz w:val="22"/>
          <w:szCs w:val="22"/>
          <w:color w:val="0B0B0B"/>
        </w:rPr>
        <w:t xml:space="preserve"> </w:t>
      </w:r>
      <w:r>
        <w:rPr>
          <w:rFonts w:ascii="Arial" w:cs="Arial" w:eastAsia="Arial" w:hAnsi="Arial"/>
          <w:sz w:val="22"/>
          <w:szCs w:val="22"/>
          <w:u w:val="single" w:color="auto"/>
          <w:color w:val="0B0B0B"/>
        </w:rPr>
        <w:t>4.2</w:t>
      </w:r>
      <w:r>
        <w:rPr>
          <w:rFonts w:ascii="Arial" w:cs="Arial" w:eastAsia="Arial" w:hAnsi="Arial"/>
          <w:sz w:val="22"/>
          <w:szCs w:val="22"/>
          <w:color w:val="0B0B0B"/>
        </w:rPr>
        <w:t xml:space="preserve"> in lieu of any fraction of a share of Common Stock otherwise issuable upon such conversion and the payment of any declared but unpaid dividends on the </w:t>
      </w:r>
      <w:r>
        <w:rPr>
          <w:rFonts w:ascii="Arial" w:cs="Arial" w:eastAsia="Arial" w:hAnsi="Arial"/>
          <w:sz w:val="22"/>
          <w:szCs w:val="22"/>
          <w:color w:val="0E0E0E"/>
        </w:rPr>
        <w:t>shares of Series A Preferred Stock converted. Such converted Series A Preferred Stock shall be</w:t>
      </w:r>
      <w:r>
        <w:rPr>
          <w:rFonts w:ascii="Arial" w:cs="Arial" w:eastAsia="Arial" w:hAnsi="Arial"/>
          <w:sz w:val="22"/>
          <w:szCs w:val="22"/>
          <w:color w:val="0B0B0B"/>
        </w:rPr>
        <w:t xml:space="preserve"> </w:t>
      </w:r>
      <w:r>
        <w:rPr>
          <w:rFonts w:ascii="Arial" w:cs="Arial" w:eastAsia="Arial" w:hAnsi="Arial"/>
          <w:sz w:val="22"/>
          <w:szCs w:val="22"/>
          <w:color w:val="0E0E0E"/>
        </w:rPr>
        <w:t>retired and cancelled and may not be reissued as shares of such series, and the Corporation may thereafter take such appropriate action (without the need for stockholder action) as may be necessary to reduce the authorized number of shares of Series A Preferred Stock accordingly.</w:t>
      </w:r>
    </w:p>
    <w:p>
      <w:pPr>
        <w:spacing w:after="0" w:line="139" w:lineRule="exact"/>
        <w:rPr>
          <w:sz w:val="20"/>
          <w:szCs w:val="20"/>
          <w:color w:val="auto"/>
        </w:rPr>
      </w:pPr>
    </w:p>
    <w:p>
      <w:pPr>
        <w:ind w:left="1680" w:hanging="376"/>
        <w:spacing w:after="0"/>
        <w:tabs>
          <w:tab w:leader="none" w:pos="1680" w:val="left"/>
        </w:tabs>
        <w:numPr>
          <w:ilvl w:val="0"/>
          <w:numId w:val="163"/>
        </w:numPr>
        <w:rPr>
          <w:rFonts w:ascii="Arial" w:cs="Arial" w:eastAsia="Arial" w:hAnsi="Arial"/>
          <w:sz w:val="22"/>
          <w:szCs w:val="22"/>
          <w:color w:val="0E0E0E"/>
        </w:rPr>
      </w:pPr>
      <w:r>
        <w:rPr>
          <w:rFonts w:ascii="Arial" w:cs="Arial" w:eastAsia="Arial" w:hAnsi="Arial"/>
          <w:sz w:val="22"/>
          <w:szCs w:val="22"/>
          <w:u w:val="single" w:color="auto"/>
          <w:color w:val="0E0E0E"/>
        </w:rPr>
        <w:t>Redemption</w:t>
      </w:r>
      <w:r>
        <w:rPr>
          <w:rFonts w:ascii="Arial" w:cs="Arial" w:eastAsia="Arial" w:hAnsi="Arial"/>
          <w:sz w:val="22"/>
          <w:szCs w:val="22"/>
          <w:color w:val="0E0E0E"/>
        </w:rPr>
        <w:t>.</w:t>
      </w:r>
    </w:p>
    <w:p>
      <w:pPr>
        <w:spacing w:after="0" w:line="166" w:lineRule="exact"/>
        <w:rPr>
          <w:sz w:val="20"/>
          <w:szCs w:val="20"/>
          <w:color w:val="auto"/>
        </w:rPr>
      </w:pPr>
    </w:p>
    <w:p>
      <w:pPr>
        <w:jc w:val="both"/>
        <w:ind w:firstLine="1944"/>
        <w:spacing w:after="0" w:line="284" w:lineRule="auto"/>
        <w:rPr>
          <w:sz w:val="20"/>
          <w:szCs w:val="20"/>
          <w:color w:val="auto"/>
        </w:rPr>
      </w:pPr>
      <w:r>
        <w:rPr>
          <w:rFonts w:ascii="Arial" w:cs="Arial" w:eastAsia="Arial" w:hAnsi="Arial"/>
          <w:sz w:val="19"/>
          <w:szCs w:val="19"/>
          <w:color w:val="0E0E0E"/>
        </w:rPr>
        <w:t xml:space="preserve">6.1 </w:t>
      </w:r>
      <w:r>
        <w:rPr>
          <w:rFonts w:ascii="Arial" w:cs="Arial" w:eastAsia="Arial" w:hAnsi="Arial"/>
          <w:sz w:val="19"/>
          <w:szCs w:val="19"/>
          <w:u w:val="single" w:color="auto"/>
          <w:color w:val="0E0E0E"/>
        </w:rPr>
        <w:t>General</w:t>
      </w:r>
      <w:r>
        <w:rPr>
          <w:rFonts w:ascii="Arial" w:cs="Arial" w:eastAsia="Arial" w:hAnsi="Arial"/>
          <w:sz w:val="19"/>
          <w:szCs w:val="19"/>
          <w:color w:val="0E0E0E"/>
        </w:rPr>
        <w:t>. Unless prohibited by Delaware law governing distributions to stockholders</w:t>
      </w:r>
      <w:r>
        <w:rPr>
          <w:rFonts w:ascii="Arial" w:cs="Arial" w:eastAsia="Arial" w:hAnsi="Arial"/>
          <w:sz w:val="19"/>
          <w:szCs w:val="19"/>
          <w:color w:val="2F2F2F"/>
        </w:rPr>
        <w:t>,</w:t>
      </w:r>
      <w:r>
        <w:rPr>
          <w:rFonts w:ascii="Arial" w:cs="Arial" w:eastAsia="Arial" w:hAnsi="Arial"/>
          <w:sz w:val="19"/>
          <w:szCs w:val="19"/>
          <w:color w:val="0E0E0E"/>
        </w:rPr>
        <w:t xml:space="preserve"> shares of Series A Preferred Stock shall be redeemed by the Corporation at a price equal to the greater of (A) the Series A Original Issue Price per share, plus all declared but unpaid dividends thereon and (B) the Fair Market Value (determined in the manner set forth below) of a single share of Series A Preferred Stock as of the date of the Corporation’s receipt of the Redemption Reque</w:t>
      </w:r>
      <w:r>
        <w:rPr>
          <w:rFonts w:ascii="Arial" w:cs="Arial" w:eastAsia="Arial" w:hAnsi="Arial"/>
          <w:sz w:val="19"/>
          <w:szCs w:val="19"/>
          <w:color w:val="2F2F2F"/>
        </w:rPr>
        <w:t>s</w:t>
      </w:r>
      <w:r>
        <w:rPr>
          <w:rFonts w:ascii="Arial" w:cs="Arial" w:eastAsia="Arial" w:hAnsi="Arial"/>
          <w:sz w:val="19"/>
          <w:szCs w:val="19"/>
          <w:color w:val="0E0E0E"/>
        </w:rPr>
        <w:t>t (the “</w:t>
      </w:r>
      <w:r>
        <w:rPr>
          <w:rFonts w:ascii="Arial" w:cs="Arial" w:eastAsia="Arial" w:hAnsi="Arial"/>
          <w:sz w:val="19"/>
          <w:szCs w:val="19"/>
          <w:b w:val="1"/>
          <w:bCs w:val="1"/>
          <w:color w:val="0E0E0E"/>
        </w:rPr>
        <w:t>Redemption Price</w:t>
      </w:r>
      <w:r>
        <w:rPr>
          <w:rFonts w:ascii="Arial" w:cs="Arial" w:eastAsia="Arial" w:hAnsi="Arial"/>
          <w:sz w:val="19"/>
          <w:szCs w:val="19"/>
          <w:color w:val="0E0E0E"/>
        </w:rPr>
        <w:t>”), in three (3) annual installments commencing not more than sixty (60) days after receipt by the Corporation at any time on or after seven (7) years from the Series A Original Issue Date</w:t>
      </w:r>
      <w:r>
        <w:rPr>
          <w:rFonts w:ascii="Arial" w:cs="Arial" w:eastAsia="Arial" w:hAnsi="Arial"/>
          <w:sz w:val="19"/>
          <w:szCs w:val="19"/>
          <w:color w:val="2F2F2F"/>
        </w:rPr>
        <w:t>,</w:t>
      </w:r>
      <w:r>
        <w:rPr>
          <w:rFonts w:ascii="Arial" w:cs="Arial" w:eastAsia="Arial" w:hAnsi="Arial"/>
          <w:sz w:val="19"/>
          <w:szCs w:val="19"/>
          <w:color w:val="0E0E0E"/>
        </w:rPr>
        <w:t xml:space="preserve"> from the holders of at least majority of the then outstanding shares of Series A Preferred Stock, of written notice requesting redemption of all shares of Serie</w:t>
      </w:r>
      <w:r>
        <w:rPr>
          <w:rFonts w:ascii="Arial" w:cs="Arial" w:eastAsia="Arial" w:hAnsi="Arial"/>
          <w:sz w:val="19"/>
          <w:szCs w:val="19"/>
          <w:color w:val="2F2F2F"/>
        </w:rPr>
        <w:t>s</w:t>
      </w:r>
      <w:r>
        <w:rPr>
          <w:rFonts w:ascii="Arial" w:cs="Arial" w:eastAsia="Arial" w:hAnsi="Arial"/>
          <w:sz w:val="19"/>
          <w:szCs w:val="19"/>
          <w:color w:val="0E0E0E"/>
        </w:rPr>
        <w:t xml:space="preserve"> A Preferred Stock (the “</w:t>
      </w:r>
      <w:r>
        <w:rPr>
          <w:rFonts w:ascii="Arial" w:cs="Arial" w:eastAsia="Arial" w:hAnsi="Arial"/>
          <w:sz w:val="19"/>
          <w:szCs w:val="19"/>
          <w:b w:val="1"/>
          <w:bCs w:val="1"/>
          <w:color w:val="0E0E0E"/>
        </w:rPr>
        <w:t>Redemption Request</w:t>
      </w:r>
      <w:r>
        <w:rPr>
          <w:rFonts w:ascii="Arial" w:cs="Arial" w:eastAsia="Arial" w:hAnsi="Arial"/>
          <w:sz w:val="19"/>
          <w:szCs w:val="19"/>
          <w:color w:val="0E0E0E"/>
        </w:rPr>
        <w:t>”). Upon receipt of a Redemption Reque</w:t>
      </w:r>
      <w:r>
        <w:rPr>
          <w:rFonts w:ascii="Arial" w:cs="Arial" w:eastAsia="Arial" w:hAnsi="Arial"/>
          <w:sz w:val="19"/>
          <w:szCs w:val="19"/>
          <w:color w:val="2F2F2F"/>
        </w:rPr>
        <w:t>s</w:t>
      </w:r>
      <w:r>
        <w:rPr>
          <w:rFonts w:ascii="Arial" w:cs="Arial" w:eastAsia="Arial" w:hAnsi="Arial"/>
          <w:sz w:val="19"/>
          <w:szCs w:val="19"/>
          <w:color w:val="0E0E0E"/>
        </w:rPr>
        <w:t>t, the Corporation shall apply all of its assets to any such redemption, and to no other corporate purpose</w:t>
      </w:r>
      <w:r>
        <w:rPr>
          <w:rFonts w:ascii="Arial" w:cs="Arial" w:eastAsia="Arial" w:hAnsi="Arial"/>
          <w:sz w:val="19"/>
          <w:szCs w:val="19"/>
          <w:color w:val="2F2F2F"/>
        </w:rPr>
        <w:t>,</w:t>
      </w:r>
      <w:r>
        <w:rPr>
          <w:rFonts w:ascii="Arial" w:cs="Arial" w:eastAsia="Arial" w:hAnsi="Arial"/>
          <w:sz w:val="19"/>
          <w:szCs w:val="19"/>
          <w:color w:val="0E0E0E"/>
        </w:rPr>
        <w:t xml:space="preserve"> except to the extent prohibited by Delaware law governing distributions to stockholders. For purposes of this </w:t>
      </w:r>
      <w:r>
        <w:rPr>
          <w:rFonts w:ascii="Arial" w:cs="Arial" w:eastAsia="Arial" w:hAnsi="Arial"/>
          <w:sz w:val="19"/>
          <w:szCs w:val="19"/>
          <w:u w:val="single" w:color="auto"/>
          <w:color w:val="0E0E0E"/>
        </w:rPr>
        <w:t>Sub</w:t>
      </w:r>
      <w:r>
        <w:rPr>
          <w:rFonts w:ascii="Arial" w:cs="Arial" w:eastAsia="Arial" w:hAnsi="Arial"/>
          <w:sz w:val="19"/>
          <w:szCs w:val="19"/>
          <w:u w:val="single" w:color="auto"/>
          <w:color w:val="2F2F2F"/>
        </w:rPr>
        <w:t>s</w:t>
      </w:r>
      <w:r>
        <w:rPr>
          <w:rFonts w:ascii="Arial" w:cs="Arial" w:eastAsia="Arial" w:hAnsi="Arial"/>
          <w:sz w:val="19"/>
          <w:szCs w:val="19"/>
          <w:u w:val="single" w:color="auto"/>
          <w:color w:val="0E0E0E"/>
        </w:rPr>
        <w:t>ection 6.1</w:t>
      </w:r>
      <w:r>
        <w:rPr>
          <w:rFonts w:ascii="Arial" w:cs="Arial" w:eastAsia="Arial" w:hAnsi="Arial"/>
          <w:sz w:val="19"/>
          <w:szCs w:val="19"/>
          <w:color w:val="0E0E0E"/>
        </w:rPr>
        <w:t>, the Fair Market Value of a single share of Series A Preferred Stock shall be the value of a single share of Series A Preferred Stock as mutually agreed upon by the Corporation and the holders of a majority of the shares of Series A Preferred Stock then outstanding, and, in the event that they are unable to reach agreement, by a third-party appraiser agreed to by the Corporation and the holders of a majority of the shares of Series A Preferred Stock then outstanding. The date o</w:t>
      </w:r>
      <w:r>
        <w:rPr>
          <w:rFonts w:ascii="Arial" w:cs="Arial" w:eastAsia="Arial" w:hAnsi="Arial"/>
          <w:sz w:val="19"/>
          <w:szCs w:val="19"/>
          <w:color w:val="2F2F2F"/>
        </w:rPr>
        <w:t>f</w:t>
      </w:r>
      <w:r>
        <w:rPr>
          <w:rFonts w:ascii="Arial" w:cs="Arial" w:eastAsia="Arial" w:hAnsi="Arial"/>
          <w:sz w:val="19"/>
          <w:szCs w:val="19"/>
          <w:color w:val="0E0E0E"/>
        </w:rPr>
        <w:t xml:space="preserve"> each such installment shall be referred to as a</w:t>
      </w:r>
      <w:r>
        <w:rPr>
          <w:rFonts w:ascii="Arial" w:cs="Arial" w:eastAsia="Arial" w:hAnsi="Arial"/>
          <w:sz w:val="19"/>
          <w:szCs w:val="19"/>
          <w:color w:val="424242"/>
        </w:rPr>
        <w:t>· “</w:t>
      </w:r>
      <w:r>
        <w:rPr>
          <w:rFonts w:ascii="Arial" w:cs="Arial" w:eastAsia="Arial" w:hAnsi="Arial"/>
          <w:sz w:val="19"/>
          <w:szCs w:val="19"/>
          <w:b w:val="1"/>
          <w:bCs w:val="1"/>
          <w:color w:val="0E0E0E"/>
        </w:rPr>
        <w:t>Redemption Date.</w:t>
      </w:r>
      <w:r>
        <w:rPr>
          <w:rFonts w:ascii="Arial" w:cs="Arial" w:eastAsia="Arial" w:hAnsi="Arial"/>
          <w:sz w:val="19"/>
          <w:szCs w:val="19"/>
          <w:color w:val="0E0E0E"/>
        </w:rPr>
        <w:t>” On each Redemption Date, the Corporation shall redeem, on a pro rata basis in accordance with the number of shares of Series A Preferred Stock owned by each holder, that number of outstanding shares of Series A Preferred Stock determined by dividing (i) the total number of shares of Series A Preferred Stock outstanding immediately prior to such Redemption Date by (ii) the number of remaining Redemption Dates (including the Redemption Date to which such calculation applies). If on any Redemption Date Delaware law governing distributions to stockholders prevents the Corporation from redeeming all shares of Series A Preferred Stock to be redeemed, the Corporation shall ratably redeem the maximum number of shares that it may redeem consistent with such law, and shall redeem the remaining shares as soon as it may lawfully do so under such law</w:t>
      </w:r>
      <w:r>
        <w:rPr>
          <w:rFonts w:ascii="Arial" w:cs="Arial" w:eastAsia="Arial" w:hAnsi="Arial"/>
          <w:sz w:val="19"/>
          <w:szCs w:val="19"/>
          <w:color w:val="2F2F2F"/>
        </w:rPr>
        <w:t>.</w:t>
      </w:r>
    </w:p>
    <w:p>
      <w:pPr>
        <w:spacing w:after="0" w:line="378" w:lineRule="exact"/>
        <w:rPr>
          <w:sz w:val="20"/>
          <w:szCs w:val="20"/>
          <w:color w:val="auto"/>
        </w:rPr>
      </w:pPr>
    </w:p>
    <w:p>
      <w:pPr>
        <w:jc w:val="both"/>
        <w:ind w:right="20" w:firstLine="1944"/>
        <w:spacing w:after="0" w:line="263" w:lineRule="auto"/>
        <w:rPr>
          <w:sz w:val="20"/>
          <w:szCs w:val="20"/>
          <w:color w:val="auto"/>
        </w:rPr>
      </w:pPr>
      <w:r>
        <w:rPr>
          <w:rFonts w:ascii="Arial" w:cs="Arial" w:eastAsia="Arial" w:hAnsi="Arial"/>
          <w:sz w:val="22"/>
          <w:szCs w:val="22"/>
          <w:color w:val="0E0E0E"/>
        </w:rPr>
        <w:t xml:space="preserve">6.2 </w:t>
      </w:r>
      <w:r>
        <w:rPr>
          <w:rFonts w:ascii="Arial" w:cs="Arial" w:eastAsia="Arial" w:hAnsi="Arial"/>
          <w:sz w:val="22"/>
          <w:szCs w:val="22"/>
          <w:u w:val="single" w:color="auto"/>
          <w:color w:val="0E0E0E"/>
        </w:rPr>
        <w:t>Redemption Notice</w:t>
      </w:r>
      <w:r>
        <w:rPr>
          <w:rFonts w:ascii="Arial" w:cs="Arial" w:eastAsia="Arial" w:hAnsi="Arial"/>
          <w:sz w:val="22"/>
          <w:szCs w:val="22"/>
          <w:color w:val="0E0E0E"/>
        </w:rPr>
        <w:t>. The Corporation shall send written notice of the mandatory redemption (the “</w:t>
      </w:r>
      <w:r>
        <w:rPr>
          <w:rFonts w:ascii="Arial" w:cs="Arial" w:eastAsia="Arial" w:hAnsi="Arial"/>
          <w:sz w:val="22"/>
          <w:szCs w:val="22"/>
          <w:b w:val="1"/>
          <w:bCs w:val="1"/>
          <w:color w:val="0E0E0E"/>
        </w:rPr>
        <w:t>Redemption Notice</w:t>
      </w:r>
      <w:r>
        <w:rPr>
          <w:rFonts w:ascii="Arial" w:cs="Arial" w:eastAsia="Arial" w:hAnsi="Arial"/>
          <w:sz w:val="22"/>
          <w:szCs w:val="22"/>
          <w:color w:val="0E0E0E"/>
        </w:rPr>
        <w:t>”) to each holder of record of Series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28" w:right="339" w:bottom="1440" w:gutter="0" w:footer="0" w:header="0"/>
        </w:sectPr>
      </w:pPr>
    </w:p>
    <w:bookmarkStart w:id="219" w:name="page220"/>
    <w:bookmarkEnd w:id="219"/>
    <w:p>
      <w:pPr>
        <w:spacing w:after="0"/>
        <w:rPr>
          <w:sz w:val="20"/>
          <w:szCs w:val="20"/>
          <w:color w:val="auto"/>
        </w:rPr>
      </w:pPr>
      <w:r>
        <w:rPr>
          <w:rFonts w:ascii="Arial" w:cs="Arial" w:eastAsia="Arial" w:hAnsi="Arial"/>
          <w:sz w:val="22"/>
          <w:szCs w:val="22"/>
          <w:color w:val="0E0E0E"/>
        </w:rPr>
        <w:t>Preferred Stock not less than forty (40) days prior to each Redemption Date. Each Redemption Notice shall state:</w:t>
      </w:r>
    </w:p>
    <w:p>
      <w:pPr>
        <w:spacing w:after="0" w:line="166" w:lineRule="exact"/>
        <w:rPr>
          <w:sz w:val="20"/>
          <w:szCs w:val="20"/>
          <w:color w:val="auto"/>
        </w:rPr>
      </w:pPr>
    </w:p>
    <w:p>
      <w:pPr>
        <w:ind w:left="3920" w:hanging="672"/>
        <w:spacing w:after="0"/>
        <w:tabs>
          <w:tab w:leader="none" w:pos="3920" w:val="left"/>
        </w:tabs>
        <w:numPr>
          <w:ilvl w:val="0"/>
          <w:numId w:val="164"/>
        </w:numPr>
        <w:rPr>
          <w:rFonts w:ascii="Arial" w:cs="Arial" w:eastAsia="Arial" w:hAnsi="Arial"/>
          <w:sz w:val="21"/>
          <w:szCs w:val="21"/>
          <w:color w:val="0E0E0E"/>
        </w:rPr>
      </w:pPr>
      <w:r>
        <w:rPr>
          <w:rFonts w:ascii="Arial" w:cs="Arial" w:eastAsia="Arial" w:hAnsi="Arial"/>
          <w:sz w:val="21"/>
          <w:szCs w:val="21"/>
          <w:color w:val="0E0E0E"/>
        </w:rPr>
        <w:t>the number of shares of Series A Preferred Stock held by the holder that the</w:t>
      </w:r>
    </w:p>
    <w:p>
      <w:pPr>
        <w:spacing w:after="0" w:line="32" w:lineRule="exact"/>
        <w:rPr>
          <w:rFonts w:ascii="Arial" w:cs="Arial" w:eastAsia="Arial" w:hAnsi="Arial"/>
          <w:sz w:val="21"/>
          <w:szCs w:val="21"/>
          <w:color w:val="0E0E0E"/>
        </w:rPr>
      </w:pPr>
    </w:p>
    <w:p>
      <w:pPr>
        <w:spacing w:after="0"/>
        <w:rPr>
          <w:rFonts w:ascii="Arial" w:cs="Arial" w:eastAsia="Arial" w:hAnsi="Arial"/>
          <w:sz w:val="21"/>
          <w:szCs w:val="21"/>
          <w:color w:val="0E0E0E"/>
        </w:rPr>
      </w:pPr>
      <w:r>
        <w:rPr>
          <w:rFonts w:ascii="Arial" w:cs="Arial" w:eastAsia="Arial" w:hAnsi="Arial"/>
          <w:sz w:val="22"/>
          <w:szCs w:val="22"/>
          <w:color w:val="0E0E0E"/>
        </w:rPr>
        <w:t>Corporation shall redeem on the Redemption Date specified in the Redemption Notice</w:t>
      </w:r>
      <w:r>
        <w:rPr>
          <w:rFonts w:ascii="Arial" w:cs="Arial" w:eastAsia="Arial" w:hAnsi="Arial"/>
          <w:sz w:val="22"/>
          <w:szCs w:val="22"/>
          <w:color w:val="2F2F2F"/>
        </w:rPr>
        <w:t>;</w:t>
      </w:r>
    </w:p>
    <w:p>
      <w:pPr>
        <w:spacing w:after="0" w:line="147" w:lineRule="exact"/>
        <w:rPr>
          <w:rFonts w:ascii="Arial" w:cs="Arial" w:eastAsia="Arial" w:hAnsi="Arial"/>
          <w:sz w:val="21"/>
          <w:szCs w:val="21"/>
          <w:color w:val="0E0E0E"/>
        </w:rPr>
      </w:pPr>
    </w:p>
    <w:p>
      <w:pPr>
        <w:ind w:left="3720" w:hanging="472"/>
        <w:spacing w:after="0"/>
        <w:tabs>
          <w:tab w:leader="none" w:pos="3720" w:val="left"/>
        </w:tabs>
        <w:numPr>
          <w:ilvl w:val="0"/>
          <w:numId w:val="164"/>
        </w:numPr>
        <w:rPr>
          <w:rFonts w:ascii="Arial" w:cs="Arial" w:eastAsia="Arial" w:hAnsi="Arial"/>
          <w:sz w:val="22"/>
          <w:szCs w:val="22"/>
          <w:color w:val="0E0E0E"/>
        </w:rPr>
      </w:pPr>
      <w:r>
        <w:rPr>
          <w:rFonts w:ascii="Arial" w:cs="Arial" w:eastAsia="Arial" w:hAnsi="Arial"/>
          <w:sz w:val="22"/>
          <w:szCs w:val="22"/>
          <w:color w:val="0E0E0E"/>
        </w:rPr>
        <w:t>the Redemption Date and the Redemption Price;</w:t>
      </w:r>
    </w:p>
    <w:p>
      <w:pPr>
        <w:spacing w:after="0" w:line="165" w:lineRule="exact"/>
        <w:rPr>
          <w:rFonts w:ascii="Arial" w:cs="Arial" w:eastAsia="Arial" w:hAnsi="Arial"/>
          <w:sz w:val="22"/>
          <w:szCs w:val="22"/>
          <w:color w:val="0E0E0E"/>
        </w:rPr>
      </w:pPr>
    </w:p>
    <w:p>
      <w:pPr>
        <w:ind w:left="3720" w:hanging="472"/>
        <w:spacing w:after="0"/>
        <w:tabs>
          <w:tab w:leader="none" w:pos="3720" w:val="left"/>
        </w:tabs>
        <w:numPr>
          <w:ilvl w:val="0"/>
          <w:numId w:val="164"/>
        </w:numPr>
        <w:rPr>
          <w:rFonts w:ascii="Arial" w:cs="Arial" w:eastAsia="Arial" w:hAnsi="Arial"/>
          <w:sz w:val="19"/>
          <w:szCs w:val="19"/>
          <w:color w:val="0B0B0B"/>
        </w:rPr>
      </w:pPr>
      <w:r>
        <w:rPr>
          <w:rFonts w:ascii="Arial" w:cs="Arial" w:eastAsia="Arial" w:hAnsi="Arial"/>
          <w:sz w:val="19"/>
          <w:szCs w:val="19"/>
          <w:color w:val="0B0B0B"/>
        </w:rPr>
        <w:t>the date upon which the holder's right to convert such shares terminates (as determined</w:t>
      </w:r>
    </w:p>
    <w:p>
      <w:pPr>
        <w:spacing w:after="0" w:line="55" w:lineRule="exact"/>
        <w:rPr>
          <w:rFonts w:ascii="Arial" w:cs="Arial" w:eastAsia="Arial" w:hAnsi="Arial"/>
          <w:sz w:val="19"/>
          <w:szCs w:val="19"/>
          <w:color w:val="0B0B0B"/>
        </w:rPr>
      </w:pPr>
    </w:p>
    <w:p>
      <w:pPr>
        <w:spacing w:after="0"/>
        <w:rPr>
          <w:rFonts w:ascii="Arial" w:cs="Arial" w:eastAsia="Arial" w:hAnsi="Arial"/>
          <w:sz w:val="19"/>
          <w:szCs w:val="19"/>
          <w:color w:val="0B0B0B"/>
        </w:rPr>
      </w:pPr>
      <w:r>
        <w:rPr>
          <w:rFonts w:ascii="Arial" w:cs="Arial" w:eastAsia="Arial" w:hAnsi="Arial"/>
          <w:sz w:val="22"/>
          <w:szCs w:val="22"/>
          <w:color w:val="0B0B0B"/>
        </w:rPr>
        <w:t xml:space="preserve">in accordance with </w:t>
      </w:r>
      <w:r>
        <w:rPr>
          <w:rFonts w:ascii="Arial" w:cs="Arial" w:eastAsia="Arial" w:hAnsi="Arial"/>
          <w:sz w:val="22"/>
          <w:szCs w:val="22"/>
          <w:u w:val="single" w:color="auto"/>
          <w:color w:val="0B0B0B"/>
        </w:rPr>
        <w:t>Subsection 4.1</w:t>
      </w:r>
      <w:r>
        <w:rPr>
          <w:rFonts w:ascii="Arial" w:cs="Arial" w:eastAsia="Arial" w:hAnsi="Arial"/>
          <w:sz w:val="22"/>
          <w:szCs w:val="22"/>
          <w:color w:val="0B0B0B"/>
        </w:rPr>
        <w:t>); and</w:t>
      </w:r>
    </w:p>
    <w:p>
      <w:pPr>
        <w:spacing w:after="0" w:line="147" w:lineRule="exact"/>
        <w:rPr>
          <w:rFonts w:ascii="Arial" w:cs="Arial" w:eastAsia="Arial" w:hAnsi="Arial"/>
          <w:sz w:val="19"/>
          <w:szCs w:val="19"/>
          <w:color w:val="0B0B0B"/>
        </w:rPr>
      </w:pPr>
    </w:p>
    <w:p>
      <w:pPr>
        <w:jc w:val="both"/>
        <w:ind w:right="20" w:firstLine="3248"/>
        <w:spacing w:after="0" w:line="253" w:lineRule="auto"/>
        <w:tabs>
          <w:tab w:leader="none" w:pos="3893" w:val="left"/>
        </w:tabs>
        <w:numPr>
          <w:ilvl w:val="0"/>
          <w:numId w:val="164"/>
        </w:numPr>
        <w:rPr>
          <w:rFonts w:ascii="Arial" w:cs="Arial" w:eastAsia="Arial" w:hAnsi="Arial"/>
          <w:sz w:val="22"/>
          <w:szCs w:val="22"/>
          <w:color w:val="0B0B0B"/>
        </w:rPr>
      </w:pPr>
      <w:r>
        <w:rPr>
          <w:rFonts w:ascii="Arial" w:cs="Arial" w:eastAsia="Arial" w:hAnsi="Arial"/>
          <w:sz w:val="22"/>
          <w:szCs w:val="22"/>
          <w:color w:val="0B0B0B"/>
        </w:rPr>
        <w:t xml:space="preserve">for holders of </w:t>
      </w:r>
      <w:r>
        <w:rPr>
          <w:rFonts w:ascii="Arial" w:cs="Arial" w:eastAsia="Arial" w:hAnsi="Arial"/>
          <w:sz w:val="22"/>
          <w:szCs w:val="22"/>
          <w:color w:val="1F1F1F"/>
        </w:rPr>
        <w:t>s</w:t>
      </w:r>
      <w:r>
        <w:rPr>
          <w:rFonts w:ascii="Arial" w:cs="Arial" w:eastAsia="Arial" w:hAnsi="Arial"/>
          <w:sz w:val="22"/>
          <w:szCs w:val="22"/>
          <w:color w:val="0B0B0B"/>
        </w:rPr>
        <w:t>hare</w:t>
      </w:r>
      <w:r>
        <w:rPr>
          <w:rFonts w:ascii="Arial" w:cs="Arial" w:eastAsia="Arial" w:hAnsi="Arial"/>
          <w:sz w:val="22"/>
          <w:szCs w:val="22"/>
          <w:color w:val="1F1F1F"/>
        </w:rPr>
        <w:t>s</w:t>
      </w:r>
      <w:r>
        <w:rPr>
          <w:rFonts w:ascii="Arial" w:cs="Arial" w:eastAsia="Arial" w:hAnsi="Arial"/>
          <w:sz w:val="22"/>
          <w:szCs w:val="22"/>
          <w:color w:val="0B0B0B"/>
        </w:rPr>
        <w:t xml:space="preserve"> in </w:t>
      </w:r>
      <w:r>
        <w:rPr>
          <w:rFonts w:ascii="Arial" w:cs="Arial" w:eastAsia="Arial" w:hAnsi="Arial"/>
          <w:sz w:val="22"/>
          <w:szCs w:val="22"/>
          <w:color w:val="1F1F1F"/>
        </w:rPr>
        <w:t>c</w:t>
      </w:r>
      <w:r>
        <w:rPr>
          <w:rFonts w:ascii="Arial" w:cs="Arial" w:eastAsia="Arial" w:hAnsi="Arial"/>
          <w:sz w:val="22"/>
          <w:szCs w:val="22"/>
          <w:color w:val="0B0B0B"/>
        </w:rPr>
        <w:t>ertificated form</w:t>
      </w:r>
      <w:r>
        <w:rPr>
          <w:rFonts w:ascii="Arial" w:cs="Arial" w:eastAsia="Arial" w:hAnsi="Arial"/>
          <w:sz w:val="22"/>
          <w:szCs w:val="22"/>
          <w:color w:val="1F1F1F"/>
        </w:rPr>
        <w:t>,</w:t>
      </w:r>
      <w:r>
        <w:rPr>
          <w:rFonts w:ascii="Arial" w:cs="Arial" w:eastAsia="Arial" w:hAnsi="Arial"/>
          <w:sz w:val="22"/>
          <w:szCs w:val="22"/>
          <w:color w:val="0B0B0B"/>
        </w:rPr>
        <w:t xml:space="preserve"> that the holder is to surrender to the Corporation, </w:t>
      </w:r>
      <w:r>
        <w:rPr>
          <w:rFonts w:ascii="Arial" w:cs="Arial" w:eastAsia="Arial" w:hAnsi="Arial"/>
          <w:sz w:val="22"/>
          <w:szCs w:val="22"/>
          <w:color w:val="1F1F1F"/>
        </w:rPr>
        <w:t>i</w:t>
      </w:r>
      <w:r>
        <w:rPr>
          <w:rFonts w:ascii="Arial" w:cs="Arial" w:eastAsia="Arial" w:hAnsi="Arial"/>
          <w:sz w:val="22"/>
          <w:szCs w:val="22"/>
          <w:color w:val="0B0B0B"/>
        </w:rPr>
        <w:t>n the manner and at th</w:t>
      </w:r>
      <w:r>
        <w:rPr>
          <w:rFonts w:ascii="Arial" w:cs="Arial" w:eastAsia="Arial" w:hAnsi="Arial"/>
          <w:sz w:val="22"/>
          <w:szCs w:val="22"/>
          <w:color w:val="1F1F1F"/>
        </w:rPr>
        <w:t>e</w:t>
      </w:r>
      <w:r>
        <w:rPr>
          <w:rFonts w:ascii="Arial" w:cs="Arial" w:eastAsia="Arial" w:hAnsi="Arial"/>
          <w:sz w:val="22"/>
          <w:szCs w:val="22"/>
          <w:color w:val="0B0B0B"/>
        </w:rPr>
        <w:t xml:space="preserve"> place designated, his, her or its certificate or certificate</w:t>
      </w:r>
      <w:r>
        <w:rPr>
          <w:rFonts w:ascii="Arial" w:cs="Arial" w:eastAsia="Arial" w:hAnsi="Arial"/>
          <w:sz w:val="22"/>
          <w:szCs w:val="22"/>
          <w:color w:val="1F1F1F"/>
        </w:rPr>
        <w:t>s</w:t>
      </w:r>
      <w:r>
        <w:rPr>
          <w:rFonts w:ascii="Arial" w:cs="Arial" w:eastAsia="Arial" w:hAnsi="Arial"/>
          <w:sz w:val="22"/>
          <w:szCs w:val="22"/>
          <w:color w:val="0B0B0B"/>
        </w:rPr>
        <w:t xml:space="preserve"> representing the </w:t>
      </w:r>
      <w:r>
        <w:rPr>
          <w:rFonts w:ascii="Arial" w:cs="Arial" w:eastAsia="Arial" w:hAnsi="Arial"/>
          <w:sz w:val="22"/>
          <w:szCs w:val="22"/>
          <w:color w:val="1F1F1F"/>
        </w:rPr>
        <w:t>s</w:t>
      </w:r>
      <w:r>
        <w:rPr>
          <w:rFonts w:ascii="Arial" w:cs="Arial" w:eastAsia="Arial" w:hAnsi="Arial"/>
          <w:sz w:val="22"/>
          <w:szCs w:val="22"/>
          <w:color w:val="0B0B0B"/>
        </w:rPr>
        <w:t>ha</w:t>
      </w:r>
      <w:r>
        <w:rPr>
          <w:rFonts w:ascii="Arial" w:cs="Arial" w:eastAsia="Arial" w:hAnsi="Arial"/>
          <w:sz w:val="22"/>
          <w:szCs w:val="22"/>
          <w:color w:val="1F1F1F"/>
        </w:rPr>
        <w:t>r</w:t>
      </w:r>
      <w:r>
        <w:rPr>
          <w:rFonts w:ascii="Arial" w:cs="Arial" w:eastAsia="Arial" w:hAnsi="Arial"/>
          <w:sz w:val="22"/>
          <w:szCs w:val="22"/>
          <w:color w:val="0B0B0B"/>
        </w:rPr>
        <w:t>es of Series A Preferred Stock to be redeemed</w:t>
      </w:r>
      <w:r>
        <w:rPr>
          <w:rFonts w:ascii="Arial" w:cs="Arial" w:eastAsia="Arial" w:hAnsi="Arial"/>
          <w:sz w:val="22"/>
          <w:szCs w:val="22"/>
          <w:color w:val="1F1F1F"/>
        </w:rPr>
        <w:t>.</w:t>
      </w:r>
    </w:p>
    <w:p>
      <w:pPr>
        <w:spacing w:after="0" w:line="124"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0B0B0B"/>
        </w:rPr>
        <w:t>If the Corporati</w:t>
      </w:r>
      <w:r>
        <w:rPr>
          <w:rFonts w:ascii="Arial" w:cs="Arial" w:eastAsia="Arial" w:hAnsi="Arial"/>
          <w:sz w:val="20"/>
          <w:szCs w:val="20"/>
          <w:color w:val="1F1F1F"/>
        </w:rPr>
        <w:t>o</w:t>
      </w:r>
      <w:r>
        <w:rPr>
          <w:rFonts w:ascii="Arial" w:cs="Arial" w:eastAsia="Arial" w:hAnsi="Arial"/>
          <w:sz w:val="20"/>
          <w:szCs w:val="20"/>
          <w:color w:val="0B0B0B"/>
        </w:rPr>
        <w:t>n receives</w:t>
      </w:r>
      <w:r>
        <w:rPr>
          <w:rFonts w:ascii="Arial" w:cs="Arial" w:eastAsia="Arial" w:hAnsi="Arial"/>
          <w:sz w:val="20"/>
          <w:szCs w:val="20"/>
          <w:color w:val="1F1F1F"/>
        </w:rPr>
        <w:t>,</w:t>
      </w:r>
      <w:r>
        <w:rPr>
          <w:rFonts w:ascii="Arial" w:cs="Arial" w:eastAsia="Arial" w:hAnsi="Arial"/>
          <w:sz w:val="20"/>
          <w:szCs w:val="20"/>
          <w:color w:val="0B0B0B"/>
        </w:rPr>
        <w:t xml:space="preserve"> on or prior to the t</w:t>
      </w:r>
      <w:r>
        <w:rPr>
          <w:rFonts w:ascii="Arial" w:cs="Arial" w:eastAsia="Arial" w:hAnsi="Arial"/>
          <w:sz w:val="20"/>
          <w:szCs w:val="20"/>
          <w:color w:val="1F1F1F"/>
        </w:rPr>
        <w:t>w</w:t>
      </w:r>
      <w:r>
        <w:rPr>
          <w:rFonts w:ascii="Arial" w:cs="Arial" w:eastAsia="Arial" w:hAnsi="Arial"/>
          <w:sz w:val="20"/>
          <w:szCs w:val="20"/>
          <w:color w:val="0B0B0B"/>
        </w:rPr>
        <w:t>entieth (20</w:t>
      </w:r>
      <w:r>
        <w:rPr>
          <w:rFonts w:ascii="Arial" w:cs="Arial" w:eastAsia="Arial" w:hAnsi="Arial"/>
          <w:sz w:val="26"/>
          <w:szCs w:val="26"/>
          <w:color w:val="0B0B0B"/>
          <w:vertAlign w:val="superscript"/>
        </w:rPr>
        <w:t>th</w:t>
      </w:r>
      <w:r>
        <w:rPr>
          <w:rFonts w:ascii="Arial" w:cs="Arial" w:eastAsia="Arial" w:hAnsi="Arial"/>
          <w:sz w:val="20"/>
          <w:szCs w:val="20"/>
          <w:color w:val="0B0B0B"/>
        </w:rPr>
        <w:t>) day after the date of delivery of the Redemption Notice to a holder of Series A Preferred Stock</w:t>
      </w:r>
      <w:r>
        <w:rPr>
          <w:rFonts w:ascii="Arial" w:cs="Arial" w:eastAsia="Arial" w:hAnsi="Arial"/>
          <w:sz w:val="20"/>
          <w:szCs w:val="20"/>
          <w:color w:val="1F1F1F"/>
        </w:rPr>
        <w:t>,</w:t>
      </w:r>
      <w:r>
        <w:rPr>
          <w:rFonts w:ascii="Arial" w:cs="Arial" w:eastAsia="Arial" w:hAnsi="Arial"/>
          <w:sz w:val="20"/>
          <w:szCs w:val="20"/>
          <w:color w:val="0B0B0B"/>
        </w:rPr>
        <w:t xml:space="preserve"> written notice from </w:t>
      </w:r>
      <w:r>
        <w:rPr>
          <w:rFonts w:ascii="Arial" w:cs="Arial" w:eastAsia="Arial" w:hAnsi="Arial"/>
          <w:sz w:val="20"/>
          <w:szCs w:val="20"/>
          <w:color w:val="1F1F1F"/>
        </w:rPr>
        <w:t>s</w:t>
      </w:r>
      <w:r>
        <w:rPr>
          <w:rFonts w:ascii="Arial" w:cs="Arial" w:eastAsia="Arial" w:hAnsi="Arial"/>
          <w:sz w:val="20"/>
          <w:szCs w:val="20"/>
          <w:color w:val="0B0B0B"/>
        </w:rPr>
        <w:t>uch holder that such holder elects to be excluded from the redempt</w:t>
      </w:r>
      <w:r>
        <w:rPr>
          <w:rFonts w:ascii="Arial" w:cs="Arial" w:eastAsia="Arial" w:hAnsi="Arial"/>
          <w:sz w:val="20"/>
          <w:szCs w:val="20"/>
          <w:color w:val="1F1F1F"/>
        </w:rPr>
        <w:t>i</w:t>
      </w:r>
      <w:r>
        <w:rPr>
          <w:rFonts w:ascii="Arial" w:cs="Arial" w:eastAsia="Arial" w:hAnsi="Arial"/>
          <w:sz w:val="20"/>
          <w:szCs w:val="20"/>
          <w:color w:val="0B0B0B"/>
        </w:rPr>
        <w:t xml:space="preserve">on provided in this </w:t>
      </w:r>
      <w:r>
        <w:rPr>
          <w:rFonts w:ascii="Arial" w:cs="Arial" w:eastAsia="Arial" w:hAnsi="Arial"/>
          <w:sz w:val="20"/>
          <w:szCs w:val="20"/>
          <w:u w:val="single" w:color="auto"/>
          <w:color w:val="0B0B0B"/>
        </w:rPr>
        <w:t>Section 6</w:t>
      </w:r>
      <w:r>
        <w:rPr>
          <w:rFonts w:ascii="Arial" w:cs="Arial" w:eastAsia="Arial" w:hAnsi="Arial"/>
          <w:sz w:val="20"/>
          <w:szCs w:val="20"/>
          <w:color w:val="0B0B0B"/>
        </w:rPr>
        <w:t>, then the shares of Series A Preferred Stock registered on the bo</w:t>
      </w:r>
      <w:r>
        <w:rPr>
          <w:rFonts w:ascii="Arial" w:cs="Arial" w:eastAsia="Arial" w:hAnsi="Arial"/>
          <w:sz w:val="20"/>
          <w:szCs w:val="20"/>
          <w:color w:val="1F1F1F"/>
        </w:rPr>
        <w:t>o</w:t>
      </w:r>
      <w:r>
        <w:rPr>
          <w:rFonts w:ascii="Arial" w:cs="Arial" w:eastAsia="Arial" w:hAnsi="Arial"/>
          <w:sz w:val="20"/>
          <w:szCs w:val="20"/>
          <w:color w:val="0B0B0B"/>
        </w:rPr>
        <w:t xml:space="preserve">ks of the Corporation in the name </w:t>
      </w:r>
      <w:r>
        <w:rPr>
          <w:rFonts w:ascii="Arial" w:cs="Arial" w:eastAsia="Arial" w:hAnsi="Arial"/>
          <w:sz w:val="20"/>
          <w:szCs w:val="20"/>
          <w:color w:val="1F1F1F"/>
        </w:rPr>
        <w:t>o</w:t>
      </w:r>
      <w:r>
        <w:rPr>
          <w:rFonts w:ascii="Arial" w:cs="Arial" w:eastAsia="Arial" w:hAnsi="Arial"/>
          <w:sz w:val="20"/>
          <w:szCs w:val="20"/>
          <w:color w:val="0B0B0B"/>
        </w:rPr>
        <w:t>f such holder at the time of the Corporation's receipt of such notice shall thereafter be “</w:t>
      </w:r>
      <w:r>
        <w:rPr>
          <w:rFonts w:ascii="Arial" w:cs="Arial" w:eastAsia="Arial" w:hAnsi="Arial"/>
          <w:sz w:val="20"/>
          <w:szCs w:val="20"/>
          <w:b w:val="1"/>
          <w:bCs w:val="1"/>
          <w:color w:val="0B0B0B"/>
        </w:rPr>
        <w:t>Excluded Shares.</w:t>
      </w:r>
      <w:r>
        <w:rPr>
          <w:rFonts w:ascii="Arial" w:cs="Arial" w:eastAsia="Arial" w:hAnsi="Arial"/>
          <w:sz w:val="20"/>
          <w:szCs w:val="20"/>
          <w:color w:val="0B0B0B"/>
        </w:rPr>
        <w:t>” Excluded Share</w:t>
      </w:r>
      <w:r>
        <w:rPr>
          <w:rFonts w:ascii="Arial" w:cs="Arial" w:eastAsia="Arial" w:hAnsi="Arial"/>
          <w:sz w:val="20"/>
          <w:szCs w:val="20"/>
          <w:color w:val="1F1F1F"/>
        </w:rPr>
        <w:t>s s</w:t>
      </w:r>
      <w:r>
        <w:rPr>
          <w:rFonts w:ascii="Arial" w:cs="Arial" w:eastAsia="Arial" w:hAnsi="Arial"/>
          <w:sz w:val="20"/>
          <w:szCs w:val="20"/>
          <w:color w:val="0B0B0B"/>
        </w:rPr>
        <w:t xml:space="preserve">hall not be redeemed or redeemable pursuant to this </w:t>
      </w:r>
      <w:r>
        <w:rPr>
          <w:rFonts w:ascii="Arial" w:cs="Arial" w:eastAsia="Arial" w:hAnsi="Arial"/>
          <w:sz w:val="20"/>
          <w:szCs w:val="20"/>
          <w:u w:val="single" w:color="auto"/>
          <w:color w:val="0B0B0B"/>
        </w:rPr>
        <w:t>Section 6</w:t>
      </w:r>
      <w:r>
        <w:rPr>
          <w:rFonts w:ascii="Arial" w:cs="Arial" w:eastAsia="Arial" w:hAnsi="Arial"/>
          <w:sz w:val="20"/>
          <w:szCs w:val="20"/>
          <w:color w:val="0B0B0B"/>
        </w:rPr>
        <w:t>, whether on such Redemption Date or thereafter.</w:t>
      </w:r>
    </w:p>
    <w:p>
      <w:pPr>
        <w:spacing w:after="0" w:line="127" w:lineRule="exact"/>
        <w:rPr>
          <w:sz w:val="20"/>
          <w:szCs w:val="20"/>
          <w:color w:val="auto"/>
        </w:rPr>
      </w:pPr>
    </w:p>
    <w:p>
      <w:pPr>
        <w:jc w:val="both"/>
        <w:ind w:firstLine="1944"/>
        <w:spacing w:after="0" w:line="258" w:lineRule="auto"/>
        <w:rPr>
          <w:sz w:val="20"/>
          <w:szCs w:val="20"/>
          <w:color w:val="auto"/>
        </w:rPr>
      </w:pPr>
      <w:r>
        <w:rPr>
          <w:rFonts w:ascii="Arial" w:cs="Arial" w:eastAsia="Arial" w:hAnsi="Arial"/>
          <w:sz w:val="21"/>
          <w:szCs w:val="21"/>
          <w:color w:val="0B0B0B"/>
        </w:rPr>
        <w:t>6</w:t>
      </w:r>
      <w:r>
        <w:rPr>
          <w:rFonts w:ascii="Arial" w:cs="Arial" w:eastAsia="Arial" w:hAnsi="Arial"/>
          <w:sz w:val="21"/>
          <w:szCs w:val="21"/>
          <w:color w:val="1F1F1F"/>
        </w:rPr>
        <w:t>.</w:t>
      </w:r>
      <w:r>
        <w:rPr>
          <w:rFonts w:ascii="Arial" w:cs="Arial" w:eastAsia="Arial" w:hAnsi="Arial"/>
          <w:sz w:val="21"/>
          <w:szCs w:val="21"/>
          <w:color w:val="0B0B0B"/>
        </w:rPr>
        <w:t xml:space="preserve">3 </w:t>
      </w:r>
      <w:r>
        <w:rPr>
          <w:rFonts w:ascii="Arial" w:cs="Arial" w:eastAsia="Arial" w:hAnsi="Arial"/>
          <w:sz w:val="21"/>
          <w:szCs w:val="21"/>
          <w:u w:val="single" w:color="auto"/>
          <w:color w:val="0B0B0B"/>
        </w:rPr>
        <w:t>Surrender of Certificates</w:t>
      </w:r>
      <w:r>
        <w:rPr>
          <w:rFonts w:ascii="Arial" w:cs="Arial" w:eastAsia="Arial" w:hAnsi="Arial"/>
          <w:sz w:val="21"/>
          <w:szCs w:val="21"/>
          <w:u w:val="single" w:color="auto"/>
          <w:color w:val="1F1F1F"/>
        </w:rPr>
        <w:t>;</w:t>
      </w:r>
      <w:r>
        <w:rPr>
          <w:rFonts w:ascii="Arial" w:cs="Arial" w:eastAsia="Arial" w:hAnsi="Arial"/>
          <w:sz w:val="21"/>
          <w:szCs w:val="21"/>
          <w:color w:val="0B0B0B"/>
        </w:rPr>
        <w:t xml:space="preserve"> </w:t>
      </w:r>
      <w:r>
        <w:rPr>
          <w:rFonts w:ascii="Arial" w:cs="Arial" w:eastAsia="Arial" w:hAnsi="Arial"/>
          <w:sz w:val="21"/>
          <w:szCs w:val="21"/>
          <w:u w:val="single" w:color="auto"/>
          <w:color w:val="0B0B0B"/>
        </w:rPr>
        <w:t>Payment</w:t>
      </w:r>
      <w:r>
        <w:rPr>
          <w:rFonts w:ascii="Arial" w:cs="Arial" w:eastAsia="Arial" w:hAnsi="Arial"/>
          <w:sz w:val="21"/>
          <w:szCs w:val="21"/>
          <w:color w:val="0B0B0B"/>
        </w:rPr>
        <w:t>. On or before the applicable Redempti</w:t>
      </w:r>
      <w:r>
        <w:rPr>
          <w:rFonts w:ascii="Arial" w:cs="Arial" w:eastAsia="Arial" w:hAnsi="Arial"/>
          <w:sz w:val="21"/>
          <w:szCs w:val="21"/>
          <w:color w:val="1F1F1F"/>
        </w:rPr>
        <w:t>o</w:t>
      </w:r>
      <w:r>
        <w:rPr>
          <w:rFonts w:ascii="Arial" w:cs="Arial" w:eastAsia="Arial" w:hAnsi="Arial"/>
          <w:sz w:val="21"/>
          <w:szCs w:val="21"/>
          <w:color w:val="0B0B0B"/>
        </w:rPr>
        <w:t xml:space="preserve">n Date, each holder of shares of Series A Preferred Stock to be redeemed on </w:t>
      </w:r>
      <w:r>
        <w:rPr>
          <w:rFonts w:ascii="Arial" w:cs="Arial" w:eastAsia="Arial" w:hAnsi="Arial"/>
          <w:sz w:val="21"/>
          <w:szCs w:val="21"/>
          <w:color w:val="1F1F1F"/>
        </w:rPr>
        <w:t>s</w:t>
      </w:r>
      <w:r>
        <w:rPr>
          <w:rFonts w:ascii="Arial" w:cs="Arial" w:eastAsia="Arial" w:hAnsi="Arial"/>
          <w:sz w:val="21"/>
          <w:szCs w:val="21"/>
          <w:color w:val="0B0B0B"/>
        </w:rPr>
        <w:t>uch Redemption Date</w:t>
      </w:r>
      <w:r>
        <w:rPr>
          <w:rFonts w:ascii="Arial" w:cs="Arial" w:eastAsia="Arial" w:hAnsi="Arial"/>
          <w:sz w:val="21"/>
          <w:szCs w:val="21"/>
          <w:color w:val="1F1F1F"/>
        </w:rPr>
        <w:t>,</w:t>
      </w:r>
      <w:r>
        <w:rPr>
          <w:rFonts w:ascii="Arial" w:cs="Arial" w:eastAsia="Arial" w:hAnsi="Arial"/>
          <w:sz w:val="21"/>
          <w:szCs w:val="21"/>
          <w:color w:val="0B0B0B"/>
        </w:rPr>
        <w:t xml:space="preserve"> unless such holder has exercised hi</w:t>
      </w:r>
      <w:r>
        <w:rPr>
          <w:rFonts w:ascii="Arial" w:cs="Arial" w:eastAsia="Arial" w:hAnsi="Arial"/>
          <w:sz w:val="21"/>
          <w:szCs w:val="21"/>
          <w:color w:val="1F1F1F"/>
        </w:rPr>
        <w:t>s,</w:t>
      </w:r>
      <w:r>
        <w:rPr>
          <w:rFonts w:ascii="Arial" w:cs="Arial" w:eastAsia="Arial" w:hAnsi="Arial"/>
          <w:sz w:val="21"/>
          <w:szCs w:val="21"/>
          <w:color w:val="0B0B0B"/>
        </w:rPr>
        <w:t xml:space="preserve"> her or its right to convert such shares a</w:t>
      </w:r>
      <w:r>
        <w:rPr>
          <w:rFonts w:ascii="Arial" w:cs="Arial" w:eastAsia="Arial" w:hAnsi="Arial"/>
          <w:sz w:val="21"/>
          <w:szCs w:val="21"/>
          <w:color w:val="1F1F1F"/>
        </w:rPr>
        <w:t>s</w:t>
      </w:r>
      <w:r>
        <w:rPr>
          <w:rFonts w:ascii="Arial" w:cs="Arial" w:eastAsia="Arial" w:hAnsi="Arial"/>
          <w:sz w:val="21"/>
          <w:szCs w:val="21"/>
          <w:color w:val="0B0B0B"/>
        </w:rPr>
        <w:t xml:space="preserve"> provided in </w:t>
      </w:r>
      <w:r>
        <w:rPr>
          <w:rFonts w:ascii="Arial" w:cs="Arial" w:eastAsia="Arial" w:hAnsi="Arial"/>
          <w:sz w:val="21"/>
          <w:szCs w:val="21"/>
          <w:u w:val="single" w:color="auto"/>
          <w:color w:val="0B0B0B"/>
        </w:rPr>
        <w:t>Section 4</w:t>
      </w:r>
      <w:r>
        <w:rPr>
          <w:rFonts w:ascii="Arial" w:cs="Arial" w:eastAsia="Arial" w:hAnsi="Arial"/>
          <w:sz w:val="21"/>
          <w:szCs w:val="21"/>
          <w:color w:val="1F1F1F"/>
        </w:rPr>
        <w:t>,</w:t>
      </w:r>
      <w:r>
        <w:rPr>
          <w:rFonts w:ascii="Arial" w:cs="Arial" w:eastAsia="Arial" w:hAnsi="Arial"/>
          <w:sz w:val="21"/>
          <w:szCs w:val="21"/>
          <w:color w:val="0B0B0B"/>
        </w:rPr>
        <w:t xml:space="preserve"> shall, if a holder of shares in certificated form</w:t>
      </w:r>
      <w:r>
        <w:rPr>
          <w:rFonts w:ascii="Arial" w:cs="Arial" w:eastAsia="Arial" w:hAnsi="Arial"/>
          <w:sz w:val="21"/>
          <w:szCs w:val="21"/>
          <w:color w:val="1F1F1F"/>
        </w:rPr>
        <w:t>,</w:t>
      </w:r>
      <w:r>
        <w:rPr>
          <w:rFonts w:ascii="Arial" w:cs="Arial" w:eastAsia="Arial" w:hAnsi="Arial"/>
          <w:sz w:val="21"/>
          <w:szCs w:val="21"/>
          <w:color w:val="0B0B0B"/>
        </w:rPr>
        <w:t xml:space="preserve"> surrender the certificate or certificates representing such </w:t>
      </w:r>
      <w:r>
        <w:rPr>
          <w:rFonts w:ascii="Arial" w:cs="Arial" w:eastAsia="Arial" w:hAnsi="Arial"/>
          <w:sz w:val="21"/>
          <w:szCs w:val="21"/>
          <w:color w:val="1F1F1F"/>
        </w:rPr>
        <w:t>s</w:t>
      </w:r>
      <w:r>
        <w:rPr>
          <w:rFonts w:ascii="Arial" w:cs="Arial" w:eastAsia="Arial" w:hAnsi="Arial"/>
          <w:sz w:val="21"/>
          <w:szCs w:val="21"/>
          <w:color w:val="0B0B0B"/>
        </w:rPr>
        <w:t>hare</w:t>
      </w:r>
      <w:r>
        <w:rPr>
          <w:rFonts w:ascii="Arial" w:cs="Arial" w:eastAsia="Arial" w:hAnsi="Arial"/>
          <w:sz w:val="21"/>
          <w:szCs w:val="21"/>
          <w:color w:val="1F1F1F"/>
        </w:rPr>
        <w:t>s</w:t>
      </w:r>
      <w:r>
        <w:rPr>
          <w:rFonts w:ascii="Arial" w:cs="Arial" w:eastAsia="Arial" w:hAnsi="Arial"/>
          <w:sz w:val="21"/>
          <w:szCs w:val="21"/>
          <w:color w:val="0B0B0B"/>
        </w:rPr>
        <w:t xml:space="preserve"> (or, if such registered holder alleges that such certificate has been lost, stolen or destro</w:t>
      </w:r>
      <w:r>
        <w:rPr>
          <w:rFonts w:ascii="Arial" w:cs="Arial" w:eastAsia="Arial" w:hAnsi="Arial"/>
          <w:sz w:val="21"/>
          <w:szCs w:val="21"/>
          <w:color w:val="1F1F1F"/>
        </w:rPr>
        <w:t>y</w:t>
      </w:r>
      <w:r>
        <w:rPr>
          <w:rFonts w:ascii="Arial" w:cs="Arial" w:eastAsia="Arial" w:hAnsi="Arial"/>
          <w:sz w:val="21"/>
          <w:szCs w:val="21"/>
          <w:color w:val="0B0B0B"/>
        </w:rPr>
        <w:t>ed, a lost certific</w:t>
      </w:r>
      <w:r>
        <w:rPr>
          <w:rFonts w:ascii="Arial" w:cs="Arial" w:eastAsia="Arial" w:hAnsi="Arial"/>
          <w:sz w:val="21"/>
          <w:szCs w:val="21"/>
          <w:color w:val="1F1F1F"/>
        </w:rPr>
        <w:t>a</w:t>
      </w:r>
      <w:r>
        <w:rPr>
          <w:rFonts w:ascii="Arial" w:cs="Arial" w:eastAsia="Arial" w:hAnsi="Arial"/>
          <w:sz w:val="21"/>
          <w:szCs w:val="21"/>
          <w:color w:val="0B0B0B"/>
        </w:rPr>
        <w:t>te affidavit and agreement reasonably acceptable to the Corporation to indemnify the Corporation against any claim that may be made against the Corporation on account of the alleged lo</w:t>
      </w:r>
      <w:r>
        <w:rPr>
          <w:rFonts w:ascii="Arial" w:cs="Arial" w:eastAsia="Arial" w:hAnsi="Arial"/>
          <w:sz w:val="21"/>
          <w:szCs w:val="21"/>
          <w:color w:val="1F1F1F"/>
        </w:rPr>
        <w:t>s</w:t>
      </w:r>
      <w:r>
        <w:rPr>
          <w:rFonts w:ascii="Arial" w:cs="Arial" w:eastAsia="Arial" w:hAnsi="Arial"/>
          <w:sz w:val="21"/>
          <w:szCs w:val="21"/>
          <w:color w:val="0B0B0B"/>
        </w:rPr>
        <w:t>s, theft or destruction of such certificate) to the Corporation</w:t>
      </w:r>
      <w:r>
        <w:rPr>
          <w:rFonts w:ascii="Arial" w:cs="Arial" w:eastAsia="Arial" w:hAnsi="Arial"/>
          <w:sz w:val="21"/>
          <w:szCs w:val="21"/>
          <w:color w:val="1F1F1F"/>
        </w:rPr>
        <w:t>,</w:t>
      </w:r>
      <w:r>
        <w:rPr>
          <w:rFonts w:ascii="Arial" w:cs="Arial" w:eastAsia="Arial" w:hAnsi="Arial"/>
          <w:sz w:val="21"/>
          <w:szCs w:val="21"/>
          <w:color w:val="0B0B0B"/>
        </w:rPr>
        <w:t xml:space="preserve"> in the manner and at the place designated in the Redemption Notice, and thereupon the Redemp</w:t>
      </w:r>
      <w:r>
        <w:rPr>
          <w:rFonts w:ascii="Arial" w:cs="Arial" w:eastAsia="Arial" w:hAnsi="Arial"/>
          <w:sz w:val="21"/>
          <w:szCs w:val="21"/>
          <w:color w:val="1F1F1F"/>
        </w:rPr>
        <w:t>t</w:t>
      </w:r>
      <w:r>
        <w:rPr>
          <w:rFonts w:ascii="Arial" w:cs="Arial" w:eastAsia="Arial" w:hAnsi="Arial"/>
          <w:sz w:val="21"/>
          <w:szCs w:val="21"/>
          <w:color w:val="0B0B0B"/>
        </w:rPr>
        <w:t>ion Price for such shares shall be pa</w:t>
      </w:r>
      <w:r>
        <w:rPr>
          <w:rFonts w:ascii="Arial" w:cs="Arial" w:eastAsia="Arial" w:hAnsi="Arial"/>
          <w:sz w:val="21"/>
          <w:szCs w:val="21"/>
          <w:color w:val="1F1F1F"/>
        </w:rPr>
        <w:t>y</w:t>
      </w:r>
      <w:r>
        <w:rPr>
          <w:rFonts w:ascii="Arial" w:cs="Arial" w:eastAsia="Arial" w:hAnsi="Arial"/>
          <w:sz w:val="21"/>
          <w:szCs w:val="21"/>
          <w:color w:val="0B0B0B"/>
        </w:rPr>
        <w:t>able to the order of the person whose name app</w:t>
      </w:r>
      <w:r>
        <w:rPr>
          <w:rFonts w:ascii="Arial" w:cs="Arial" w:eastAsia="Arial" w:hAnsi="Arial"/>
          <w:sz w:val="21"/>
          <w:szCs w:val="21"/>
          <w:color w:val="1F1F1F"/>
        </w:rPr>
        <w:t>e</w:t>
      </w:r>
      <w:r>
        <w:rPr>
          <w:rFonts w:ascii="Arial" w:cs="Arial" w:eastAsia="Arial" w:hAnsi="Arial"/>
          <w:sz w:val="21"/>
          <w:szCs w:val="21"/>
          <w:color w:val="0B0B0B"/>
        </w:rPr>
        <w:t>ars on such certificate or certifica</w:t>
      </w:r>
      <w:r>
        <w:rPr>
          <w:rFonts w:ascii="Arial" w:cs="Arial" w:eastAsia="Arial" w:hAnsi="Arial"/>
          <w:sz w:val="21"/>
          <w:szCs w:val="21"/>
          <w:color w:val="1F1F1F"/>
        </w:rPr>
        <w:t>t</w:t>
      </w:r>
      <w:r>
        <w:rPr>
          <w:rFonts w:ascii="Arial" w:cs="Arial" w:eastAsia="Arial" w:hAnsi="Arial"/>
          <w:sz w:val="21"/>
          <w:szCs w:val="21"/>
          <w:color w:val="0B0B0B"/>
        </w:rPr>
        <w:t xml:space="preserve">es as the owner thereof. In the event less than all of the shares of Series A Preferred Stock </w:t>
      </w:r>
      <w:r>
        <w:rPr>
          <w:rFonts w:ascii="Arial" w:cs="Arial" w:eastAsia="Arial" w:hAnsi="Arial"/>
          <w:sz w:val="21"/>
          <w:szCs w:val="21"/>
          <w:color w:val="1F1F1F"/>
        </w:rPr>
        <w:t>r</w:t>
      </w:r>
      <w:r>
        <w:rPr>
          <w:rFonts w:ascii="Arial" w:cs="Arial" w:eastAsia="Arial" w:hAnsi="Arial"/>
          <w:sz w:val="21"/>
          <w:szCs w:val="21"/>
          <w:color w:val="0B0B0B"/>
        </w:rPr>
        <w:t>epresented by a certificate are redeemed</w:t>
      </w:r>
      <w:r>
        <w:rPr>
          <w:rFonts w:ascii="Arial" w:cs="Arial" w:eastAsia="Arial" w:hAnsi="Arial"/>
          <w:sz w:val="21"/>
          <w:szCs w:val="21"/>
          <w:color w:val="1F1F1F"/>
        </w:rPr>
        <w:t>,</w:t>
      </w:r>
      <w:r>
        <w:rPr>
          <w:rFonts w:ascii="Arial" w:cs="Arial" w:eastAsia="Arial" w:hAnsi="Arial"/>
          <w:sz w:val="21"/>
          <w:szCs w:val="21"/>
          <w:color w:val="0B0B0B"/>
        </w:rPr>
        <w:t xml:space="preserve"> a new certifica</w:t>
      </w:r>
      <w:r>
        <w:rPr>
          <w:rFonts w:ascii="Arial" w:cs="Arial" w:eastAsia="Arial" w:hAnsi="Arial"/>
          <w:sz w:val="21"/>
          <w:szCs w:val="21"/>
          <w:color w:val="1F1F1F"/>
        </w:rPr>
        <w:t>t</w:t>
      </w:r>
      <w:r>
        <w:rPr>
          <w:rFonts w:ascii="Arial" w:cs="Arial" w:eastAsia="Arial" w:hAnsi="Arial"/>
          <w:sz w:val="21"/>
          <w:szCs w:val="21"/>
          <w:color w:val="0B0B0B"/>
        </w:rPr>
        <w:t>e</w:t>
      </w:r>
      <w:r>
        <w:rPr>
          <w:rFonts w:ascii="Arial" w:cs="Arial" w:eastAsia="Arial" w:hAnsi="Arial"/>
          <w:sz w:val="21"/>
          <w:szCs w:val="21"/>
          <w:color w:val="1F1F1F"/>
        </w:rPr>
        <w:t>,</w:t>
      </w:r>
      <w:r>
        <w:rPr>
          <w:rFonts w:ascii="Arial" w:cs="Arial" w:eastAsia="Arial" w:hAnsi="Arial"/>
          <w:sz w:val="21"/>
          <w:szCs w:val="21"/>
          <w:color w:val="0B0B0B"/>
        </w:rPr>
        <w:t xml:space="preserve"> in</w:t>
      </w:r>
      <w:r>
        <w:rPr>
          <w:rFonts w:ascii="Arial" w:cs="Arial" w:eastAsia="Arial" w:hAnsi="Arial"/>
          <w:sz w:val="21"/>
          <w:szCs w:val="21"/>
          <w:color w:val="1F1F1F"/>
        </w:rPr>
        <w:t>s</w:t>
      </w:r>
      <w:r>
        <w:rPr>
          <w:rFonts w:ascii="Arial" w:cs="Arial" w:eastAsia="Arial" w:hAnsi="Arial"/>
          <w:sz w:val="21"/>
          <w:szCs w:val="21"/>
          <w:color w:val="0B0B0B"/>
        </w:rPr>
        <w:t>trument</w:t>
      </w:r>
      <w:r>
        <w:rPr>
          <w:rFonts w:ascii="Arial" w:cs="Arial" w:eastAsia="Arial" w:hAnsi="Arial"/>
          <w:sz w:val="21"/>
          <w:szCs w:val="21"/>
          <w:color w:val="1F1F1F"/>
        </w:rPr>
        <w:t>,</w:t>
      </w:r>
      <w:r>
        <w:rPr>
          <w:rFonts w:ascii="Arial" w:cs="Arial" w:eastAsia="Arial" w:hAnsi="Arial"/>
          <w:sz w:val="21"/>
          <w:szCs w:val="21"/>
          <w:color w:val="0B0B0B"/>
        </w:rPr>
        <w:t xml:space="preserve"> or book entry representing the unredeemed shares of Serie</w:t>
      </w:r>
      <w:r>
        <w:rPr>
          <w:rFonts w:ascii="Arial" w:cs="Arial" w:eastAsia="Arial" w:hAnsi="Arial"/>
          <w:sz w:val="21"/>
          <w:szCs w:val="21"/>
          <w:color w:val="1F1F1F"/>
        </w:rPr>
        <w:t>s</w:t>
      </w:r>
      <w:r>
        <w:rPr>
          <w:rFonts w:ascii="Arial" w:cs="Arial" w:eastAsia="Arial" w:hAnsi="Arial"/>
          <w:sz w:val="21"/>
          <w:szCs w:val="21"/>
          <w:color w:val="0B0B0B"/>
        </w:rPr>
        <w:t xml:space="preserve"> A Preferred Stock shall promptly be issued to such holder.</w:t>
      </w:r>
    </w:p>
    <w:p>
      <w:pPr>
        <w:spacing w:after="0" w:line="128" w:lineRule="exact"/>
        <w:rPr>
          <w:sz w:val="20"/>
          <w:szCs w:val="20"/>
          <w:color w:val="auto"/>
        </w:rPr>
      </w:pPr>
    </w:p>
    <w:p>
      <w:pPr>
        <w:jc w:val="both"/>
        <w:ind w:firstLine="1944"/>
        <w:spacing w:after="0" w:line="294" w:lineRule="auto"/>
        <w:rPr>
          <w:sz w:val="20"/>
          <w:szCs w:val="20"/>
          <w:color w:val="auto"/>
        </w:rPr>
      </w:pPr>
      <w:r>
        <w:rPr>
          <w:rFonts w:ascii="Arial" w:cs="Arial" w:eastAsia="Arial" w:hAnsi="Arial"/>
          <w:sz w:val="19"/>
          <w:szCs w:val="19"/>
          <w:color w:val="0B0B0B"/>
        </w:rPr>
        <w:t>6</w:t>
      </w:r>
      <w:r>
        <w:rPr>
          <w:rFonts w:ascii="Arial" w:cs="Arial" w:eastAsia="Arial" w:hAnsi="Arial"/>
          <w:sz w:val="19"/>
          <w:szCs w:val="19"/>
          <w:color w:val="1F1F1F"/>
        </w:rPr>
        <w:t>.</w:t>
      </w:r>
      <w:r>
        <w:rPr>
          <w:rFonts w:ascii="Arial" w:cs="Arial" w:eastAsia="Arial" w:hAnsi="Arial"/>
          <w:sz w:val="19"/>
          <w:szCs w:val="19"/>
          <w:color w:val="0B0B0B"/>
        </w:rPr>
        <w:t xml:space="preserve">4 </w:t>
      </w:r>
      <w:r>
        <w:rPr>
          <w:rFonts w:ascii="Arial" w:cs="Arial" w:eastAsia="Arial" w:hAnsi="Arial"/>
          <w:sz w:val="19"/>
          <w:szCs w:val="19"/>
          <w:u w:val="single" w:color="auto"/>
          <w:color w:val="0B0B0B"/>
        </w:rPr>
        <w:t>Rights Sub</w:t>
      </w:r>
      <w:r>
        <w:rPr>
          <w:rFonts w:ascii="Arial" w:cs="Arial" w:eastAsia="Arial" w:hAnsi="Arial"/>
          <w:sz w:val="19"/>
          <w:szCs w:val="19"/>
          <w:u w:val="single" w:color="auto"/>
          <w:color w:val="1F1F1F"/>
        </w:rPr>
        <w:t>s</w:t>
      </w:r>
      <w:r>
        <w:rPr>
          <w:rFonts w:ascii="Arial" w:cs="Arial" w:eastAsia="Arial" w:hAnsi="Arial"/>
          <w:sz w:val="19"/>
          <w:szCs w:val="19"/>
          <w:u w:val="single" w:color="auto"/>
          <w:color w:val="0B0B0B"/>
        </w:rPr>
        <w:t>equent to Redemption</w:t>
      </w:r>
      <w:r>
        <w:rPr>
          <w:rFonts w:ascii="Arial" w:cs="Arial" w:eastAsia="Arial" w:hAnsi="Arial"/>
          <w:sz w:val="19"/>
          <w:szCs w:val="19"/>
          <w:color w:val="0B0B0B"/>
        </w:rPr>
        <w:t xml:space="preserve">. If the Redemption </w:t>
      </w:r>
      <w:r>
        <w:rPr>
          <w:rFonts w:ascii="Arial" w:cs="Arial" w:eastAsia="Arial" w:hAnsi="Arial"/>
          <w:sz w:val="19"/>
          <w:szCs w:val="19"/>
          <w:color w:val="1F1F1F"/>
        </w:rPr>
        <w:t>N</w:t>
      </w:r>
      <w:r>
        <w:rPr>
          <w:rFonts w:ascii="Arial" w:cs="Arial" w:eastAsia="Arial" w:hAnsi="Arial"/>
          <w:sz w:val="19"/>
          <w:szCs w:val="19"/>
          <w:color w:val="0B0B0B"/>
        </w:rPr>
        <w:t>otice shall have been duly given</w:t>
      </w:r>
      <w:r>
        <w:rPr>
          <w:rFonts w:ascii="Arial" w:cs="Arial" w:eastAsia="Arial" w:hAnsi="Arial"/>
          <w:sz w:val="19"/>
          <w:szCs w:val="19"/>
          <w:color w:val="1F1F1F"/>
        </w:rPr>
        <w:t>,</w:t>
      </w:r>
      <w:r>
        <w:rPr>
          <w:rFonts w:ascii="Arial" w:cs="Arial" w:eastAsia="Arial" w:hAnsi="Arial"/>
          <w:sz w:val="19"/>
          <w:szCs w:val="19"/>
          <w:color w:val="0B0B0B"/>
        </w:rPr>
        <w:t xml:space="preserve"> and if on the applicable Redemption Date the Redemption Price payable upon redemption of the shares of Series A Pr</w:t>
      </w:r>
      <w:r>
        <w:rPr>
          <w:rFonts w:ascii="Arial" w:cs="Arial" w:eastAsia="Arial" w:hAnsi="Arial"/>
          <w:sz w:val="19"/>
          <w:szCs w:val="19"/>
          <w:color w:val="1F1F1F"/>
        </w:rPr>
        <w:t>e</w:t>
      </w:r>
      <w:r>
        <w:rPr>
          <w:rFonts w:ascii="Arial" w:cs="Arial" w:eastAsia="Arial" w:hAnsi="Arial"/>
          <w:sz w:val="19"/>
          <w:szCs w:val="19"/>
          <w:color w:val="0B0B0B"/>
        </w:rPr>
        <w:t>ferred Stock to b</w:t>
      </w:r>
      <w:r>
        <w:rPr>
          <w:rFonts w:ascii="Arial" w:cs="Arial" w:eastAsia="Arial" w:hAnsi="Arial"/>
          <w:sz w:val="19"/>
          <w:szCs w:val="19"/>
          <w:color w:val="1F1F1F"/>
        </w:rPr>
        <w:t>e</w:t>
      </w:r>
      <w:r>
        <w:rPr>
          <w:rFonts w:ascii="Arial" w:cs="Arial" w:eastAsia="Arial" w:hAnsi="Arial"/>
          <w:sz w:val="19"/>
          <w:szCs w:val="19"/>
          <w:color w:val="0B0B0B"/>
        </w:rPr>
        <w:t xml:space="preserve"> redeemed on such Redemption Dat</w:t>
      </w:r>
      <w:r>
        <w:rPr>
          <w:rFonts w:ascii="Arial" w:cs="Arial" w:eastAsia="Arial" w:hAnsi="Arial"/>
          <w:sz w:val="19"/>
          <w:szCs w:val="19"/>
          <w:color w:val="1F1F1F"/>
        </w:rPr>
        <w:t>e</w:t>
      </w:r>
      <w:r>
        <w:rPr>
          <w:rFonts w:ascii="Arial" w:cs="Arial" w:eastAsia="Arial" w:hAnsi="Arial"/>
          <w:sz w:val="19"/>
          <w:szCs w:val="19"/>
          <w:color w:val="0B0B0B"/>
        </w:rPr>
        <w:t xml:space="preserve"> is paid </w:t>
      </w:r>
      <w:r>
        <w:rPr>
          <w:rFonts w:ascii="Arial" w:cs="Arial" w:eastAsia="Arial" w:hAnsi="Arial"/>
          <w:sz w:val="19"/>
          <w:szCs w:val="19"/>
          <w:color w:val="1F1F1F"/>
        </w:rPr>
        <w:t>o</w:t>
      </w:r>
      <w:r>
        <w:rPr>
          <w:rFonts w:ascii="Arial" w:cs="Arial" w:eastAsia="Arial" w:hAnsi="Arial"/>
          <w:sz w:val="19"/>
          <w:szCs w:val="19"/>
          <w:color w:val="0B0B0B"/>
        </w:rPr>
        <w:t>r tendered for payment or d</w:t>
      </w:r>
      <w:r>
        <w:rPr>
          <w:rFonts w:ascii="Arial" w:cs="Arial" w:eastAsia="Arial" w:hAnsi="Arial"/>
          <w:sz w:val="19"/>
          <w:szCs w:val="19"/>
          <w:color w:val="1F1F1F"/>
        </w:rPr>
        <w:t>e</w:t>
      </w:r>
      <w:r>
        <w:rPr>
          <w:rFonts w:ascii="Arial" w:cs="Arial" w:eastAsia="Arial" w:hAnsi="Arial"/>
          <w:sz w:val="19"/>
          <w:szCs w:val="19"/>
          <w:color w:val="0B0B0B"/>
        </w:rPr>
        <w:t>posit</w:t>
      </w:r>
      <w:r>
        <w:rPr>
          <w:rFonts w:ascii="Arial" w:cs="Arial" w:eastAsia="Arial" w:hAnsi="Arial"/>
          <w:sz w:val="19"/>
          <w:szCs w:val="19"/>
          <w:color w:val="1F1F1F"/>
        </w:rPr>
        <w:t>e</w:t>
      </w:r>
      <w:r>
        <w:rPr>
          <w:rFonts w:ascii="Arial" w:cs="Arial" w:eastAsia="Arial" w:hAnsi="Arial"/>
          <w:sz w:val="19"/>
          <w:szCs w:val="19"/>
          <w:color w:val="0B0B0B"/>
        </w:rPr>
        <w:t xml:space="preserve">d with an independent payment agent </w:t>
      </w:r>
      <w:r>
        <w:rPr>
          <w:rFonts w:ascii="Arial" w:cs="Arial" w:eastAsia="Arial" w:hAnsi="Arial"/>
          <w:sz w:val="19"/>
          <w:szCs w:val="19"/>
          <w:color w:val="1F1F1F"/>
        </w:rPr>
        <w:t>s</w:t>
      </w:r>
      <w:r>
        <w:rPr>
          <w:rFonts w:ascii="Arial" w:cs="Arial" w:eastAsia="Arial" w:hAnsi="Arial"/>
          <w:sz w:val="19"/>
          <w:szCs w:val="19"/>
          <w:color w:val="0B0B0B"/>
        </w:rPr>
        <w:t>o as to be available ther</w:t>
      </w:r>
      <w:r>
        <w:rPr>
          <w:rFonts w:ascii="Arial" w:cs="Arial" w:eastAsia="Arial" w:hAnsi="Arial"/>
          <w:sz w:val="19"/>
          <w:szCs w:val="19"/>
          <w:color w:val="1F1F1F"/>
        </w:rPr>
        <w:t>e</w:t>
      </w:r>
      <w:r>
        <w:rPr>
          <w:rFonts w:ascii="Arial" w:cs="Arial" w:eastAsia="Arial" w:hAnsi="Arial"/>
          <w:sz w:val="19"/>
          <w:szCs w:val="19"/>
          <w:color w:val="0B0B0B"/>
        </w:rPr>
        <w:t>for in a timely m</w:t>
      </w:r>
      <w:r>
        <w:rPr>
          <w:rFonts w:ascii="Arial" w:cs="Arial" w:eastAsia="Arial" w:hAnsi="Arial"/>
          <w:sz w:val="19"/>
          <w:szCs w:val="19"/>
          <w:color w:val="1F1F1F"/>
        </w:rPr>
        <w:t>a</w:t>
      </w:r>
      <w:r>
        <w:rPr>
          <w:rFonts w:ascii="Arial" w:cs="Arial" w:eastAsia="Arial" w:hAnsi="Arial"/>
          <w:sz w:val="19"/>
          <w:szCs w:val="19"/>
          <w:color w:val="0B0B0B"/>
        </w:rPr>
        <w:t xml:space="preserve">nner, then notwithstanding that any certificates evidencing any </w:t>
      </w:r>
      <w:r>
        <w:rPr>
          <w:rFonts w:ascii="Arial" w:cs="Arial" w:eastAsia="Arial" w:hAnsi="Arial"/>
          <w:sz w:val="19"/>
          <w:szCs w:val="19"/>
          <w:color w:val="1F1F1F"/>
        </w:rPr>
        <w:t>o</w:t>
      </w:r>
      <w:r>
        <w:rPr>
          <w:rFonts w:ascii="Arial" w:cs="Arial" w:eastAsia="Arial" w:hAnsi="Arial"/>
          <w:sz w:val="19"/>
          <w:szCs w:val="19"/>
          <w:color w:val="0B0B0B"/>
        </w:rPr>
        <w:t>f the sh</w:t>
      </w:r>
      <w:r>
        <w:rPr>
          <w:rFonts w:ascii="Arial" w:cs="Arial" w:eastAsia="Arial" w:hAnsi="Arial"/>
          <w:sz w:val="19"/>
          <w:szCs w:val="19"/>
          <w:color w:val="1F1F1F"/>
        </w:rPr>
        <w:t>a</w:t>
      </w:r>
      <w:r>
        <w:rPr>
          <w:rFonts w:ascii="Arial" w:cs="Arial" w:eastAsia="Arial" w:hAnsi="Arial"/>
          <w:sz w:val="19"/>
          <w:szCs w:val="19"/>
          <w:color w:val="0B0B0B"/>
        </w:rPr>
        <w:t>res of Serie</w:t>
      </w:r>
      <w:r>
        <w:rPr>
          <w:rFonts w:ascii="Arial" w:cs="Arial" w:eastAsia="Arial" w:hAnsi="Arial"/>
          <w:sz w:val="19"/>
          <w:szCs w:val="19"/>
          <w:color w:val="1F1F1F"/>
        </w:rPr>
        <w:t>s</w:t>
      </w:r>
      <w:r>
        <w:rPr>
          <w:rFonts w:ascii="Arial" w:cs="Arial" w:eastAsia="Arial" w:hAnsi="Arial"/>
          <w:sz w:val="19"/>
          <w:szCs w:val="19"/>
          <w:color w:val="0B0B0B"/>
        </w:rPr>
        <w:t xml:space="preserve"> A Preferred Stock so called for redemption shall not have been surrendered</w:t>
      </w:r>
      <w:r>
        <w:rPr>
          <w:rFonts w:ascii="Arial" w:cs="Arial" w:eastAsia="Arial" w:hAnsi="Arial"/>
          <w:sz w:val="19"/>
          <w:szCs w:val="19"/>
          <w:color w:val="1F1F1F"/>
        </w:rPr>
        <w:t>,</w:t>
      </w:r>
      <w:r>
        <w:rPr>
          <w:rFonts w:ascii="Arial" w:cs="Arial" w:eastAsia="Arial" w:hAnsi="Arial"/>
          <w:sz w:val="19"/>
          <w:szCs w:val="19"/>
          <w:color w:val="0B0B0B"/>
        </w:rPr>
        <w:t xml:space="preserve"> dividends with re</w:t>
      </w:r>
      <w:r>
        <w:rPr>
          <w:rFonts w:ascii="Arial" w:cs="Arial" w:eastAsia="Arial" w:hAnsi="Arial"/>
          <w:sz w:val="19"/>
          <w:szCs w:val="19"/>
          <w:color w:val="1F1F1F"/>
        </w:rPr>
        <w:t>s</w:t>
      </w:r>
      <w:r>
        <w:rPr>
          <w:rFonts w:ascii="Arial" w:cs="Arial" w:eastAsia="Arial" w:hAnsi="Arial"/>
          <w:sz w:val="19"/>
          <w:szCs w:val="19"/>
          <w:color w:val="0B0B0B"/>
        </w:rPr>
        <w:t xml:space="preserve">pect to such </w:t>
      </w:r>
      <w:r>
        <w:rPr>
          <w:rFonts w:ascii="Arial" w:cs="Arial" w:eastAsia="Arial" w:hAnsi="Arial"/>
          <w:sz w:val="19"/>
          <w:szCs w:val="19"/>
          <w:color w:val="1F1F1F"/>
        </w:rPr>
        <w:t>s</w:t>
      </w:r>
      <w:r>
        <w:rPr>
          <w:rFonts w:ascii="Arial" w:cs="Arial" w:eastAsia="Arial" w:hAnsi="Arial"/>
          <w:sz w:val="19"/>
          <w:szCs w:val="19"/>
          <w:color w:val="0B0B0B"/>
        </w:rPr>
        <w:t>h</w:t>
      </w:r>
      <w:r>
        <w:rPr>
          <w:rFonts w:ascii="Arial" w:cs="Arial" w:eastAsia="Arial" w:hAnsi="Arial"/>
          <w:sz w:val="19"/>
          <w:szCs w:val="19"/>
          <w:color w:val="1F1F1F"/>
        </w:rPr>
        <w:t>a</w:t>
      </w:r>
      <w:r>
        <w:rPr>
          <w:rFonts w:ascii="Arial" w:cs="Arial" w:eastAsia="Arial" w:hAnsi="Arial"/>
          <w:sz w:val="19"/>
          <w:szCs w:val="19"/>
          <w:color w:val="0B0B0B"/>
        </w:rPr>
        <w:t>re</w:t>
      </w:r>
      <w:r>
        <w:rPr>
          <w:rFonts w:ascii="Arial" w:cs="Arial" w:eastAsia="Arial" w:hAnsi="Arial"/>
          <w:sz w:val="19"/>
          <w:szCs w:val="19"/>
          <w:color w:val="1F1F1F"/>
        </w:rPr>
        <w:t>s</w:t>
      </w:r>
      <w:r>
        <w:rPr>
          <w:rFonts w:ascii="Arial" w:cs="Arial" w:eastAsia="Arial" w:hAnsi="Arial"/>
          <w:sz w:val="19"/>
          <w:szCs w:val="19"/>
          <w:color w:val="0B0B0B"/>
        </w:rPr>
        <w:t xml:space="preserve"> of S</w:t>
      </w:r>
      <w:r>
        <w:rPr>
          <w:rFonts w:ascii="Arial" w:cs="Arial" w:eastAsia="Arial" w:hAnsi="Arial"/>
          <w:sz w:val="19"/>
          <w:szCs w:val="19"/>
          <w:color w:val="1F1F1F"/>
        </w:rPr>
        <w:t>e</w:t>
      </w:r>
      <w:r>
        <w:rPr>
          <w:rFonts w:ascii="Arial" w:cs="Arial" w:eastAsia="Arial" w:hAnsi="Arial"/>
          <w:sz w:val="19"/>
          <w:szCs w:val="19"/>
          <w:color w:val="0B0B0B"/>
        </w:rPr>
        <w:t xml:space="preserve">ries A Preferred Stock </w:t>
      </w:r>
      <w:r>
        <w:rPr>
          <w:rFonts w:ascii="Arial" w:cs="Arial" w:eastAsia="Arial" w:hAnsi="Arial"/>
          <w:sz w:val="19"/>
          <w:szCs w:val="19"/>
          <w:color w:val="1F1F1F"/>
        </w:rPr>
        <w:t>s</w:t>
      </w:r>
      <w:r>
        <w:rPr>
          <w:rFonts w:ascii="Arial" w:cs="Arial" w:eastAsia="Arial" w:hAnsi="Arial"/>
          <w:sz w:val="19"/>
          <w:szCs w:val="19"/>
          <w:color w:val="0B0B0B"/>
        </w:rPr>
        <w:t>hall cea</w:t>
      </w:r>
      <w:r>
        <w:rPr>
          <w:rFonts w:ascii="Arial" w:cs="Arial" w:eastAsia="Arial" w:hAnsi="Arial"/>
          <w:sz w:val="19"/>
          <w:szCs w:val="19"/>
          <w:color w:val="1F1F1F"/>
        </w:rPr>
        <w:t>s</w:t>
      </w:r>
      <w:r>
        <w:rPr>
          <w:rFonts w:ascii="Arial" w:cs="Arial" w:eastAsia="Arial" w:hAnsi="Arial"/>
          <w:sz w:val="19"/>
          <w:szCs w:val="19"/>
          <w:color w:val="0B0B0B"/>
        </w:rPr>
        <w:t>e to accrue after such Redemption Date and all righ</w:t>
      </w:r>
      <w:r>
        <w:rPr>
          <w:rFonts w:ascii="Arial" w:cs="Arial" w:eastAsia="Arial" w:hAnsi="Arial"/>
          <w:sz w:val="19"/>
          <w:szCs w:val="19"/>
          <w:color w:val="1F1F1F"/>
        </w:rPr>
        <w:t>t</w:t>
      </w:r>
      <w:r>
        <w:rPr>
          <w:rFonts w:ascii="Arial" w:cs="Arial" w:eastAsia="Arial" w:hAnsi="Arial"/>
          <w:sz w:val="19"/>
          <w:szCs w:val="19"/>
          <w:color w:val="0B0B0B"/>
        </w:rPr>
        <w:t xml:space="preserve">s with respect to such </w:t>
      </w:r>
      <w:r>
        <w:rPr>
          <w:rFonts w:ascii="Arial" w:cs="Arial" w:eastAsia="Arial" w:hAnsi="Arial"/>
          <w:sz w:val="19"/>
          <w:szCs w:val="19"/>
          <w:color w:val="1F1F1F"/>
        </w:rPr>
        <w:t>s</w:t>
      </w:r>
      <w:r>
        <w:rPr>
          <w:rFonts w:ascii="Arial" w:cs="Arial" w:eastAsia="Arial" w:hAnsi="Arial"/>
          <w:sz w:val="19"/>
          <w:szCs w:val="19"/>
          <w:color w:val="0B0B0B"/>
        </w:rPr>
        <w:t>hares shall forthwith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28" w:right="339" w:bottom="1440" w:gutter="0" w:footer="0" w:header="0"/>
        </w:sectPr>
      </w:pPr>
    </w:p>
    <w:bookmarkStart w:id="220" w:name="page221"/>
    <w:bookmarkEnd w:id="220"/>
    <w:p>
      <w:pPr>
        <w:spacing w:after="0" w:line="263" w:lineRule="auto"/>
        <w:rPr>
          <w:sz w:val="20"/>
          <w:szCs w:val="20"/>
          <w:color w:val="auto"/>
        </w:rPr>
      </w:pPr>
      <w:r>
        <w:rPr>
          <w:rFonts w:ascii="Arial" w:cs="Arial" w:eastAsia="Arial" w:hAnsi="Arial"/>
          <w:sz w:val="22"/>
          <w:szCs w:val="22"/>
          <w:color w:val="0B0B0B"/>
        </w:rPr>
        <w:t>the Redemption Date terminate</w:t>
      </w:r>
      <w:r>
        <w:rPr>
          <w:rFonts w:ascii="Arial" w:cs="Arial" w:eastAsia="Arial" w:hAnsi="Arial"/>
          <w:sz w:val="22"/>
          <w:szCs w:val="22"/>
          <w:color w:val="1F1F1F"/>
        </w:rPr>
        <w:t>,</w:t>
      </w:r>
      <w:r>
        <w:rPr>
          <w:rFonts w:ascii="Arial" w:cs="Arial" w:eastAsia="Arial" w:hAnsi="Arial"/>
          <w:sz w:val="22"/>
          <w:szCs w:val="22"/>
          <w:color w:val="0B0B0B"/>
        </w:rPr>
        <w:t xml:space="preserve"> except only the right of the holder</w:t>
      </w:r>
      <w:r>
        <w:rPr>
          <w:rFonts w:ascii="Arial" w:cs="Arial" w:eastAsia="Arial" w:hAnsi="Arial"/>
          <w:sz w:val="22"/>
          <w:szCs w:val="22"/>
          <w:color w:val="1F1F1F"/>
        </w:rPr>
        <w:t>s</w:t>
      </w:r>
      <w:r>
        <w:rPr>
          <w:rFonts w:ascii="Arial" w:cs="Arial" w:eastAsia="Arial" w:hAnsi="Arial"/>
          <w:sz w:val="22"/>
          <w:szCs w:val="22"/>
          <w:color w:val="0B0B0B"/>
        </w:rPr>
        <w:t xml:space="preserve"> to r</w:t>
      </w:r>
      <w:r>
        <w:rPr>
          <w:rFonts w:ascii="Arial" w:cs="Arial" w:eastAsia="Arial" w:hAnsi="Arial"/>
          <w:sz w:val="22"/>
          <w:szCs w:val="22"/>
          <w:color w:val="1F1F1F"/>
        </w:rPr>
        <w:t>e</w:t>
      </w:r>
      <w:r>
        <w:rPr>
          <w:rFonts w:ascii="Arial" w:cs="Arial" w:eastAsia="Arial" w:hAnsi="Arial"/>
          <w:sz w:val="22"/>
          <w:szCs w:val="22"/>
          <w:color w:val="0B0B0B"/>
        </w:rPr>
        <w:t>ceive the Redemption Price with</w:t>
      </w:r>
      <w:r>
        <w:rPr>
          <w:rFonts w:ascii="Arial" w:cs="Arial" w:eastAsia="Arial" w:hAnsi="Arial"/>
          <w:sz w:val="22"/>
          <w:szCs w:val="22"/>
          <w:color w:val="1F1F1F"/>
        </w:rPr>
        <w:t>o</w:t>
      </w:r>
      <w:r>
        <w:rPr>
          <w:rFonts w:ascii="Arial" w:cs="Arial" w:eastAsia="Arial" w:hAnsi="Arial"/>
          <w:sz w:val="22"/>
          <w:szCs w:val="22"/>
          <w:color w:val="0B0B0B"/>
        </w:rPr>
        <w:t>ut interest upon surrender of any such certificate or certificates therefor.</w:t>
      </w:r>
    </w:p>
    <w:p>
      <w:pPr>
        <w:spacing w:after="0" w:line="121" w:lineRule="exact"/>
        <w:rPr>
          <w:sz w:val="20"/>
          <w:szCs w:val="20"/>
          <w:color w:val="auto"/>
        </w:rPr>
      </w:pPr>
    </w:p>
    <w:p>
      <w:pPr>
        <w:jc w:val="both"/>
        <w:ind w:firstLine="1304"/>
        <w:spacing w:after="0" w:line="265" w:lineRule="auto"/>
        <w:tabs>
          <w:tab w:leader="none" w:pos="1809" w:val="left"/>
        </w:tabs>
        <w:numPr>
          <w:ilvl w:val="0"/>
          <w:numId w:val="165"/>
        </w:numPr>
        <w:rPr>
          <w:rFonts w:ascii="Arial" w:cs="Arial" w:eastAsia="Arial" w:hAnsi="Arial"/>
          <w:sz w:val="21"/>
          <w:szCs w:val="21"/>
          <w:color w:val="0B0B0B"/>
        </w:rPr>
      </w:pPr>
      <w:r>
        <w:rPr>
          <w:rFonts w:ascii="Arial" w:cs="Arial" w:eastAsia="Arial" w:hAnsi="Arial"/>
          <w:sz w:val="21"/>
          <w:szCs w:val="21"/>
          <w:u w:val="single" w:color="auto"/>
          <w:color w:val="0B0B0B"/>
        </w:rPr>
        <w:t>Redeemed or Otherwise Acquired Shares</w:t>
      </w:r>
      <w:r>
        <w:rPr>
          <w:rFonts w:ascii="Arial" w:cs="Arial" w:eastAsia="Arial" w:hAnsi="Arial"/>
          <w:sz w:val="21"/>
          <w:szCs w:val="21"/>
          <w:color w:val="1F1F1F"/>
        </w:rPr>
        <w:t>.</w:t>
      </w:r>
      <w:r>
        <w:rPr>
          <w:rFonts w:ascii="Arial" w:cs="Arial" w:eastAsia="Arial" w:hAnsi="Arial"/>
          <w:sz w:val="21"/>
          <w:szCs w:val="21"/>
          <w:color w:val="0B0B0B"/>
        </w:rPr>
        <w:t xml:space="preserve"> Any shares of Serie</w:t>
      </w:r>
      <w:r>
        <w:rPr>
          <w:rFonts w:ascii="Arial" w:cs="Arial" w:eastAsia="Arial" w:hAnsi="Arial"/>
          <w:sz w:val="21"/>
          <w:szCs w:val="21"/>
          <w:color w:val="1F1F1F"/>
        </w:rPr>
        <w:t>s</w:t>
      </w:r>
      <w:r>
        <w:rPr>
          <w:rFonts w:ascii="Arial" w:cs="Arial" w:eastAsia="Arial" w:hAnsi="Arial"/>
          <w:sz w:val="21"/>
          <w:szCs w:val="21"/>
          <w:color w:val="0B0B0B"/>
        </w:rPr>
        <w:t xml:space="preserve"> A Preferred Stock that are redeemed or otherwise </w:t>
      </w:r>
      <w:r>
        <w:rPr>
          <w:rFonts w:ascii="Arial" w:cs="Arial" w:eastAsia="Arial" w:hAnsi="Arial"/>
          <w:sz w:val="21"/>
          <w:szCs w:val="21"/>
          <w:color w:val="1F1F1F"/>
        </w:rPr>
        <w:t>a</w:t>
      </w:r>
      <w:r>
        <w:rPr>
          <w:rFonts w:ascii="Arial" w:cs="Arial" w:eastAsia="Arial" w:hAnsi="Arial"/>
          <w:sz w:val="21"/>
          <w:szCs w:val="21"/>
          <w:color w:val="0B0B0B"/>
        </w:rPr>
        <w:t>cquired by the Corporation or any of its subsidiaries shall be automatically and imm</w:t>
      </w:r>
      <w:r>
        <w:rPr>
          <w:rFonts w:ascii="Arial" w:cs="Arial" w:eastAsia="Arial" w:hAnsi="Arial"/>
          <w:sz w:val="21"/>
          <w:szCs w:val="21"/>
          <w:color w:val="1F1F1F"/>
        </w:rPr>
        <w:t>e</w:t>
      </w:r>
      <w:r>
        <w:rPr>
          <w:rFonts w:ascii="Arial" w:cs="Arial" w:eastAsia="Arial" w:hAnsi="Arial"/>
          <w:sz w:val="21"/>
          <w:szCs w:val="21"/>
          <w:color w:val="0B0B0B"/>
        </w:rPr>
        <w:t>diately cancelled and retired and shall not be reissued</w:t>
      </w:r>
      <w:r>
        <w:rPr>
          <w:rFonts w:ascii="Arial" w:cs="Arial" w:eastAsia="Arial" w:hAnsi="Arial"/>
          <w:sz w:val="21"/>
          <w:szCs w:val="21"/>
          <w:color w:val="1F1F1F"/>
        </w:rPr>
        <w:t>,</w:t>
      </w:r>
      <w:r>
        <w:rPr>
          <w:rFonts w:ascii="Arial" w:cs="Arial" w:eastAsia="Arial" w:hAnsi="Arial"/>
          <w:sz w:val="21"/>
          <w:szCs w:val="21"/>
          <w:color w:val="0B0B0B"/>
        </w:rPr>
        <w:t xml:space="preserve"> sold or transferred. Neither the Corporation nor any of it</w:t>
      </w:r>
      <w:r>
        <w:rPr>
          <w:rFonts w:ascii="Arial" w:cs="Arial" w:eastAsia="Arial" w:hAnsi="Arial"/>
          <w:sz w:val="21"/>
          <w:szCs w:val="21"/>
          <w:color w:val="1F1F1F"/>
        </w:rPr>
        <w:t>s s</w:t>
      </w:r>
      <w:r>
        <w:rPr>
          <w:rFonts w:ascii="Arial" w:cs="Arial" w:eastAsia="Arial" w:hAnsi="Arial"/>
          <w:sz w:val="21"/>
          <w:szCs w:val="21"/>
          <w:color w:val="0B0B0B"/>
        </w:rPr>
        <w:t>ubsidiaries may exercise any voting or other rights granted to the holders of Series A Preferred S</w:t>
      </w:r>
      <w:r>
        <w:rPr>
          <w:rFonts w:ascii="Arial" w:cs="Arial" w:eastAsia="Arial" w:hAnsi="Arial"/>
          <w:sz w:val="21"/>
          <w:szCs w:val="21"/>
          <w:color w:val="1F1F1F"/>
        </w:rPr>
        <w:t>t</w:t>
      </w:r>
      <w:r>
        <w:rPr>
          <w:rFonts w:ascii="Arial" w:cs="Arial" w:eastAsia="Arial" w:hAnsi="Arial"/>
          <w:sz w:val="21"/>
          <w:szCs w:val="21"/>
          <w:color w:val="0B0B0B"/>
        </w:rPr>
        <w:t>ock following redempt</w:t>
      </w:r>
      <w:r>
        <w:rPr>
          <w:rFonts w:ascii="Arial" w:cs="Arial" w:eastAsia="Arial" w:hAnsi="Arial"/>
          <w:sz w:val="21"/>
          <w:szCs w:val="21"/>
          <w:color w:val="1F1F1F"/>
        </w:rPr>
        <w:t>i</w:t>
      </w:r>
      <w:r>
        <w:rPr>
          <w:rFonts w:ascii="Arial" w:cs="Arial" w:eastAsia="Arial" w:hAnsi="Arial"/>
          <w:sz w:val="21"/>
          <w:szCs w:val="21"/>
          <w:color w:val="0B0B0B"/>
        </w:rPr>
        <w:t>on</w:t>
      </w:r>
      <w:r>
        <w:rPr>
          <w:rFonts w:ascii="Arial" w:cs="Arial" w:eastAsia="Arial" w:hAnsi="Arial"/>
          <w:sz w:val="21"/>
          <w:szCs w:val="21"/>
          <w:color w:val="1F1F1F"/>
        </w:rPr>
        <w:t>.</w:t>
      </w:r>
    </w:p>
    <w:p>
      <w:pPr>
        <w:spacing w:after="0" w:line="121" w:lineRule="exact"/>
        <w:rPr>
          <w:rFonts w:ascii="Arial" w:cs="Arial" w:eastAsia="Arial" w:hAnsi="Arial"/>
          <w:sz w:val="21"/>
          <w:szCs w:val="21"/>
          <w:color w:val="0B0B0B"/>
        </w:rPr>
      </w:pPr>
    </w:p>
    <w:p>
      <w:pPr>
        <w:jc w:val="both"/>
        <w:ind w:firstLine="1304"/>
        <w:spacing w:after="0" w:line="253" w:lineRule="auto"/>
        <w:tabs>
          <w:tab w:leader="none" w:pos="1674" w:val="left"/>
        </w:tabs>
        <w:numPr>
          <w:ilvl w:val="0"/>
          <w:numId w:val="165"/>
        </w:numPr>
        <w:rPr>
          <w:rFonts w:ascii="Arial" w:cs="Arial" w:eastAsia="Arial" w:hAnsi="Arial"/>
          <w:sz w:val="22"/>
          <w:szCs w:val="22"/>
          <w:color w:val="0B0B0B"/>
        </w:rPr>
      </w:pPr>
      <w:r>
        <w:rPr>
          <w:rFonts w:ascii="Arial" w:cs="Arial" w:eastAsia="Arial" w:hAnsi="Arial"/>
          <w:sz w:val="22"/>
          <w:szCs w:val="22"/>
          <w:u w:val="single" w:color="auto"/>
          <w:color w:val="0B0B0B"/>
        </w:rPr>
        <w:t>Waiver</w:t>
      </w:r>
      <w:r>
        <w:rPr>
          <w:rFonts w:ascii="Arial" w:cs="Arial" w:eastAsia="Arial" w:hAnsi="Arial"/>
          <w:sz w:val="22"/>
          <w:szCs w:val="22"/>
          <w:color w:val="0B0B0B"/>
        </w:rPr>
        <w:t xml:space="preserve">. Any </w:t>
      </w:r>
      <w:r>
        <w:rPr>
          <w:rFonts w:ascii="Arial" w:cs="Arial" w:eastAsia="Arial" w:hAnsi="Arial"/>
          <w:sz w:val="22"/>
          <w:szCs w:val="22"/>
          <w:color w:val="1D1D1D"/>
        </w:rPr>
        <w:t>o</w:t>
      </w:r>
      <w:r>
        <w:rPr>
          <w:rFonts w:ascii="Arial" w:cs="Arial" w:eastAsia="Arial" w:hAnsi="Arial"/>
          <w:sz w:val="22"/>
          <w:szCs w:val="22"/>
          <w:color w:val="0B0B0B"/>
        </w:rPr>
        <w:t xml:space="preserve">f the rights, powers, preferences and other terms of the Series A Preferred Stock set forth herein may be waived on behalf of all holders of Series A Preferred Stock by the affirmative written consent or vote of the holders of at least majority of the shares of Series A Preferred Stock then </w:t>
      </w:r>
      <w:r>
        <w:rPr>
          <w:rFonts w:ascii="Arial" w:cs="Arial" w:eastAsia="Arial" w:hAnsi="Arial"/>
          <w:sz w:val="22"/>
          <w:szCs w:val="22"/>
          <w:color w:val="1D1D1D"/>
        </w:rPr>
        <w:t>o</w:t>
      </w:r>
      <w:r>
        <w:rPr>
          <w:rFonts w:ascii="Arial" w:cs="Arial" w:eastAsia="Arial" w:hAnsi="Arial"/>
          <w:sz w:val="22"/>
          <w:szCs w:val="22"/>
          <w:color w:val="0B0B0B"/>
        </w:rPr>
        <w:t>utstanding</w:t>
      </w:r>
      <w:r>
        <w:rPr>
          <w:rFonts w:ascii="Arial" w:cs="Arial" w:eastAsia="Arial" w:hAnsi="Arial"/>
          <w:sz w:val="22"/>
          <w:szCs w:val="22"/>
          <w:color w:val="1D1D1D"/>
        </w:rPr>
        <w:t>.</w:t>
      </w:r>
    </w:p>
    <w:p>
      <w:pPr>
        <w:spacing w:after="0" w:line="131" w:lineRule="exact"/>
        <w:rPr>
          <w:rFonts w:ascii="Arial" w:cs="Arial" w:eastAsia="Arial" w:hAnsi="Arial"/>
          <w:sz w:val="22"/>
          <w:szCs w:val="22"/>
          <w:color w:val="0B0B0B"/>
        </w:rPr>
      </w:pPr>
    </w:p>
    <w:p>
      <w:pPr>
        <w:jc w:val="both"/>
        <w:ind w:firstLine="1304"/>
        <w:spacing w:after="0" w:line="250" w:lineRule="auto"/>
        <w:tabs>
          <w:tab w:leader="none" w:pos="1714" w:val="left"/>
        </w:tabs>
        <w:numPr>
          <w:ilvl w:val="0"/>
          <w:numId w:val="165"/>
        </w:numPr>
        <w:rPr>
          <w:rFonts w:ascii="Arial" w:cs="Arial" w:eastAsia="Arial" w:hAnsi="Arial"/>
          <w:sz w:val="22"/>
          <w:szCs w:val="22"/>
          <w:color w:val="0B0B0B"/>
        </w:rPr>
      </w:pPr>
      <w:r>
        <w:rPr>
          <w:rFonts w:ascii="Arial" w:cs="Arial" w:eastAsia="Arial" w:hAnsi="Arial"/>
          <w:sz w:val="22"/>
          <w:szCs w:val="22"/>
          <w:u w:val="single" w:color="auto"/>
          <w:color w:val="0B0B0B"/>
        </w:rPr>
        <w:t>Notices</w:t>
      </w:r>
      <w:r>
        <w:rPr>
          <w:rFonts w:ascii="Arial" w:cs="Arial" w:eastAsia="Arial" w:hAnsi="Arial"/>
          <w:sz w:val="22"/>
          <w:szCs w:val="22"/>
          <w:color w:val="0B0B0B"/>
        </w:rPr>
        <w:t>. Any notice required or permitted by the provisions o</w:t>
      </w:r>
      <w:r>
        <w:rPr>
          <w:rFonts w:ascii="Arial" w:cs="Arial" w:eastAsia="Arial" w:hAnsi="Arial"/>
          <w:sz w:val="22"/>
          <w:szCs w:val="22"/>
          <w:color w:val="1D1D1D"/>
        </w:rPr>
        <w:t>f</w:t>
      </w:r>
      <w:r>
        <w:rPr>
          <w:rFonts w:ascii="Arial" w:cs="Arial" w:eastAsia="Arial" w:hAnsi="Arial"/>
          <w:sz w:val="22"/>
          <w:szCs w:val="22"/>
          <w:color w:val="0B0B0B"/>
        </w:rPr>
        <w:t xml:space="preserve"> this Article Fourth to be given to a holder of shares of Series A Preferred Stock </w:t>
      </w:r>
      <w:r>
        <w:rPr>
          <w:rFonts w:ascii="Arial" w:cs="Arial" w:eastAsia="Arial" w:hAnsi="Arial"/>
          <w:sz w:val="22"/>
          <w:szCs w:val="22"/>
          <w:color w:val="1D1D1D"/>
        </w:rPr>
        <w:t>s</w:t>
      </w:r>
      <w:r>
        <w:rPr>
          <w:rFonts w:ascii="Arial" w:cs="Arial" w:eastAsia="Arial" w:hAnsi="Arial"/>
          <w:sz w:val="22"/>
          <w:szCs w:val="22"/>
          <w:color w:val="0B0B0B"/>
        </w:rPr>
        <w:t>hall be mailed, postage prepaid</w:t>
      </w:r>
      <w:r>
        <w:rPr>
          <w:rFonts w:ascii="Arial" w:cs="Arial" w:eastAsia="Arial" w:hAnsi="Arial"/>
          <w:sz w:val="22"/>
          <w:szCs w:val="22"/>
          <w:color w:val="1D1D1D"/>
        </w:rPr>
        <w:t>, t</w:t>
      </w:r>
      <w:r>
        <w:rPr>
          <w:rFonts w:ascii="Arial" w:cs="Arial" w:eastAsia="Arial" w:hAnsi="Arial"/>
          <w:sz w:val="22"/>
          <w:szCs w:val="22"/>
          <w:color w:val="0B0B0B"/>
        </w:rPr>
        <w:t xml:space="preserve">o the post office address last </w:t>
      </w:r>
      <w:r>
        <w:rPr>
          <w:rFonts w:ascii="Arial" w:cs="Arial" w:eastAsia="Arial" w:hAnsi="Arial"/>
          <w:sz w:val="22"/>
          <w:szCs w:val="22"/>
          <w:color w:val="1D1D1D"/>
        </w:rPr>
        <w:t>s</w:t>
      </w:r>
      <w:r>
        <w:rPr>
          <w:rFonts w:ascii="Arial" w:cs="Arial" w:eastAsia="Arial" w:hAnsi="Arial"/>
          <w:sz w:val="22"/>
          <w:szCs w:val="22"/>
          <w:color w:val="0B0B0B"/>
        </w:rPr>
        <w:t>hown on the records of the Corporation</w:t>
      </w:r>
      <w:r>
        <w:rPr>
          <w:rFonts w:ascii="Arial" w:cs="Arial" w:eastAsia="Arial" w:hAnsi="Arial"/>
          <w:sz w:val="22"/>
          <w:szCs w:val="22"/>
          <w:color w:val="1D1D1D"/>
        </w:rPr>
        <w:t>,</w:t>
      </w:r>
      <w:r>
        <w:rPr>
          <w:rFonts w:ascii="Arial" w:cs="Arial" w:eastAsia="Arial" w:hAnsi="Arial"/>
          <w:sz w:val="22"/>
          <w:szCs w:val="22"/>
          <w:color w:val="0B0B0B"/>
        </w:rPr>
        <w:t xml:space="preserve"> or given by electronic communication in compliance with the provisions of the General Corporation Law</w:t>
      </w:r>
      <w:r>
        <w:rPr>
          <w:rFonts w:ascii="Arial" w:cs="Arial" w:eastAsia="Arial" w:hAnsi="Arial"/>
          <w:sz w:val="22"/>
          <w:szCs w:val="22"/>
          <w:color w:val="1D1D1D"/>
        </w:rPr>
        <w:t>,</w:t>
      </w:r>
      <w:r>
        <w:rPr>
          <w:rFonts w:ascii="Arial" w:cs="Arial" w:eastAsia="Arial" w:hAnsi="Arial"/>
          <w:sz w:val="22"/>
          <w:szCs w:val="22"/>
          <w:color w:val="0B0B0B"/>
        </w:rPr>
        <w:t xml:space="preserve"> and shall be deemed sent upon such mailing or electronic transmission.</w:t>
      </w:r>
    </w:p>
    <w:p>
      <w:pPr>
        <w:spacing w:after="0" w:line="128"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0B0B0B"/>
        </w:rPr>
        <w:t xml:space="preserve">FIFTH: </w:t>
      </w:r>
      <w:r>
        <w:rPr>
          <w:rFonts w:ascii="Arial" w:cs="Arial" w:eastAsia="Arial" w:hAnsi="Arial"/>
          <w:sz w:val="22"/>
          <w:szCs w:val="22"/>
          <w:color w:val="0B0B0B"/>
        </w:rPr>
        <w:t>Subject to any additional vote required by the Certificate of Incorpora</w:t>
      </w:r>
      <w:r>
        <w:rPr>
          <w:rFonts w:ascii="Arial" w:cs="Arial" w:eastAsia="Arial" w:hAnsi="Arial"/>
          <w:sz w:val="22"/>
          <w:szCs w:val="22"/>
          <w:color w:val="1D1D1D"/>
        </w:rPr>
        <w:t>t</w:t>
      </w:r>
      <w:r>
        <w:rPr>
          <w:rFonts w:ascii="Arial" w:cs="Arial" w:eastAsia="Arial" w:hAnsi="Arial"/>
          <w:sz w:val="22"/>
          <w:szCs w:val="22"/>
          <w:color w:val="0B0B0B"/>
        </w:rPr>
        <w:t>ion or Bylaws</w:t>
      </w:r>
      <w:r>
        <w:rPr>
          <w:rFonts w:ascii="Arial" w:cs="Arial" w:eastAsia="Arial" w:hAnsi="Arial"/>
          <w:sz w:val="22"/>
          <w:szCs w:val="22"/>
          <w:color w:val="1D1D1D"/>
        </w:rPr>
        <w:t>,</w:t>
      </w:r>
      <w:r>
        <w:rPr>
          <w:rFonts w:ascii="Arial" w:cs="Arial" w:eastAsia="Arial" w:hAnsi="Arial"/>
          <w:sz w:val="22"/>
          <w:szCs w:val="22"/>
          <w:b w:val="1"/>
          <w:bCs w:val="1"/>
          <w:color w:val="0B0B0B"/>
        </w:rPr>
        <w:t xml:space="preserve"> </w:t>
      </w:r>
      <w:r>
        <w:rPr>
          <w:rFonts w:ascii="Arial" w:cs="Arial" w:eastAsia="Arial" w:hAnsi="Arial"/>
          <w:sz w:val="22"/>
          <w:szCs w:val="22"/>
          <w:color w:val="0B0B0B"/>
        </w:rPr>
        <w:t>in furtherance and</w:t>
      </w:r>
      <w:r>
        <w:rPr>
          <w:rFonts w:ascii="Arial" w:cs="Arial" w:eastAsia="Arial" w:hAnsi="Arial"/>
          <w:sz w:val="22"/>
          <w:szCs w:val="22"/>
          <w:b w:val="1"/>
          <w:bCs w:val="1"/>
          <w:color w:val="0B0B0B"/>
        </w:rPr>
        <w:t xml:space="preserve"> </w:t>
      </w:r>
      <w:r>
        <w:rPr>
          <w:rFonts w:ascii="Arial" w:cs="Arial" w:eastAsia="Arial" w:hAnsi="Arial"/>
          <w:sz w:val="22"/>
          <w:szCs w:val="22"/>
          <w:color w:val="0B0B0B"/>
        </w:rPr>
        <w:t>not in limitation of the powers conferred by statute, the Board is expressly authorized to make</w:t>
      </w:r>
      <w:r>
        <w:rPr>
          <w:rFonts w:ascii="Arial" w:cs="Arial" w:eastAsia="Arial" w:hAnsi="Arial"/>
          <w:sz w:val="22"/>
          <w:szCs w:val="22"/>
          <w:color w:val="333333"/>
        </w:rPr>
        <w:t>,</w:t>
      </w:r>
      <w:r>
        <w:rPr>
          <w:rFonts w:ascii="Arial" w:cs="Arial" w:eastAsia="Arial" w:hAnsi="Arial"/>
          <w:sz w:val="22"/>
          <w:szCs w:val="22"/>
          <w:color w:val="0B0B0B"/>
        </w:rPr>
        <w:t xml:space="preserve"> r</w:t>
      </w:r>
      <w:r>
        <w:rPr>
          <w:rFonts w:ascii="Arial" w:cs="Arial" w:eastAsia="Arial" w:hAnsi="Arial"/>
          <w:sz w:val="22"/>
          <w:szCs w:val="22"/>
          <w:color w:val="1D1D1D"/>
        </w:rPr>
        <w:t>e</w:t>
      </w:r>
      <w:r>
        <w:rPr>
          <w:rFonts w:ascii="Arial" w:cs="Arial" w:eastAsia="Arial" w:hAnsi="Arial"/>
          <w:sz w:val="22"/>
          <w:szCs w:val="22"/>
          <w:color w:val="0B0B0B"/>
        </w:rPr>
        <w:t>peal</w:t>
      </w:r>
      <w:r>
        <w:rPr>
          <w:rFonts w:ascii="Arial" w:cs="Arial" w:eastAsia="Arial" w:hAnsi="Arial"/>
          <w:sz w:val="22"/>
          <w:szCs w:val="22"/>
          <w:color w:val="1D1D1D"/>
        </w:rPr>
        <w:t>,</w:t>
      </w:r>
      <w:r>
        <w:rPr>
          <w:rFonts w:ascii="Arial" w:cs="Arial" w:eastAsia="Arial" w:hAnsi="Arial"/>
          <w:sz w:val="22"/>
          <w:szCs w:val="22"/>
          <w:color w:val="0B0B0B"/>
        </w:rPr>
        <w:t xml:space="preserve"> alter, amend and re</w:t>
      </w:r>
      <w:r>
        <w:rPr>
          <w:rFonts w:ascii="Arial" w:cs="Arial" w:eastAsia="Arial" w:hAnsi="Arial"/>
          <w:sz w:val="22"/>
          <w:szCs w:val="22"/>
          <w:color w:val="1D1D1D"/>
        </w:rPr>
        <w:t>s</w:t>
      </w:r>
      <w:r>
        <w:rPr>
          <w:rFonts w:ascii="Arial" w:cs="Arial" w:eastAsia="Arial" w:hAnsi="Arial"/>
          <w:sz w:val="22"/>
          <w:szCs w:val="22"/>
          <w:color w:val="0B0B0B"/>
        </w:rPr>
        <w:t>cind any or all of the Bylaws of the Corporation.</w:t>
      </w:r>
    </w:p>
    <w:p>
      <w:pPr>
        <w:spacing w:after="0" w:line="122"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0B0B0B"/>
        </w:rPr>
        <w:t xml:space="preserve">SIXTH: </w:t>
      </w:r>
      <w:r>
        <w:rPr>
          <w:rFonts w:ascii="Arial" w:cs="Arial" w:eastAsia="Arial" w:hAnsi="Arial"/>
          <w:sz w:val="22"/>
          <w:szCs w:val="22"/>
          <w:color w:val="0B0B0B"/>
        </w:rPr>
        <w:t>Subject to any additional vote required by the Certificate of Incorporation, the number of directors of the</w:t>
      </w:r>
      <w:r>
        <w:rPr>
          <w:rFonts w:ascii="Arial" w:cs="Arial" w:eastAsia="Arial" w:hAnsi="Arial"/>
          <w:sz w:val="22"/>
          <w:szCs w:val="22"/>
          <w:b w:val="1"/>
          <w:bCs w:val="1"/>
          <w:color w:val="0B0B0B"/>
        </w:rPr>
        <w:t xml:space="preserve"> </w:t>
      </w:r>
      <w:r>
        <w:rPr>
          <w:rFonts w:ascii="Arial" w:cs="Arial" w:eastAsia="Arial" w:hAnsi="Arial"/>
          <w:sz w:val="22"/>
          <w:szCs w:val="22"/>
          <w:color w:val="0B0B0B"/>
        </w:rPr>
        <w:t>Corporation sh</w:t>
      </w:r>
      <w:r>
        <w:rPr>
          <w:rFonts w:ascii="Arial" w:cs="Arial" w:eastAsia="Arial" w:hAnsi="Arial"/>
          <w:sz w:val="22"/>
          <w:szCs w:val="22"/>
          <w:color w:val="1D1D1D"/>
        </w:rPr>
        <w:t>a</w:t>
      </w:r>
      <w:r>
        <w:rPr>
          <w:rFonts w:ascii="Arial" w:cs="Arial" w:eastAsia="Arial" w:hAnsi="Arial"/>
          <w:sz w:val="22"/>
          <w:szCs w:val="22"/>
          <w:color w:val="0B0B0B"/>
        </w:rPr>
        <w:t>ll be determined in the manner set forth in the Bylaws of the Corporation.</w:t>
      </w:r>
    </w:p>
    <w:p>
      <w:pPr>
        <w:spacing w:after="0" w:line="108"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0B0B0B"/>
        </w:rPr>
        <w:t xml:space="preserve">SEVENTH: </w:t>
      </w:r>
      <w:r>
        <w:rPr>
          <w:rFonts w:ascii="Arial" w:cs="Arial" w:eastAsia="Arial" w:hAnsi="Arial"/>
          <w:sz w:val="19"/>
          <w:szCs w:val="19"/>
          <w:color w:val="0B0B0B"/>
        </w:rPr>
        <w:t>Electio</w:t>
      </w:r>
      <w:r>
        <w:rPr>
          <w:rFonts w:ascii="Arial" w:cs="Arial" w:eastAsia="Arial" w:hAnsi="Arial"/>
          <w:sz w:val="19"/>
          <w:szCs w:val="19"/>
          <w:color w:val="1D1D1D"/>
        </w:rPr>
        <w:t>n</w:t>
      </w:r>
      <w:r>
        <w:rPr>
          <w:rFonts w:ascii="Arial" w:cs="Arial" w:eastAsia="Arial" w:hAnsi="Arial"/>
          <w:sz w:val="19"/>
          <w:szCs w:val="19"/>
          <w:color w:val="0B0B0B"/>
        </w:rPr>
        <w:t>s of directors need not be by written ballot unless the Bylaws of the Corporation shall so</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0B0B0B"/>
        </w:rPr>
        <w:t>provide.</w:t>
      </w:r>
    </w:p>
    <w:p>
      <w:pPr>
        <w:spacing w:after="0" w:line="14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0B0B0B"/>
        </w:rPr>
        <w:t xml:space="preserve">EIGHTH: </w:t>
      </w:r>
      <w:r>
        <w:rPr>
          <w:rFonts w:ascii="Arial" w:cs="Arial" w:eastAsia="Arial" w:hAnsi="Arial"/>
          <w:sz w:val="22"/>
          <w:szCs w:val="22"/>
          <w:color w:val="0B0B0B"/>
        </w:rPr>
        <w:t>Meetings of stockholders may be held within or without the State of Delaware, a</w:t>
      </w:r>
      <w:r>
        <w:rPr>
          <w:rFonts w:ascii="Arial" w:cs="Arial" w:eastAsia="Arial" w:hAnsi="Arial"/>
          <w:sz w:val="22"/>
          <w:szCs w:val="22"/>
          <w:color w:val="1D1D1D"/>
        </w:rPr>
        <w:t>s</w:t>
      </w:r>
      <w:r>
        <w:rPr>
          <w:rFonts w:ascii="Arial" w:cs="Arial" w:eastAsia="Arial" w:hAnsi="Arial"/>
          <w:sz w:val="22"/>
          <w:szCs w:val="22"/>
          <w:b w:val="1"/>
          <w:bCs w:val="1"/>
          <w:color w:val="0B0B0B"/>
        </w:rPr>
        <w:t xml:space="preserve"> </w:t>
      </w:r>
      <w:r>
        <w:rPr>
          <w:rFonts w:ascii="Arial" w:cs="Arial" w:eastAsia="Arial" w:hAnsi="Arial"/>
          <w:sz w:val="22"/>
          <w:szCs w:val="22"/>
          <w:color w:val="0B0B0B"/>
        </w:rPr>
        <w:t>the Bylaws of the</w:t>
      </w:r>
      <w:r>
        <w:rPr>
          <w:rFonts w:ascii="Arial" w:cs="Arial" w:eastAsia="Arial" w:hAnsi="Arial"/>
          <w:sz w:val="22"/>
          <w:szCs w:val="22"/>
          <w:b w:val="1"/>
          <w:bCs w:val="1"/>
          <w:color w:val="0B0B0B"/>
        </w:rPr>
        <w:t xml:space="preserve"> </w:t>
      </w:r>
      <w:r>
        <w:rPr>
          <w:rFonts w:ascii="Arial" w:cs="Arial" w:eastAsia="Arial" w:hAnsi="Arial"/>
          <w:sz w:val="22"/>
          <w:szCs w:val="22"/>
          <w:color w:val="0B0B0B"/>
        </w:rPr>
        <w:t>Corporation may provide. The books of the Corporation may be kept outside the State of Delaware at such place or places as may be designated from time to time by the Board or in the Bylaws of the Corporation.</w:t>
      </w:r>
    </w:p>
    <w:p>
      <w:pPr>
        <w:spacing w:after="0" w:line="122"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b w:val="1"/>
          <w:bCs w:val="1"/>
          <w:color w:val="0B0B0B"/>
        </w:rPr>
        <w:t xml:space="preserve">NINTH: </w:t>
      </w:r>
      <w:r>
        <w:rPr>
          <w:rFonts w:ascii="Arial" w:cs="Arial" w:eastAsia="Arial" w:hAnsi="Arial"/>
          <w:sz w:val="19"/>
          <w:szCs w:val="19"/>
          <w:color w:val="0B0B0B"/>
        </w:rPr>
        <w:t>To the fullest extent permitted by law, a director of the Corporation shall not be personally liable to the</w:t>
      </w:r>
      <w:r>
        <w:rPr>
          <w:rFonts w:ascii="Arial" w:cs="Arial" w:eastAsia="Arial" w:hAnsi="Arial"/>
          <w:sz w:val="19"/>
          <w:szCs w:val="19"/>
          <w:b w:val="1"/>
          <w:bCs w:val="1"/>
          <w:color w:val="0B0B0B"/>
        </w:rPr>
        <w:t xml:space="preserve"> </w:t>
      </w:r>
      <w:r>
        <w:rPr>
          <w:rFonts w:ascii="Arial" w:cs="Arial" w:eastAsia="Arial" w:hAnsi="Arial"/>
          <w:sz w:val="19"/>
          <w:szCs w:val="19"/>
          <w:color w:val="0B0B0B"/>
        </w:rPr>
        <w:t>C</w:t>
      </w:r>
      <w:r>
        <w:rPr>
          <w:rFonts w:ascii="Arial" w:cs="Arial" w:eastAsia="Arial" w:hAnsi="Arial"/>
          <w:sz w:val="19"/>
          <w:szCs w:val="19"/>
          <w:color w:val="1D1D1D"/>
        </w:rPr>
        <w:t>o</w:t>
      </w:r>
      <w:r>
        <w:rPr>
          <w:rFonts w:ascii="Arial" w:cs="Arial" w:eastAsia="Arial" w:hAnsi="Arial"/>
          <w:sz w:val="19"/>
          <w:szCs w:val="19"/>
          <w:color w:val="0B0B0B"/>
        </w:rPr>
        <w:t>rporation or its stockholders for monetary damages for breach of fiduciary duty as a director. If the General Corporation Law or any o</w:t>
      </w:r>
      <w:r>
        <w:rPr>
          <w:rFonts w:ascii="Arial" w:cs="Arial" w:eastAsia="Arial" w:hAnsi="Arial"/>
          <w:sz w:val="19"/>
          <w:szCs w:val="19"/>
          <w:color w:val="1D1D1D"/>
        </w:rPr>
        <w:t>t</w:t>
      </w:r>
      <w:r>
        <w:rPr>
          <w:rFonts w:ascii="Arial" w:cs="Arial" w:eastAsia="Arial" w:hAnsi="Arial"/>
          <w:sz w:val="19"/>
          <w:szCs w:val="19"/>
          <w:color w:val="0B0B0B"/>
        </w:rPr>
        <w:t>her law of the State of Delaware i</w:t>
      </w:r>
      <w:r>
        <w:rPr>
          <w:rFonts w:ascii="Arial" w:cs="Arial" w:eastAsia="Arial" w:hAnsi="Arial"/>
          <w:sz w:val="19"/>
          <w:szCs w:val="19"/>
          <w:color w:val="1D1D1D"/>
        </w:rPr>
        <w:t>s</w:t>
      </w:r>
      <w:r>
        <w:rPr>
          <w:rFonts w:ascii="Arial" w:cs="Arial" w:eastAsia="Arial" w:hAnsi="Arial"/>
          <w:sz w:val="19"/>
          <w:szCs w:val="19"/>
          <w:color w:val="0B0B0B"/>
        </w:rPr>
        <w:t xml:space="preserve"> amended after approval by the stockholders of this Article Ninth to authorize corporate action further eliminating or limiting the personal liability of directors</w:t>
      </w:r>
      <w:r>
        <w:rPr>
          <w:rFonts w:ascii="Arial" w:cs="Arial" w:eastAsia="Arial" w:hAnsi="Arial"/>
          <w:sz w:val="19"/>
          <w:szCs w:val="19"/>
          <w:color w:val="1D1D1D"/>
        </w:rPr>
        <w:t>,</w:t>
      </w:r>
      <w:r>
        <w:rPr>
          <w:rFonts w:ascii="Arial" w:cs="Arial" w:eastAsia="Arial" w:hAnsi="Arial"/>
          <w:sz w:val="19"/>
          <w:szCs w:val="19"/>
          <w:color w:val="0B0B0B"/>
        </w:rPr>
        <w:t xml:space="preserve"> then the liability of a director of the Corporation shall be eliminated or limited to the fullest e</w:t>
      </w:r>
      <w:r>
        <w:rPr>
          <w:rFonts w:ascii="Arial" w:cs="Arial" w:eastAsia="Arial" w:hAnsi="Arial"/>
          <w:sz w:val="19"/>
          <w:szCs w:val="19"/>
          <w:color w:val="1D1D1D"/>
        </w:rPr>
        <w:t>x</w:t>
      </w:r>
      <w:r>
        <w:rPr>
          <w:rFonts w:ascii="Arial" w:cs="Arial" w:eastAsia="Arial" w:hAnsi="Arial"/>
          <w:sz w:val="19"/>
          <w:szCs w:val="19"/>
          <w:color w:val="0B0B0B"/>
        </w:rPr>
        <w:t>tent permitted by the Gen</w:t>
      </w:r>
      <w:r>
        <w:rPr>
          <w:rFonts w:ascii="Arial" w:cs="Arial" w:eastAsia="Arial" w:hAnsi="Arial"/>
          <w:sz w:val="19"/>
          <w:szCs w:val="19"/>
          <w:color w:val="1D1D1D"/>
        </w:rPr>
        <w:t>e</w:t>
      </w:r>
      <w:r>
        <w:rPr>
          <w:rFonts w:ascii="Arial" w:cs="Arial" w:eastAsia="Arial" w:hAnsi="Arial"/>
          <w:sz w:val="19"/>
          <w:szCs w:val="19"/>
          <w:color w:val="0B0B0B"/>
        </w:rPr>
        <w:t>ral Corp</w:t>
      </w:r>
      <w:r>
        <w:rPr>
          <w:rFonts w:ascii="Arial" w:cs="Arial" w:eastAsia="Arial" w:hAnsi="Arial"/>
          <w:sz w:val="19"/>
          <w:szCs w:val="19"/>
          <w:color w:val="1D1D1D"/>
        </w:rPr>
        <w:t>o</w:t>
      </w:r>
      <w:r>
        <w:rPr>
          <w:rFonts w:ascii="Arial" w:cs="Arial" w:eastAsia="Arial" w:hAnsi="Arial"/>
          <w:sz w:val="19"/>
          <w:szCs w:val="19"/>
          <w:color w:val="0B0B0B"/>
        </w:rPr>
        <w:t>r</w:t>
      </w:r>
      <w:r>
        <w:rPr>
          <w:rFonts w:ascii="Arial" w:cs="Arial" w:eastAsia="Arial" w:hAnsi="Arial"/>
          <w:sz w:val="19"/>
          <w:szCs w:val="19"/>
          <w:color w:val="1D1D1D"/>
        </w:rPr>
        <w:t>a</w:t>
      </w:r>
      <w:r>
        <w:rPr>
          <w:rFonts w:ascii="Arial" w:cs="Arial" w:eastAsia="Arial" w:hAnsi="Arial"/>
          <w:sz w:val="19"/>
          <w:szCs w:val="19"/>
          <w:color w:val="0B0B0B"/>
        </w:rPr>
        <w:t xml:space="preserve">tion Law </w:t>
      </w:r>
      <w:r>
        <w:rPr>
          <w:rFonts w:ascii="Arial" w:cs="Arial" w:eastAsia="Arial" w:hAnsi="Arial"/>
          <w:sz w:val="19"/>
          <w:szCs w:val="19"/>
          <w:color w:val="1D1D1D"/>
        </w:rPr>
        <w:t>a</w:t>
      </w:r>
      <w:r>
        <w:rPr>
          <w:rFonts w:ascii="Arial" w:cs="Arial" w:eastAsia="Arial" w:hAnsi="Arial"/>
          <w:sz w:val="19"/>
          <w:szCs w:val="19"/>
          <w:color w:val="0B0B0B"/>
        </w:rPr>
        <w:t>s so amended.</w:t>
      </w:r>
    </w:p>
    <w:p>
      <w:pPr>
        <w:spacing w:after="0" w:line="94"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0B0B0B"/>
        </w:rPr>
        <w:t>Any repeal or modification of the foregoing provisions of thi</w:t>
      </w:r>
      <w:r>
        <w:rPr>
          <w:rFonts w:ascii="Arial" w:cs="Arial" w:eastAsia="Arial" w:hAnsi="Arial"/>
          <w:sz w:val="22"/>
          <w:szCs w:val="22"/>
          <w:color w:val="1D1D1D"/>
        </w:rPr>
        <w:t>s</w:t>
      </w:r>
      <w:r>
        <w:rPr>
          <w:rFonts w:ascii="Arial" w:cs="Arial" w:eastAsia="Arial" w:hAnsi="Arial"/>
          <w:sz w:val="22"/>
          <w:szCs w:val="22"/>
          <w:color w:val="0B0B0B"/>
        </w:rPr>
        <w:t xml:space="preserve"> Article Ninth by the stockholders of the Corporation shall not adversely affect any right or protection of a director of the Corporation e</w:t>
      </w:r>
      <w:r>
        <w:rPr>
          <w:rFonts w:ascii="Arial" w:cs="Arial" w:eastAsia="Arial" w:hAnsi="Arial"/>
          <w:sz w:val="22"/>
          <w:szCs w:val="22"/>
          <w:color w:val="1D1D1D"/>
        </w:rPr>
        <w:t>x</w:t>
      </w:r>
      <w:r>
        <w:rPr>
          <w:rFonts w:ascii="Arial" w:cs="Arial" w:eastAsia="Arial" w:hAnsi="Arial"/>
          <w:sz w:val="22"/>
          <w:szCs w:val="22"/>
          <w:color w:val="0B0B0B"/>
        </w:rPr>
        <w:t>i</w:t>
      </w:r>
      <w:r>
        <w:rPr>
          <w:rFonts w:ascii="Arial" w:cs="Arial" w:eastAsia="Arial" w:hAnsi="Arial"/>
          <w:sz w:val="22"/>
          <w:szCs w:val="22"/>
          <w:color w:val="1D1D1D"/>
        </w:rPr>
        <w:t>s</w:t>
      </w:r>
      <w:r>
        <w:rPr>
          <w:rFonts w:ascii="Arial" w:cs="Arial" w:eastAsia="Arial" w:hAnsi="Arial"/>
          <w:sz w:val="22"/>
          <w:szCs w:val="22"/>
          <w:color w:val="0B0B0B"/>
        </w:rPr>
        <w:t>ting at the time of, or increase the liability of any director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28" w:right="339" w:bottom="1440" w:gutter="0" w:footer="0" w:header="0"/>
        </w:sectPr>
      </w:pPr>
    </w:p>
    <w:bookmarkStart w:id="221" w:name="page222"/>
    <w:bookmarkEnd w:id="221"/>
    <w:p>
      <w:pPr>
        <w:spacing w:after="0"/>
        <w:rPr>
          <w:sz w:val="20"/>
          <w:szCs w:val="20"/>
          <w:color w:val="auto"/>
        </w:rPr>
      </w:pPr>
      <w:r>
        <w:rPr>
          <w:rFonts w:ascii="Arial" w:cs="Arial" w:eastAsia="Arial" w:hAnsi="Arial"/>
          <w:sz w:val="22"/>
          <w:szCs w:val="22"/>
          <w:color w:val="0B0B0B"/>
        </w:rPr>
        <w:t>with respect to any acts or omissions of such director occurring prior to</w:t>
      </w:r>
      <w:r>
        <w:rPr>
          <w:rFonts w:ascii="Arial" w:cs="Arial" w:eastAsia="Arial" w:hAnsi="Arial"/>
          <w:sz w:val="22"/>
          <w:szCs w:val="22"/>
          <w:color w:val="1D1D1D"/>
        </w:rPr>
        <w:t>,</w:t>
      </w:r>
      <w:r>
        <w:rPr>
          <w:rFonts w:ascii="Arial" w:cs="Arial" w:eastAsia="Arial" w:hAnsi="Arial"/>
          <w:sz w:val="22"/>
          <w:szCs w:val="22"/>
          <w:color w:val="0B0B0B"/>
        </w:rPr>
        <w:t xml:space="preserve"> such repeal or modification</w:t>
      </w:r>
      <w:r>
        <w:rPr>
          <w:rFonts w:ascii="Arial" w:cs="Arial" w:eastAsia="Arial" w:hAnsi="Arial"/>
          <w:sz w:val="22"/>
          <w:szCs w:val="22"/>
          <w:color w:val="1D1D1D"/>
        </w:rPr>
        <w:t>.</w:t>
      </w:r>
    </w:p>
    <w:p>
      <w:pPr>
        <w:spacing w:after="0" w:line="160"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21"/>
          <w:szCs w:val="21"/>
          <w:b w:val="1"/>
          <w:bCs w:val="1"/>
          <w:color w:val="0B0B0B"/>
        </w:rPr>
        <w:t xml:space="preserve">TENTH: </w:t>
      </w:r>
      <w:r>
        <w:rPr>
          <w:rFonts w:ascii="Arial" w:cs="Arial" w:eastAsia="Arial" w:hAnsi="Arial"/>
          <w:sz w:val="21"/>
          <w:szCs w:val="21"/>
          <w:color w:val="0B0B0B"/>
        </w:rPr>
        <w:t>To the fullest extent permitted by applicable law, th</w:t>
      </w:r>
      <w:r>
        <w:rPr>
          <w:rFonts w:ascii="Arial" w:cs="Arial" w:eastAsia="Arial" w:hAnsi="Arial"/>
          <w:sz w:val="21"/>
          <w:szCs w:val="21"/>
          <w:color w:val="1D1D1D"/>
        </w:rPr>
        <w:t>e</w:t>
      </w:r>
      <w:r>
        <w:rPr>
          <w:rFonts w:ascii="Arial" w:cs="Arial" w:eastAsia="Arial" w:hAnsi="Arial"/>
          <w:sz w:val="21"/>
          <w:szCs w:val="21"/>
          <w:b w:val="1"/>
          <w:bCs w:val="1"/>
          <w:color w:val="0B0B0B"/>
        </w:rPr>
        <w:t xml:space="preserve"> </w:t>
      </w:r>
      <w:r>
        <w:rPr>
          <w:rFonts w:ascii="Arial" w:cs="Arial" w:eastAsia="Arial" w:hAnsi="Arial"/>
          <w:sz w:val="21"/>
          <w:szCs w:val="21"/>
          <w:color w:val="0B0B0B"/>
        </w:rPr>
        <w:t>Corporation is authorized to provide</w:t>
      </w:r>
      <w:r>
        <w:rPr>
          <w:rFonts w:ascii="Arial" w:cs="Arial" w:eastAsia="Arial" w:hAnsi="Arial"/>
          <w:sz w:val="21"/>
          <w:szCs w:val="21"/>
          <w:b w:val="1"/>
          <w:bCs w:val="1"/>
          <w:color w:val="0B0B0B"/>
        </w:rPr>
        <w:t xml:space="preserve"> </w:t>
      </w:r>
      <w:r>
        <w:rPr>
          <w:rFonts w:ascii="Arial" w:cs="Arial" w:eastAsia="Arial" w:hAnsi="Arial"/>
          <w:sz w:val="21"/>
          <w:szCs w:val="21"/>
          <w:color w:val="0B0B0B"/>
        </w:rPr>
        <w:t>indemnification of (and advancement of expenses to) directors</w:t>
      </w:r>
      <w:r>
        <w:rPr>
          <w:rFonts w:ascii="Arial" w:cs="Arial" w:eastAsia="Arial" w:hAnsi="Arial"/>
          <w:sz w:val="21"/>
          <w:szCs w:val="21"/>
          <w:color w:val="1D1D1D"/>
        </w:rPr>
        <w:t>,</w:t>
      </w:r>
      <w:r>
        <w:rPr>
          <w:rFonts w:ascii="Arial" w:cs="Arial" w:eastAsia="Arial" w:hAnsi="Arial"/>
          <w:sz w:val="21"/>
          <w:szCs w:val="21"/>
          <w:color w:val="0B0B0B"/>
        </w:rPr>
        <w:t xml:space="preserve"> officers and agents of the Corporation (and any other persons to which General Corporation Law permits the Corporation to provide indemnification) through Bylaw provisions</w:t>
      </w:r>
      <w:r>
        <w:rPr>
          <w:rFonts w:ascii="Arial" w:cs="Arial" w:eastAsia="Arial" w:hAnsi="Arial"/>
          <w:sz w:val="21"/>
          <w:szCs w:val="21"/>
          <w:color w:val="1D1D1D"/>
        </w:rPr>
        <w:t>,</w:t>
      </w:r>
      <w:r>
        <w:rPr>
          <w:rFonts w:ascii="Arial" w:cs="Arial" w:eastAsia="Arial" w:hAnsi="Arial"/>
          <w:sz w:val="21"/>
          <w:szCs w:val="21"/>
          <w:color w:val="0B0B0B"/>
        </w:rPr>
        <w:t xml:space="preserve"> agreements with such agents or other persons, vote of stockholders or disinterested directors or otherwise</w:t>
      </w:r>
      <w:r>
        <w:rPr>
          <w:rFonts w:ascii="Arial" w:cs="Arial" w:eastAsia="Arial" w:hAnsi="Arial"/>
          <w:sz w:val="21"/>
          <w:szCs w:val="21"/>
          <w:color w:val="1D1D1D"/>
        </w:rPr>
        <w:t>,</w:t>
      </w:r>
      <w:r>
        <w:rPr>
          <w:rFonts w:ascii="Arial" w:cs="Arial" w:eastAsia="Arial" w:hAnsi="Arial"/>
          <w:sz w:val="21"/>
          <w:szCs w:val="21"/>
          <w:color w:val="0B0B0B"/>
        </w:rPr>
        <w:t xml:space="preserve"> in excess of </w:t>
      </w:r>
      <w:r>
        <w:rPr>
          <w:rFonts w:ascii="Arial" w:cs="Arial" w:eastAsia="Arial" w:hAnsi="Arial"/>
          <w:sz w:val="21"/>
          <w:szCs w:val="21"/>
          <w:color w:val="0D0D0D"/>
        </w:rPr>
        <w:t>the indemnification and</w:t>
      </w:r>
      <w:r>
        <w:rPr>
          <w:rFonts w:ascii="Arial" w:cs="Arial" w:eastAsia="Arial" w:hAnsi="Arial"/>
          <w:sz w:val="21"/>
          <w:szCs w:val="21"/>
          <w:color w:val="0B0B0B"/>
        </w:rPr>
        <w:t xml:space="preserve"> </w:t>
      </w:r>
      <w:r>
        <w:rPr>
          <w:rFonts w:ascii="Arial" w:cs="Arial" w:eastAsia="Arial" w:hAnsi="Arial"/>
          <w:sz w:val="21"/>
          <w:szCs w:val="21"/>
          <w:color w:val="0D0D0D"/>
        </w:rPr>
        <w:t xml:space="preserve">advancement otherwise permitted by </w:t>
      </w:r>
      <w:r>
        <w:rPr>
          <w:rFonts w:ascii="Arial" w:cs="Arial" w:eastAsia="Arial" w:hAnsi="Arial"/>
          <w:sz w:val="21"/>
          <w:szCs w:val="21"/>
          <w:u w:val="single" w:color="auto"/>
          <w:color w:val="0D0D0D"/>
        </w:rPr>
        <w:t>Section 145</w:t>
      </w:r>
      <w:r>
        <w:rPr>
          <w:rFonts w:ascii="Arial" w:cs="Arial" w:eastAsia="Arial" w:hAnsi="Arial"/>
          <w:sz w:val="21"/>
          <w:szCs w:val="21"/>
          <w:color w:val="0D0D0D"/>
        </w:rPr>
        <w:t xml:space="preserve"> of the General Corporation Law.</w:t>
      </w:r>
    </w:p>
    <w:p>
      <w:pPr>
        <w:spacing w:after="0" w:line="122"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0D0D0D"/>
        </w:rPr>
        <w:t>Any amendment, repeal or modification of the foregoing provisions of this Article Tenth shall not adversely affect any right or protection of any director, officer or other agent of the Corporation existing at the time of such amendment, repeal or modification.</w:t>
      </w:r>
    </w:p>
    <w:p>
      <w:pPr>
        <w:spacing w:after="0" w:line="1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9"/>
          <w:szCs w:val="19"/>
          <w:b w:val="1"/>
          <w:bCs w:val="1"/>
          <w:color w:val="0D0D0D"/>
        </w:rPr>
        <w:t xml:space="preserve">ELEVENTH: </w:t>
      </w:r>
      <w:r>
        <w:rPr>
          <w:rFonts w:ascii="Arial" w:cs="Arial" w:eastAsia="Arial" w:hAnsi="Arial"/>
          <w:sz w:val="19"/>
          <w:szCs w:val="19"/>
          <w:color w:val="0D0D0D"/>
        </w:rPr>
        <w:t>The Corporation renounces, to the fullest extent permitted by law, any interest or expectancy of the</w:t>
      </w:r>
      <w:r>
        <w:rPr>
          <w:rFonts w:ascii="Arial" w:cs="Arial" w:eastAsia="Arial" w:hAnsi="Arial"/>
          <w:sz w:val="19"/>
          <w:szCs w:val="19"/>
          <w:b w:val="1"/>
          <w:bCs w:val="1"/>
          <w:color w:val="0D0D0D"/>
        </w:rPr>
        <w:t xml:space="preserve"> </w:t>
      </w:r>
      <w:r>
        <w:rPr>
          <w:rFonts w:ascii="Arial" w:cs="Arial" w:eastAsia="Arial" w:hAnsi="Arial"/>
          <w:sz w:val="19"/>
          <w:szCs w:val="19"/>
          <w:color w:val="0D0D0D"/>
        </w:rPr>
        <w:t>Corporation in, or in being offered an opportunity to participate in, any Excluded Opportunity. An “</w:t>
      </w:r>
      <w:r>
        <w:rPr>
          <w:rFonts w:ascii="Arial" w:cs="Arial" w:eastAsia="Arial" w:hAnsi="Arial"/>
          <w:sz w:val="19"/>
          <w:szCs w:val="19"/>
          <w:b w:val="1"/>
          <w:bCs w:val="1"/>
          <w:color w:val="0D0D0D"/>
        </w:rPr>
        <w:t>Excluded Opportunity</w:t>
      </w:r>
      <w:r>
        <w:rPr>
          <w:rFonts w:ascii="Arial" w:cs="Arial" w:eastAsia="Arial" w:hAnsi="Arial"/>
          <w:sz w:val="19"/>
          <w:szCs w:val="19"/>
          <w:color w:val="0D0D0D"/>
        </w:rPr>
        <w:t>” is any matter, transaction or interest that is presented to, or acquired, created or developed by, or which otherwise comes into the possession of (i) any director of the Corporation who is not an employee of the Corporation or any of its subsidiaries, or (ii) any holder of Series A Preferred Stock or any partner, member, director, stockholder, employee or agent of any such holder, other than someone who is an employee of the Corporation or any of its subsidiaries (collectively, “</w:t>
      </w:r>
      <w:r>
        <w:rPr>
          <w:rFonts w:ascii="Arial" w:cs="Arial" w:eastAsia="Arial" w:hAnsi="Arial"/>
          <w:sz w:val="19"/>
          <w:szCs w:val="19"/>
          <w:b w:val="1"/>
          <w:bCs w:val="1"/>
          <w:color w:val="0D0D0D"/>
        </w:rPr>
        <w:t>Covered Persons</w:t>
      </w:r>
      <w:r>
        <w:rPr>
          <w:rFonts w:ascii="Arial" w:cs="Arial" w:eastAsia="Arial" w:hAnsi="Arial"/>
          <w:sz w:val="19"/>
          <w:szCs w:val="19"/>
          <w:color w:val="0D0D0D"/>
        </w:rPr>
        <w:t>”</w:t>
      </w:r>
      <w:r>
        <w:rPr>
          <w:rFonts w:ascii="Arial" w:cs="Arial" w:eastAsia="Arial" w:hAnsi="Arial"/>
          <w:sz w:val="19"/>
          <w:szCs w:val="19"/>
          <w:b w:val="1"/>
          <w:bCs w:val="1"/>
          <w:color w:val="0D0D0D"/>
        </w:rPr>
        <w:t>),</w:t>
      </w:r>
      <w:r>
        <w:rPr>
          <w:rFonts w:ascii="Arial" w:cs="Arial" w:eastAsia="Arial" w:hAnsi="Arial"/>
          <w:sz w:val="19"/>
          <w:szCs w:val="19"/>
          <w:color w:val="0D0D0D"/>
        </w:rPr>
        <w:t xml:space="preserve"> unless such matter, transaction or interest is presented to, or acquired, created or developed by</w:t>
      </w:r>
      <w:r>
        <w:rPr>
          <w:rFonts w:ascii="Arial" w:cs="Arial" w:eastAsia="Arial" w:hAnsi="Arial"/>
          <w:sz w:val="19"/>
          <w:szCs w:val="19"/>
          <w:color w:val="2D2D2D"/>
        </w:rPr>
        <w:t>,</w:t>
      </w:r>
      <w:r>
        <w:rPr>
          <w:rFonts w:ascii="Arial" w:cs="Arial" w:eastAsia="Arial" w:hAnsi="Arial"/>
          <w:sz w:val="19"/>
          <w:szCs w:val="19"/>
          <w:color w:val="0D0D0D"/>
        </w:rPr>
        <w:t xml:space="preserve"> or otherwise comes into the possession of, a Covered Person expressly and solely in such Covered Person’s capacity as a director of the Corporation.</w:t>
      </w:r>
    </w:p>
    <w:p>
      <w:pPr>
        <w:spacing w:after="0" w:line="9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b w:val="1"/>
          <w:bCs w:val="1"/>
          <w:color w:val="0D0D0D"/>
        </w:rPr>
        <w:t xml:space="preserve">TWELFTH: </w:t>
      </w:r>
      <w:r>
        <w:rPr>
          <w:rFonts w:ascii="Arial" w:cs="Arial" w:eastAsia="Arial" w:hAnsi="Arial"/>
          <w:sz w:val="19"/>
          <w:szCs w:val="19"/>
          <w:color w:val="0D0D0D"/>
        </w:rPr>
        <w:t>Unless the Corporation consents in writing to the selection of an alternative forum, the Court of</w:t>
      </w:r>
      <w:r>
        <w:rPr>
          <w:rFonts w:ascii="Arial" w:cs="Arial" w:eastAsia="Arial" w:hAnsi="Arial"/>
          <w:sz w:val="19"/>
          <w:szCs w:val="19"/>
          <w:b w:val="1"/>
          <w:bCs w:val="1"/>
          <w:color w:val="0D0D0D"/>
        </w:rPr>
        <w:t xml:space="preserve"> </w:t>
      </w:r>
      <w:r>
        <w:rPr>
          <w:rFonts w:ascii="Arial" w:cs="Arial" w:eastAsia="Arial" w:hAnsi="Arial"/>
          <w:sz w:val="19"/>
          <w:szCs w:val="19"/>
          <w:color w:val="0D0D0D"/>
        </w:rPr>
        <w:t>Chancery in the State of Delaware 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Delaware General Corporation Law or the Corporation’s certificate of incorporation or bylaws or (iv) any action asserting a claim against the Corporation,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cf Chancery within ten days following such determination), which is vested in the exclusive jurisdiction of a court or forum other than the Court of Chancery, or for which the Court of Chancery does not have subject matter jurisdiction. If any provision or provisions of this Article Twelfth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Twelfth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28" w:right="339" w:bottom="1440" w:gutter="0" w:footer="0" w:header="0"/>
        </w:sectPr>
      </w:pPr>
    </w:p>
    <w:bookmarkStart w:id="222" w:name="page223"/>
    <w:bookmarkEnd w:id="222"/>
    <w:p>
      <w:pPr>
        <w:jc w:val="both"/>
        <w:spacing w:after="0" w:line="253" w:lineRule="auto"/>
        <w:rPr>
          <w:sz w:val="20"/>
          <w:szCs w:val="20"/>
          <w:color w:val="auto"/>
        </w:rPr>
      </w:pPr>
      <w:r>
        <w:rPr>
          <w:rFonts w:ascii="Arial" w:cs="Arial" w:eastAsia="Arial" w:hAnsi="Arial"/>
          <w:sz w:val="22"/>
          <w:szCs w:val="22"/>
          <w:color w:val="0D0D0D"/>
        </w:rPr>
        <w:t>without limitation, each portion of any sentence of this Article Twelfth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25"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2"/>
          <w:szCs w:val="22"/>
          <w:b w:val="1"/>
          <w:bCs w:val="1"/>
          <w:color w:val="0D0D0D"/>
        </w:rPr>
        <w:t xml:space="preserve">THIRTEENTH: </w:t>
      </w:r>
      <w:r>
        <w:rPr>
          <w:rFonts w:ascii="Arial" w:cs="Arial" w:eastAsia="Arial" w:hAnsi="Arial"/>
          <w:sz w:val="22"/>
          <w:szCs w:val="22"/>
          <w:color w:val="0D0D0D"/>
        </w:rPr>
        <w:t>For purposes of Section 500 of the California Corporations Code (to the extent applicable), in</w:t>
      </w:r>
      <w:r>
        <w:rPr>
          <w:rFonts w:ascii="Arial" w:cs="Arial" w:eastAsia="Arial" w:hAnsi="Arial"/>
          <w:sz w:val="22"/>
          <w:szCs w:val="22"/>
          <w:b w:val="1"/>
          <w:bCs w:val="1"/>
          <w:color w:val="0D0D0D"/>
        </w:rPr>
        <w:t xml:space="preserve"> </w:t>
      </w:r>
      <w:r>
        <w:rPr>
          <w:rFonts w:ascii="Arial" w:cs="Arial" w:eastAsia="Arial" w:hAnsi="Arial"/>
          <w:sz w:val="22"/>
          <w:szCs w:val="22"/>
          <w:color w:val="0D0D0D"/>
        </w:rPr>
        <w:t xml:space="preserve">connection with any repurchase of shares of Common Stock permitted under this Certificate of Incorporation from employees, officers, directors or consultants of the Corporation in connection with a termination of employment or services </w:t>
      </w:r>
      <w:r>
        <w:rPr>
          <w:rFonts w:ascii="Arial" w:cs="Arial" w:eastAsia="Arial" w:hAnsi="Arial"/>
          <w:sz w:val="22"/>
          <w:szCs w:val="22"/>
          <w:color w:val="0B0B0B"/>
        </w:rPr>
        <w:t>pursuant to</w:t>
      </w:r>
      <w:r>
        <w:rPr>
          <w:rFonts w:ascii="Arial" w:cs="Arial" w:eastAsia="Arial" w:hAnsi="Arial"/>
          <w:sz w:val="22"/>
          <w:szCs w:val="22"/>
          <w:color w:val="0D0D0D"/>
        </w:rPr>
        <w:t xml:space="preserve"> </w:t>
      </w:r>
      <w:r>
        <w:rPr>
          <w:rFonts w:ascii="Arial" w:cs="Arial" w:eastAsia="Arial" w:hAnsi="Arial"/>
          <w:sz w:val="22"/>
          <w:szCs w:val="22"/>
          <w:color w:val="0B0B0B"/>
        </w:rPr>
        <w:t>agreements or arrangements approved by the Board (in addition to any other consent required under this Certificate of Incorporation), such repurchase may be made without regard to any “preferential dividends arrears amount” or “preferential rights amount” (as those terms are defined in Section 500 of the California Corporations Code)</w:t>
      </w:r>
      <w:r>
        <w:rPr>
          <w:rFonts w:ascii="Arial" w:cs="Arial" w:eastAsia="Arial" w:hAnsi="Arial"/>
          <w:sz w:val="22"/>
          <w:szCs w:val="22"/>
          <w:color w:val="282828"/>
        </w:rPr>
        <w:t>.</w:t>
      </w:r>
      <w:r>
        <w:rPr>
          <w:rFonts w:ascii="Arial" w:cs="Arial" w:eastAsia="Arial" w:hAnsi="Arial"/>
          <w:sz w:val="22"/>
          <w:szCs w:val="22"/>
          <w:color w:val="0B0B0B"/>
        </w:rPr>
        <w:t xml:space="preserve"> Accordingly, for purposes of making any calculation under California Corporations Code Section 500 in connection with such repurchase, the amount of any “preferential dividends arrears amount” or “preferential rights amount” (as those terms are defined therein) shall be deemed to be zero (0).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28" w:right="339" w:bottom="1440" w:gutter="0" w:footer="0" w:header="0"/>
        </w:sectPr>
      </w:pPr>
    </w:p>
    <w:bookmarkStart w:id="223" w:name="page224"/>
    <w:bookmarkEnd w:id="223"/>
    <w:p>
      <w:pPr>
        <w:ind w:firstLine="648"/>
        <w:spacing w:after="0" w:line="263" w:lineRule="auto"/>
        <w:rPr>
          <w:sz w:val="20"/>
          <w:szCs w:val="20"/>
          <w:color w:val="auto"/>
        </w:rPr>
      </w:pPr>
      <w:r>
        <w:rPr>
          <w:rFonts w:ascii="Arial" w:cs="Arial" w:eastAsia="Arial" w:hAnsi="Arial"/>
          <w:sz w:val="22"/>
          <w:szCs w:val="22"/>
          <w:color w:val="0B0B0B"/>
        </w:rPr>
        <w:t>I, the undersigned, as the chief e</w:t>
      </w:r>
      <w:r>
        <w:rPr>
          <w:rFonts w:ascii="Arial" w:cs="Arial" w:eastAsia="Arial" w:hAnsi="Arial"/>
          <w:sz w:val="22"/>
          <w:szCs w:val="22"/>
          <w:color w:val="1A1A1A"/>
        </w:rPr>
        <w:t>x</w:t>
      </w:r>
      <w:r>
        <w:rPr>
          <w:rFonts w:ascii="Arial" w:cs="Arial" w:eastAsia="Arial" w:hAnsi="Arial"/>
          <w:sz w:val="22"/>
          <w:szCs w:val="22"/>
          <w:color w:val="0B0B0B"/>
        </w:rPr>
        <w:t>ecutive officer of the C</w:t>
      </w:r>
      <w:r>
        <w:rPr>
          <w:rFonts w:ascii="Arial" w:cs="Arial" w:eastAsia="Arial" w:hAnsi="Arial"/>
          <w:sz w:val="22"/>
          <w:szCs w:val="22"/>
          <w:color w:val="1A1A1A"/>
        </w:rPr>
        <w:t>o</w:t>
      </w:r>
      <w:r>
        <w:rPr>
          <w:rFonts w:ascii="Arial" w:cs="Arial" w:eastAsia="Arial" w:hAnsi="Arial"/>
          <w:sz w:val="22"/>
          <w:szCs w:val="22"/>
          <w:color w:val="0B0B0B"/>
        </w:rPr>
        <w:t xml:space="preserve">rporation, have signed this </w:t>
      </w:r>
      <w:r>
        <w:rPr>
          <w:rFonts w:ascii="Arial" w:cs="Arial" w:eastAsia="Arial" w:hAnsi="Arial"/>
          <w:sz w:val="22"/>
          <w:szCs w:val="22"/>
          <w:color w:val="1A1A1A"/>
        </w:rPr>
        <w:t>S</w:t>
      </w:r>
      <w:r>
        <w:rPr>
          <w:rFonts w:ascii="Arial" w:cs="Arial" w:eastAsia="Arial" w:hAnsi="Arial"/>
          <w:sz w:val="22"/>
          <w:szCs w:val="22"/>
          <w:color w:val="0B0B0B"/>
        </w:rPr>
        <w:t>econd Amend</w:t>
      </w:r>
      <w:r>
        <w:rPr>
          <w:rFonts w:ascii="Arial" w:cs="Arial" w:eastAsia="Arial" w:hAnsi="Arial"/>
          <w:sz w:val="22"/>
          <w:szCs w:val="22"/>
          <w:color w:val="1A1A1A"/>
        </w:rPr>
        <w:t>e</w:t>
      </w:r>
      <w:r>
        <w:rPr>
          <w:rFonts w:ascii="Arial" w:cs="Arial" w:eastAsia="Arial" w:hAnsi="Arial"/>
          <w:sz w:val="22"/>
          <w:szCs w:val="22"/>
          <w:color w:val="0B0B0B"/>
        </w:rPr>
        <w:t>d and Re</w:t>
      </w:r>
      <w:r>
        <w:rPr>
          <w:rFonts w:ascii="Arial" w:cs="Arial" w:eastAsia="Arial" w:hAnsi="Arial"/>
          <w:sz w:val="22"/>
          <w:szCs w:val="22"/>
          <w:color w:val="1A1A1A"/>
        </w:rPr>
        <w:t>s</w:t>
      </w:r>
      <w:r>
        <w:rPr>
          <w:rFonts w:ascii="Arial" w:cs="Arial" w:eastAsia="Arial" w:hAnsi="Arial"/>
          <w:sz w:val="22"/>
          <w:szCs w:val="22"/>
          <w:color w:val="0B0B0B"/>
        </w:rPr>
        <w:t>tated Cert</w:t>
      </w:r>
      <w:r>
        <w:rPr>
          <w:rFonts w:ascii="Arial" w:cs="Arial" w:eastAsia="Arial" w:hAnsi="Arial"/>
          <w:sz w:val="22"/>
          <w:szCs w:val="22"/>
          <w:color w:val="1A1A1A"/>
        </w:rPr>
        <w:t>i</w:t>
      </w:r>
      <w:r>
        <w:rPr>
          <w:rFonts w:ascii="Arial" w:cs="Arial" w:eastAsia="Arial" w:hAnsi="Arial"/>
          <w:sz w:val="22"/>
          <w:szCs w:val="22"/>
          <w:color w:val="0B0B0B"/>
        </w:rPr>
        <w:t>ficate of In</w:t>
      </w:r>
      <w:r>
        <w:rPr>
          <w:rFonts w:ascii="Arial" w:cs="Arial" w:eastAsia="Arial" w:hAnsi="Arial"/>
          <w:sz w:val="22"/>
          <w:szCs w:val="22"/>
          <w:color w:val="1A1A1A"/>
        </w:rPr>
        <w:t>c</w:t>
      </w:r>
      <w:r>
        <w:rPr>
          <w:rFonts w:ascii="Arial" w:cs="Arial" w:eastAsia="Arial" w:hAnsi="Arial"/>
          <w:sz w:val="22"/>
          <w:szCs w:val="22"/>
          <w:color w:val="0B0B0B"/>
        </w:rPr>
        <w:t>orporation on thi</w:t>
      </w:r>
      <w:r>
        <w:rPr>
          <w:rFonts w:ascii="Arial" w:cs="Arial" w:eastAsia="Arial" w:hAnsi="Arial"/>
          <w:sz w:val="22"/>
          <w:szCs w:val="22"/>
          <w:color w:val="1A1A1A"/>
        </w:rPr>
        <w:t>s</w:t>
      </w:r>
      <w:r>
        <w:rPr>
          <w:rFonts w:ascii="Arial" w:cs="Arial" w:eastAsia="Arial" w:hAnsi="Arial"/>
          <w:sz w:val="22"/>
          <w:szCs w:val="22"/>
          <w:color w:val="0B0B0B"/>
        </w:rPr>
        <w:t xml:space="preserve"> 29th day of January</w:t>
      </w:r>
      <w:r>
        <w:rPr>
          <w:rFonts w:ascii="Arial" w:cs="Arial" w:eastAsia="Arial" w:hAnsi="Arial"/>
          <w:sz w:val="22"/>
          <w:szCs w:val="22"/>
          <w:color w:val="1A1A1A"/>
        </w:rPr>
        <w:t>,</w:t>
      </w:r>
      <w:r>
        <w:rPr>
          <w:rFonts w:ascii="Arial" w:cs="Arial" w:eastAsia="Arial" w:hAnsi="Arial"/>
          <w:sz w:val="22"/>
          <w:szCs w:val="22"/>
          <w:color w:val="0B0B0B"/>
        </w:rPr>
        <w:t xml:space="preserve"> 20</w:t>
      </w:r>
      <w:r>
        <w:rPr>
          <w:rFonts w:ascii="Arial" w:cs="Arial" w:eastAsia="Arial" w:hAnsi="Arial"/>
          <w:sz w:val="22"/>
          <w:szCs w:val="22"/>
          <w:color w:val="1A1A1A"/>
        </w:rPr>
        <w:t>1</w:t>
      </w:r>
      <w:r>
        <w:rPr>
          <w:rFonts w:ascii="Arial" w:cs="Arial" w:eastAsia="Arial" w:hAnsi="Arial"/>
          <w:sz w:val="22"/>
          <w:szCs w:val="22"/>
          <w:color w:val="0B0B0B"/>
        </w:rPr>
        <w:t>5.</w:t>
      </w:r>
    </w:p>
    <w:p>
      <w:pPr>
        <w:spacing w:after="0" w:line="175" w:lineRule="exact"/>
        <w:rPr>
          <w:sz w:val="20"/>
          <w:szCs w:val="20"/>
          <w:color w:val="auto"/>
        </w:rPr>
      </w:pPr>
    </w:p>
    <w:p>
      <w:pPr>
        <w:ind w:left="6420"/>
        <w:spacing w:after="0"/>
        <w:rPr>
          <w:sz w:val="20"/>
          <w:szCs w:val="20"/>
          <w:color w:val="auto"/>
        </w:rPr>
      </w:pPr>
      <w:r>
        <w:rPr>
          <w:rFonts w:ascii="Arial" w:cs="Arial" w:eastAsia="Arial" w:hAnsi="Arial"/>
          <w:sz w:val="22"/>
          <w:szCs w:val="22"/>
          <w:color w:val="auto"/>
        </w:rPr>
        <w:t>/s/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24130</wp:posOffset>
            </wp:positionV>
            <wp:extent cx="306006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51" w:lineRule="exact"/>
        <w:rPr>
          <w:sz w:val="20"/>
          <w:szCs w:val="20"/>
          <w:color w:val="auto"/>
        </w:rPr>
      </w:pPr>
    </w:p>
    <w:p>
      <w:pPr>
        <w:ind w:left="6420"/>
        <w:spacing w:after="0"/>
        <w:rPr>
          <w:sz w:val="20"/>
          <w:szCs w:val="20"/>
          <w:color w:val="auto"/>
        </w:rPr>
      </w:pPr>
      <w:r>
        <w:rPr>
          <w:rFonts w:ascii="Arial" w:cs="Arial" w:eastAsia="Arial" w:hAnsi="Arial"/>
          <w:sz w:val="22"/>
          <w:szCs w:val="22"/>
          <w:color w:val="auto"/>
        </w:rPr>
        <w:t>Tim Chen</w:t>
      </w:r>
    </w:p>
    <w:p>
      <w:pPr>
        <w:spacing w:after="0" w:line="58" w:lineRule="exact"/>
        <w:rPr>
          <w:sz w:val="20"/>
          <w:szCs w:val="20"/>
          <w:color w:val="auto"/>
        </w:rPr>
      </w:pPr>
    </w:p>
    <w:p>
      <w:pPr>
        <w:ind w:left="642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0B0B0B"/>
        </w:rPr>
        <w:t>N</w:t>
      </w:r>
      <w:r>
        <w:rPr>
          <w:rFonts w:ascii="Arial" w:cs="Arial" w:eastAsia="Arial" w:hAnsi="Arial"/>
          <w:sz w:val="16"/>
          <w:szCs w:val="16"/>
          <w:color w:val="1A1A1A"/>
        </w:rPr>
        <w:t>e</w:t>
      </w:r>
      <w:r>
        <w:rPr>
          <w:rFonts w:ascii="Arial" w:cs="Arial" w:eastAsia="Arial" w:hAnsi="Arial"/>
          <w:sz w:val="16"/>
          <w:szCs w:val="16"/>
          <w:color w:val="0B0B0B"/>
        </w:rPr>
        <w:t>rdW</w:t>
      </w:r>
      <w:r>
        <w:rPr>
          <w:rFonts w:ascii="Arial" w:cs="Arial" w:eastAsia="Arial" w:hAnsi="Arial"/>
          <w:sz w:val="16"/>
          <w:szCs w:val="16"/>
          <w:color w:val="1A1A1A"/>
        </w:rPr>
        <w:t>a</w:t>
      </w:r>
      <w:r>
        <w:rPr>
          <w:rFonts w:ascii="Arial" w:cs="Arial" w:eastAsia="Arial" w:hAnsi="Arial"/>
          <w:sz w:val="16"/>
          <w:szCs w:val="16"/>
          <w:color w:val="0B0B0B"/>
        </w:rPr>
        <w:t>ll</w:t>
      </w:r>
      <w:r>
        <w:rPr>
          <w:rFonts w:ascii="Arial" w:cs="Arial" w:eastAsia="Arial" w:hAnsi="Arial"/>
          <w:sz w:val="16"/>
          <w:szCs w:val="16"/>
          <w:color w:val="1A1A1A"/>
        </w:rPr>
        <w:t>e</w:t>
      </w:r>
      <w:r>
        <w:rPr>
          <w:rFonts w:ascii="Arial" w:cs="Arial" w:eastAsia="Arial" w:hAnsi="Arial"/>
          <w:sz w:val="16"/>
          <w:szCs w:val="16"/>
          <w:color w:val="0B0B0B"/>
        </w:rPr>
        <w:t>t</w:t>
      </w:r>
      <w:r>
        <w:rPr>
          <w:rFonts w:ascii="Arial" w:cs="Arial" w:eastAsia="Arial" w:hAnsi="Arial"/>
          <w:sz w:val="16"/>
          <w:szCs w:val="16"/>
          <w:color w:val="1A1A1A"/>
        </w:rPr>
        <w:t>,</w:t>
      </w:r>
      <w:r>
        <w:rPr>
          <w:rFonts w:ascii="Arial" w:cs="Arial" w:eastAsia="Arial" w:hAnsi="Arial"/>
          <w:sz w:val="16"/>
          <w:szCs w:val="16"/>
          <w:color w:val="0B0B0B"/>
        </w:rPr>
        <w:t xml:space="preserve"> Inc</w:t>
      </w:r>
      <w:r>
        <w:rPr>
          <w:rFonts w:ascii="Arial" w:cs="Arial" w:eastAsia="Arial" w:hAnsi="Arial"/>
          <w:sz w:val="16"/>
          <w:szCs w:val="16"/>
          <w:color w:val="1A1A1A"/>
        </w:rPr>
        <w:t>.</w:t>
      </w:r>
      <w:r>
        <w:rPr>
          <w:rFonts w:ascii="Arial" w:cs="Arial" w:eastAsia="Arial" w:hAnsi="Arial"/>
          <w:sz w:val="16"/>
          <w:szCs w:val="16"/>
          <w:color w:val="0B0B0B"/>
        </w:rPr>
        <w:t xml:space="preserve"> S</w:t>
      </w:r>
      <w:r>
        <w:rPr>
          <w:rFonts w:ascii="Arial" w:cs="Arial" w:eastAsia="Arial" w:hAnsi="Arial"/>
          <w:sz w:val="16"/>
          <w:szCs w:val="16"/>
          <w:color w:val="1A1A1A"/>
        </w:rPr>
        <w:t>ec</w:t>
      </w:r>
      <w:r>
        <w:rPr>
          <w:rFonts w:ascii="Arial" w:cs="Arial" w:eastAsia="Arial" w:hAnsi="Arial"/>
          <w:sz w:val="16"/>
          <w:szCs w:val="16"/>
          <w:color w:val="0B0B0B"/>
        </w:rPr>
        <w:t xml:space="preserve">ond </w:t>
      </w:r>
      <w:r>
        <w:rPr>
          <w:rFonts w:ascii="Arial" w:cs="Arial" w:eastAsia="Arial" w:hAnsi="Arial"/>
          <w:sz w:val="16"/>
          <w:szCs w:val="16"/>
          <w:color w:val="1A1A1A"/>
        </w:rPr>
        <w:t>Ame</w:t>
      </w:r>
      <w:r>
        <w:rPr>
          <w:rFonts w:ascii="Arial" w:cs="Arial" w:eastAsia="Arial" w:hAnsi="Arial"/>
          <w:sz w:val="16"/>
          <w:szCs w:val="16"/>
          <w:color w:val="0B0B0B"/>
        </w:rPr>
        <w:t>nd</w:t>
      </w:r>
      <w:r>
        <w:rPr>
          <w:rFonts w:ascii="Arial" w:cs="Arial" w:eastAsia="Arial" w:hAnsi="Arial"/>
          <w:sz w:val="16"/>
          <w:szCs w:val="16"/>
          <w:color w:val="1A1A1A"/>
        </w:rPr>
        <w:t>e</w:t>
      </w:r>
      <w:r>
        <w:rPr>
          <w:rFonts w:ascii="Arial" w:cs="Arial" w:eastAsia="Arial" w:hAnsi="Arial"/>
          <w:sz w:val="16"/>
          <w:szCs w:val="16"/>
          <w:color w:val="0B0B0B"/>
        </w:rPr>
        <w:t>d and R</w:t>
      </w:r>
      <w:r>
        <w:rPr>
          <w:rFonts w:ascii="Arial" w:cs="Arial" w:eastAsia="Arial" w:hAnsi="Arial"/>
          <w:sz w:val="16"/>
          <w:szCs w:val="16"/>
          <w:color w:val="1A1A1A"/>
        </w:rPr>
        <w:t>es</w:t>
      </w:r>
      <w:r>
        <w:rPr>
          <w:rFonts w:ascii="Arial" w:cs="Arial" w:eastAsia="Arial" w:hAnsi="Arial"/>
          <w:sz w:val="16"/>
          <w:szCs w:val="16"/>
          <w:color w:val="0B0B0B"/>
        </w:rPr>
        <w:t>t</w:t>
      </w:r>
      <w:r>
        <w:rPr>
          <w:rFonts w:ascii="Arial" w:cs="Arial" w:eastAsia="Arial" w:hAnsi="Arial"/>
          <w:sz w:val="16"/>
          <w:szCs w:val="16"/>
          <w:color w:val="1A1A1A"/>
        </w:rPr>
        <w:t>a</w:t>
      </w:r>
      <w:r>
        <w:rPr>
          <w:rFonts w:ascii="Arial" w:cs="Arial" w:eastAsia="Arial" w:hAnsi="Arial"/>
          <w:sz w:val="16"/>
          <w:szCs w:val="16"/>
          <w:color w:val="0B0B0B"/>
        </w:rPr>
        <w:t>t</w:t>
      </w:r>
      <w:r>
        <w:rPr>
          <w:rFonts w:ascii="Arial" w:cs="Arial" w:eastAsia="Arial" w:hAnsi="Arial"/>
          <w:sz w:val="16"/>
          <w:szCs w:val="16"/>
          <w:color w:val="1A1A1A"/>
        </w:rPr>
        <w:t>e</w:t>
      </w:r>
      <w:r>
        <w:rPr>
          <w:rFonts w:ascii="Arial" w:cs="Arial" w:eastAsia="Arial" w:hAnsi="Arial"/>
          <w:sz w:val="16"/>
          <w:szCs w:val="16"/>
          <w:color w:val="0B0B0B"/>
        </w:rPr>
        <w:t xml:space="preserve">d </w:t>
      </w:r>
      <w:r>
        <w:rPr>
          <w:rFonts w:ascii="Arial" w:cs="Arial" w:eastAsia="Arial" w:hAnsi="Arial"/>
          <w:sz w:val="16"/>
          <w:szCs w:val="16"/>
          <w:color w:val="1A1A1A"/>
        </w:rPr>
        <w:t>Ce</w:t>
      </w:r>
      <w:r>
        <w:rPr>
          <w:rFonts w:ascii="Arial" w:cs="Arial" w:eastAsia="Arial" w:hAnsi="Arial"/>
          <w:sz w:val="16"/>
          <w:szCs w:val="16"/>
          <w:color w:val="0B0B0B"/>
        </w:rPr>
        <w:t>rt</w:t>
      </w:r>
      <w:r>
        <w:rPr>
          <w:rFonts w:ascii="Arial" w:cs="Arial" w:eastAsia="Arial" w:hAnsi="Arial"/>
          <w:sz w:val="16"/>
          <w:szCs w:val="16"/>
          <w:color w:val="1A1A1A"/>
        </w:rPr>
        <w:t>i</w:t>
      </w:r>
      <w:r>
        <w:rPr>
          <w:rFonts w:ascii="Arial" w:cs="Arial" w:eastAsia="Arial" w:hAnsi="Arial"/>
          <w:sz w:val="16"/>
          <w:szCs w:val="16"/>
          <w:color w:val="0B0B0B"/>
        </w:rPr>
        <w:t>fi</w:t>
      </w:r>
      <w:r>
        <w:rPr>
          <w:rFonts w:ascii="Arial" w:cs="Arial" w:eastAsia="Arial" w:hAnsi="Arial"/>
          <w:sz w:val="16"/>
          <w:szCs w:val="16"/>
          <w:color w:val="1A1A1A"/>
        </w:rPr>
        <w:t>ca</w:t>
      </w:r>
      <w:r>
        <w:rPr>
          <w:rFonts w:ascii="Arial" w:cs="Arial" w:eastAsia="Arial" w:hAnsi="Arial"/>
          <w:sz w:val="16"/>
          <w:szCs w:val="16"/>
          <w:color w:val="0B0B0B"/>
        </w:rPr>
        <w:t>t</w:t>
      </w:r>
      <w:r>
        <w:rPr>
          <w:rFonts w:ascii="Arial" w:cs="Arial" w:eastAsia="Arial" w:hAnsi="Arial"/>
          <w:sz w:val="16"/>
          <w:szCs w:val="16"/>
          <w:color w:val="1A1A1A"/>
        </w:rPr>
        <w:t>e</w:t>
      </w:r>
      <w:r>
        <w:rPr>
          <w:rFonts w:ascii="Arial" w:cs="Arial" w:eastAsia="Arial" w:hAnsi="Arial"/>
          <w:sz w:val="16"/>
          <w:szCs w:val="16"/>
          <w:color w:val="0B0B0B"/>
        </w:rPr>
        <w:t xml:space="preserve"> o</w:t>
      </w:r>
      <w:r>
        <w:rPr>
          <w:rFonts w:ascii="Arial" w:cs="Arial" w:eastAsia="Arial" w:hAnsi="Arial"/>
          <w:sz w:val="16"/>
          <w:szCs w:val="16"/>
          <w:color w:val="1A1A1A"/>
        </w:rPr>
        <w:t>f I</w:t>
      </w:r>
      <w:r>
        <w:rPr>
          <w:rFonts w:ascii="Arial" w:cs="Arial" w:eastAsia="Arial" w:hAnsi="Arial"/>
          <w:sz w:val="16"/>
          <w:szCs w:val="16"/>
          <w:color w:val="0B0B0B"/>
        </w:rPr>
        <w:t>n</w:t>
      </w:r>
      <w:r>
        <w:rPr>
          <w:rFonts w:ascii="Arial" w:cs="Arial" w:eastAsia="Arial" w:hAnsi="Arial"/>
          <w:sz w:val="16"/>
          <w:szCs w:val="16"/>
          <w:color w:val="1A1A1A"/>
        </w:rPr>
        <w:t>co</w:t>
      </w:r>
      <w:r>
        <w:rPr>
          <w:rFonts w:ascii="Arial" w:cs="Arial" w:eastAsia="Arial" w:hAnsi="Arial"/>
          <w:sz w:val="16"/>
          <w:szCs w:val="16"/>
          <w:color w:val="0B0B0B"/>
        </w:rPr>
        <w:t>rp</w:t>
      </w:r>
      <w:r>
        <w:rPr>
          <w:rFonts w:ascii="Arial" w:cs="Arial" w:eastAsia="Arial" w:hAnsi="Arial"/>
          <w:sz w:val="16"/>
          <w:szCs w:val="16"/>
          <w:color w:val="1A1A1A"/>
        </w:rPr>
        <w:t>o</w:t>
      </w:r>
      <w:r>
        <w:rPr>
          <w:rFonts w:ascii="Arial" w:cs="Arial" w:eastAsia="Arial" w:hAnsi="Arial"/>
          <w:sz w:val="16"/>
          <w:szCs w:val="16"/>
          <w:color w:val="0B0B0B"/>
        </w:rPr>
        <w:t>r</w:t>
      </w:r>
      <w:r>
        <w:rPr>
          <w:rFonts w:ascii="Arial" w:cs="Arial" w:eastAsia="Arial" w:hAnsi="Arial"/>
          <w:sz w:val="16"/>
          <w:szCs w:val="16"/>
          <w:color w:val="1A1A1A"/>
        </w:rPr>
        <w:t>a</w:t>
      </w:r>
      <w:r>
        <w:rPr>
          <w:rFonts w:ascii="Arial" w:cs="Arial" w:eastAsia="Arial" w:hAnsi="Arial"/>
          <w:sz w:val="16"/>
          <w:szCs w:val="16"/>
          <w:color w:val="0B0B0B"/>
        </w:rPr>
        <w:t>ti</w:t>
      </w:r>
      <w:r>
        <w:rPr>
          <w:rFonts w:ascii="Arial" w:cs="Arial" w:eastAsia="Arial" w:hAnsi="Arial"/>
          <w:sz w:val="16"/>
          <w:szCs w:val="16"/>
          <w:color w:val="1A1A1A"/>
        </w:rPr>
        <w:t>on</w:t>
      </w:r>
    </w:p>
    <w:p>
      <w:pPr>
        <w:sectPr>
          <w:pgSz w:w="11900" w:h="16838" w:orient="portrait"/>
          <w:cols w:equalWidth="0" w:num="1">
            <w:col w:w="11240"/>
          </w:cols>
          <w:pgMar w:left="320" w:top="1428" w:right="339" w:bottom="1440" w:gutter="0" w:footer="0" w:header="0"/>
        </w:sectPr>
      </w:pPr>
    </w:p>
    <w:bookmarkStart w:id="224" w:name="page225"/>
    <w:bookmarkEnd w:id="224"/>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OF VALIDATION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OF AMENDMENT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AMENDED AND RESTATED CERTIFICATE OF INCORPORATION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NERDWALLET, INC.</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(Pursuant to Section 204 of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Delaware General Corporation Law)</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NerdWallet, Inc., a Delaware corporation (the “</w:t>
      </w:r>
      <w:r>
        <w:rPr>
          <w:rFonts w:ascii="Arial" w:cs="Arial" w:eastAsia="Arial" w:hAnsi="Arial"/>
          <w:sz w:val="22"/>
          <w:szCs w:val="22"/>
          <w:b w:val="1"/>
          <w:bCs w:val="1"/>
          <w:color w:val="auto"/>
        </w:rPr>
        <w:t>Corporation</w:t>
      </w:r>
      <w:r>
        <w:rPr>
          <w:rFonts w:ascii="Arial" w:cs="Arial" w:eastAsia="Arial" w:hAnsi="Arial"/>
          <w:sz w:val="22"/>
          <w:szCs w:val="22"/>
          <w:color w:val="auto"/>
        </w:rPr>
        <w:t>”), does hereby certify that:</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u w:val="single" w:color="auto"/>
          <w:color w:val="auto"/>
        </w:rPr>
        <w:t>First</w:t>
      </w:r>
      <w:r>
        <w:rPr>
          <w:rFonts w:ascii="Arial" w:cs="Arial" w:eastAsia="Arial" w:hAnsi="Arial"/>
          <w:sz w:val="22"/>
          <w:szCs w:val="22"/>
          <w:color w:val="auto"/>
        </w:rPr>
        <w:t>: The possibly defective possibly corporate act that is the subject of this Certificate of Validation is (i) the transfer of</w:t>
      </w:r>
      <w:r>
        <w:rPr>
          <w:rFonts w:ascii="Arial" w:cs="Arial" w:eastAsia="Arial" w:hAnsi="Arial"/>
          <w:sz w:val="22"/>
          <w:szCs w:val="22"/>
          <w:b w:val="1"/>
          <w:bCs w:val="1"/>
          <w:color w:val="auto"/>
        </w:rPr>
        <w:t xml:space="preserve"> </w:t>
      </w:r>
      <w:r>
        <w:rPr>
          <w:rFonts w:ascii="Arial" w:cs="Arial" w:eastAsia="Arial" w:hAnsi="Arial"/>
          <w:sz w:val="22"/>
          <w:szCs w:val="22"/>
          <w:color w:val="auto"/>
        </w:rPr>
        <w:t>14,000,000 shares of Class F Common Stock of the Corporation on May 20, 2016 and (ii) the recording and registration by the Corporation on the same date of the aforementioned transfer as a transfer of Class F Common Stock of the Corporation on the books and records of the Corporation.</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b w:val="1"/>
          <w:bCs w:val="1"/>
          <w:u w:val="single" w:color="auto"/>
          <w:color w:val="auto"/>
        </w:rPr>
        <w:t>Second</w:t>
      </w:r>
      <w:r>
        <w:rPr>
          <w:rFonts w:ascii="Arial" w:cs="Arial" w:eastAsia="Arial" w:hAnsi="Arial"/>
          <w:sz w:val="21"/>
          <w:szCs w:val="21"/>
          <w:color w:val="auto"/>
        </w:rPr>
        <w:t>: The nature of the failures of authorization in respect of the possibly defective corporate act identified in</w:t>
      </w:r>
      <w:r>
        <w:rPr>
          <w:rFonts w:ascii="Arial" w:cs="Arial" w:eastAsia="Arial" w:hAnsi="Arial"/>
          <w:sz w:val="21"/>
          <w:szCs w:val="21"/>
          <w:b w:val="1"/>
          <w:bCs w:val="1"/>
          <w:color w:val="auto"/>
        </w:rPr>
        <w:t xml:space="preserve"> </w:t>
      </w:r>
      <w:r>
        <w:rPr>
          <w:rFonts w:ascii="Arial" w:cs="Arial" w:eastAsia="Arial" w:hAnsi="Arial"/>
          <w:sz w:val="21"/>
          <w:szCs w:val="21"/>
          <w:color w:val="auto"/>
        </w:rPr>
        <w:t>Paragraph First is the transfer of Class F Common Stock listed above and the recording and registration thereof on the Corporation’s books and records may have required an amendment to the Corporation’s certificate of incorporation to permit such transfer to occur as a transfer of Class F Common Stock without resulting in a conversion of the shares of Class F Common Stock transferred into shares of Class A Common Stock. Stockholders holding shares that represented the voting power of the Corporation’s outstanding capital stock that would have been sufficient to approve the amendment to the Corporation’s certificate of incorporation that should have been filed with the Office of the Secretary of State of the State of Delaware (the “</w:t>
      </w:r>
      <w:r>
        <w:rPr>
          <w:rFonts w:ascii="Arial" w:cs="Arial" w:eastAsia="Arial" w:hAnsi="Arial"/>
          <w:sz w:val="21"/>
          <w:szCs w:val="21"/>
          <w:b w:val="1"/>
          <w:bCs w:val="1"/>
          <w:color w:val="auto"/>
        </w:rPr>
        <w:t>State Office</w:t>
      </w:r>
      <w:r>
        <w:rPr>
          <w:rFonts w:ascii="Arial" w:cs="Arial" w:eastAsia="Arial" w:hAnsi="Arial"/>
          <w:sz w:val="21"/>
          <w:szCs w:val="21"/>
          <w:color w:val="auto"/>
        </w:rPr>
        <w:t>”) to give effect to such transfer executed a consent that determined that such transfer would constitute a transfer to a “Permitted Entity” under the Corporation’s certificate of incorporation and that the shares so transferred would remain outstanding as Class F Common Stock. However, such an amendment was not approved and filed with the State Office prior to the aforementioned transfer.</w:t>
      </w:r>
    </w:p>
    <w:p>
      <w:pPr>
        <w:spacing w:after="0" w:line="182"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u w:val="single" w:color="auto"/>
          <w:color w:val="auto"/>
        </w:rPr>
        <w:t>Third</w:t>
      </w:r>
      <w:r>
        <w:rPr>
          <w:rFonts w:ascii="Arial" w:cs="Arial" w:eastAsia="Arial" w:hAnsi="Arial"/>
          <w:sz w:val="19"/>
          <w:szCs w:val="19"/>
          <w:color w:val="auto"/>
        </w:rPr>
        <w:t>: The possibly defective corporate act identified in Paragraph First was ratified in accordance with Section 204 of</w:t>
      </w:r>
      <w:r>
        <w:rPr>
          <w:rFonts w:ascii="Arial" w:cs="Arial" w:eastAsia="Arial" w:hAnsi="Arial"/>
          <w:sz w:val="19"/>
          <w:szCs w:val="19"/>
          <w:b w:val="1"/>
          <w:bCs w:val="1"/>
          <w:color w:val="auto"/>
        </w:rPr>
        <w:t xml:space="preserve"> </w:t>
      </w:r>
      <w:r>
        <w:rPr>
          <w:rFonts w:ascii="Arial" w:cs="Arial" w:eastAsia="Arial" w:hAnsi="Arial"/>
          <w:sz w:val="19"/>
          <w:szCs w:val="19"/>
          <w:color w:val="auto"/>
        </w:rPr>
        <w:t>the DGCL. The Board of Directors of the Corporation ratified such act on August 21, 2019, pursuant to duly adopted resolutions. The stockholders of the Corporation approved the ratification of such act on August 27, 2019, pursuant to resolutions duly adopted by written consent in lieu of a meeting pursuant to Section 228 of the Delaware General Corporation law (the “</w:t>
      </w:r>
      <w:r>
        <w:rPr>
          <w:rFonts w:ascii="Arial" w:cs="Arial" w:eastAsia="Arial" w:hAnsi="Arial"/>
          <w:sz w:val="19"/>
          <w:szCs w:val="19"/>
          <w:b w:val="1"/>
          <w:bCs w:val="1"/>
          <w:color w:val="auto"/>
        </w:rPr>
        <w:t>DGCL</w:t>
      </w:r>
      <w:r>
        <w:rPr>
          <w:rFonts w:ascii="Arial" w:cs="Arial" w:eastAsia="Arial" w:hAnsi="Arial"/>
          <w:sz w:val="19"/>
          <w:szCs w:val="19"/>
          <w:color w:val="auto"/>
        </w:rPr>
        <w:t>”).</w:t>
      </w:r>
    </w:p>
    <w:p>
      <w:pPr>
        <w:spacing w:after="0" w:line="13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u w:val="single" w:color="auto"/>
          <w:color w:val="auto"/>
        </w:rPr>
        <w:t>Fourth</w:t>
      </w:r>
      <w:r>
        <w:rPr>
          <w:rFonts w:ascii="Arial" w:cs="Arial" w:eastAsia="Arial" w:hAnsi="Arial"/>
          <w:sz w:val="22"/>
          <w:szCs w:val="22"/>
          <w:color w:val="auto"/>
        </w:rPr>
        <w:t>: No certificate was previously filed with the State Office in respect of the aforementioned possibly defective</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corporate act. A Certificate of Amendment of the Second Amended and Restated Certificate of Incorporation of the Corporation, containing all of the</w:t>
      </w:r>
    </w:p>
    <w:p>
      <w:pPr>
        <w:sectPr>
          <w:pgSz w:w="11900" w:h="16838" w:orient="portrait"/>
          <w:cols w:equalWidth="0" w:num="1">
            <w:col w:w="11240"/>
          </w:cols>
          <w:pgMar w:left="320" w:top="121" w:right="339" w:bottom="1440" w:gutter="0" w:footer="0" w:header="0"/>
        </w:sectPr>
      </w:pPr>
    </w:p>
    <w:bookmarkStart w:id="225" w:name="page226"/>
    <w:bookmarkEnd w:id="225"/>
    <w:p>
      <w:pPr>
        <w:jc w:val="both"/>
        <w:spacing w:after="0" w:line="253" w:lineRule="auto"/>
        <w:rPr>
          <w:sz w:val="20"/>
          <w:szCs w:val="20"/>
          <w:color w:val="auto"/>
        </w:rPr>
      </w:pPr>
      <w:r>
        <w:rPr>
          <w:rFonts w:ascii="Arial" w:cs="Arial" w:eastAsia="Arial" w:hAnsi="Arial"/>
          <w:sz w:val="22"/>
          <w:szCs w:val="22"/>
          <w:color w:val="auto"/>
        </w:rPr>
        <w:t>information that would be required under Section 242 of the DGCL to give effect to such act, is attached hereto as Exhibit A and incorporated herein by reference. Such Certificate of Amendment shall be deemed to have become effective at 12:01 a.m. (local time in Wilmington, Delaware) on May 20, 2016.</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ectPr>
          <w:pgSz w:w="11900" w:h="16838" w:orient="portrait"/>
          <w:cols w:equalWidth="0" w:num="1">
            <w:col w:w="11240"/>
          </w:cols>
          <w:pgMar w:left="320" w:top="1428" w:right="339" w:bottom="1440" w:gutter="0" w:footer="0" w:header="0"/>
        </w:sectPr>
      </w:pPr>
    </w:p>
    <w:bookmarkStart w:id="226" w:name="page227"/>
    <w:bookmarkEnd w:id="226"/>
    <w:p>
      <w:pPr>
        <w:ind w:firstLine="648"/>
        <w:spacing w:after="0" w:line="263" w:lineRule="auto"/>
        <w:rPr>
          <w:sz w:val="20"/>
          <w:szCs w:val="20"/>
          <w:color w:val="auto"/>
        </w:rPr>
      </w:pPr>
      <w:r>
        <w:rPr>
          <w:rFonts w:ascii="Arial" w:cs="Arial" w:eastAsia="Arial" w:hAnsi="Arial"/>
          <w:sz w:val="22"/>
          <w:szCs w:val="22"/>
          <w:color w:val="auto"/>
        </w:rPr>
        <w:t>IN WITNESS WHEREOF, the undersigned has caused this Certificate of Validation to be signed by its duly authorized officer on the date set forth below.</w:t>
      </w: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NERDWALLET, INC.</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560"/>
        <w:spacing w:after="0"/>
        <w:tabs>
          <w:tab w:leader="none" w:pos="5180" w:val="left"/>
        </w:tabs>
        <w:rPr>
          <w:sz w:val="20"/>
          <w:szCs w:val="20"/>
          <w:color w:val="auto"/>
        </w:rPr>
      </w:pPr>
      <w:r>
        <w:rPr>
          <w:rFonts w:ascii="Arial" w:cs="Arial" w:eastAsia="Arial" w:hAnsi="Arial"/>
          <w:sz w:val="22"/>
          <w:szCs w:val="22"/>
          <w:color w:val="auto"/>
        </w:rPr>
        <w:t>By:</w:t>
        <w:tab/>
        <w:t>/s/ Robert Lattuga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24130</wp:posOffset>
            </wp:positionV>
            <wp:extent cx="136334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63345" cy="8255"/>
                    </a:xfrm>
                    <a:prstGeom prst="rect">
                      <a:avLst/>
                    </a:prstGeom>
                    <a:noFill/>
                  </pic:spPr>
                </pic:pic>
              </a:graphicData>
            </a:graphic>
          </wp:anchor>
        </w:drawing>
      </w:r>
    </w:p>
    <w:p>
      <w:pPr>
        <w:spacing w:after="0" w:line="51"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Name: Robert Lattuga</w:t>
      </w:r>
    </w:p>
    <w:p>
      <w:pPr>
        <w:spacing w:after="0" w:line="58" w:lineRule="exact"/>
        <w:rPr>
          <w:sz w:val="20"/>
          <w:szCs w:val="20"/>
          <w:color w:val="auto"/>
        </w:rPr>
      </w:pPr>
    </w:p>
    <w:p>
      <w:pPr>
        <w:ind w:left="4560"/>
        <w:spacing w:after="0"/>
        <w:tabs>
          <w:tab w:leader="none" w:pos="51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Corporate Secretary</w:t>
      </w:r>
    </w:p>
    <w:p>
      <w:pPr>
        <w:spacing w:after="0" w:line="328" w:lineRule="exact"/>
        <w:rPr>
          <w:sz w:val="20"/>
          <w:szCs w:val="20"/>
          <w:color w:val="auto"/>
        </w:rPr>
      </w:pPr>
    </w:p>
    <w:p>
      <w:pPr>
        <w:jc w:val="center"/>
        <w:ind w:right="-239"/>
        <w:spacing w:after="0"/>
        <w:tabs>
          <w:tab w:leader="none" w:pos="1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19"/>
          <w:szCs w:val="19"/>
          <w:color w:val="auto"/>
        </w:rPr>
        <w:t>August 27,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24130</wp:posOffset>
            </wp:positionV>
            <wp:extent cx="13633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63345" cy="8255"/>
                    </a:xfrm>
                    <a:prstGeom prst="rect">
                      <a:avLst/>
                    </a:prstGeom>
                    <a:noFill/>
                  </pic:spPr>
                </pic:pic>
              </a:graphicData>
            </a:graphic>
          </wp:anchor>
        </w:drawing>
      </w:r>
    </w:p>
    <w:p>
      <w:pPr>
        <w:sectPr>
          <w:pgSz w:w="11900" w:h="16838" w:orient="portrait"/>
          <w:cols w:equalWidth="0" w:num="1">
            <w:col w:w="10960"/>
          </w:cols>
          <w:pgMar w:left="320" w:top="1428" w:right="619" w:bottom="1440" w:gutter="0" w:footer="0" w:header="0"/>
        </w:sectPr>
      </w:pPr>
    </w:p>
    <w:bookmarkStart w:id="227" w:name="page228"/>
    <w:bookmarkEnd w:id="227"/>
    <w:p>
      <w:pPr>
        <w:jc w:val="center"/>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OF AMENDMENT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AMENDED AND RESTATED CERTIFICATE OF INCORPORATION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NERDWALLET, INC</w:t>
      </w:r>
    </w:p>
    <w:p>
      <w:pPr>
        <w:spacing w:after="0" w:line="22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ONE: Article FOURTH, Section A.6 of this corporation’s Amended and Restated Certificate of Incorporation is amended to read in its entirety as follows:</w:t>
      </w:r>
    </w:p>
    <w:p>
      <w:pPr>
        <w:spacing w:after="0" w:line="175"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2"/>
          <w:szCs w:val="22"/>
          <w:color w:val="030303"/>
        </w:rPr>
        <w:t>“6.</w:t>
      </w:r>
      <w:r>
        <w:rPr>
          <w:sz w:val="20"/>
          <w:szCs w:val="20"/>
          <w:color w:val="auto"/>
        </w:rPr>
        <w:tab/>
      </w:r>
      <w:r>
        <w:rPr>
          <w:rFonts w:ascii="Arial" w:cs="Arial" w:eastAsia="Arial" w:hAnsi="Arial"/>
          <w:sz w:val="19"/>
          <w:szCs w:val="19"/>
          <w:u w:val="single" w:color="auto"/>
          <w:color w:val="030303"/>
        </w:rPr>
        <w:t>Conversion</w:t>
      </w:r>
      <w:r>
        <w:rPr>
          <w:rFonts w:ascii="Arial" w:cs="Arial" w:eastAsia="Arial" w:hAnsi="Arial"/>
          <w:sz w:val="19"/>
          <w:szCs w:val="19"/>
          <w:color w:val="030303"/>
        </w:rPr>
        <w:t>.</w:t>
      </w:r>
    </w:p>
    <w:p>
      <w:pPr>
        <w:spacing w:after="0" w:line="220" w:lineRule="exact"/>
        <w:rPr>
          <w:sz w:val="20"/>
          <w:szCs w:val="20"/>
          <w:color w:val="auto"/>
        </w:rPr>
      </w:pPr>
    </w:p>
    <w:p>
      <w:pPr>
        <w:ind w:left="660" w:right="500" w:firstLine="648"/>
        <w:spacing w:after="0" w:line="263" w:lineRule="auto"/>
        <w:rPr>
          <w:sz w:val="20"/>
          <w:szCs w:val="20"/>
          <w:color w:val="auto"/>
        </w:rPr>
      </w:pPr>
      <w:r>
        <w:rPr>
          <w:rFonts w:ascii="Arial" w:cs="Arial" w:eastAsia="Arial" w:hAnsi="Arial"/>
          <w:sz w:val="22"/>
          <w:szCs w:val="22"/>
          <w:color w:val="040404"/>
        </w:rPr>
        <w:t xml:space="preserve">6.1 </w:t>
      </w:r>
      <w:r>
        <w:rPr>
          <w:rFonts w:ascii="Arial" w:cs="Arial" w:eastAsia="Arial" w:hAnsi="Arial"/>
          <w:sz w:val="22"/>
          <w:szCs w:val="22"/>
          <w:u w:val="single" w:color="auto"/>
          <w:color w:val="040404"/>
        </w:rPr>
        <w:t>Certain Definitions</w:t>
      </w:r>
      <w:r>
        <w:rPr>
          <w:rFonts w:ascii="Arial" w:cs="Arial" w:eastAsia="Arial" w:hAnsi="Arial"/>
          <w:sz w:val="22"/>
          <w:szCs w:val="22"/>
          <w:color w:val="040404"/>
        </w:rPr>
        <w:t xml:space="preserve">. As used in this </w:t>
      </w:r>
      <w:r>
        <w:rPr>
          <w:rFonts w:ascii="Arial" w:cs="Arial" w:eastAsia="Arial" w:hAnsi="Arial"/>
          <w:sz w:val="22"/>
          <w:szCs w:val="22"/>
          <w:u w:val="single" w:color="auto"/>
          <w:color w:val="040404"/>
        </w:rPr>
        <w:t>Subsection 6.1</w:t>
      </w:r>
      <w:r>
        <w:rPr>
          <w:rFonts w:ascii="Arial" w:cs="Arial" w:eastAsia="Arial" w:hAnsi="Arial"/>
          <w:sz w:val="22"/>
          <w:szCs w:val="22"/>
          <w:color w:val="040404"/>
        </w:rPr>
        <w:t xml:space="preserve">, the following </w:t>
      </w:r>
      <w:r>
        <w:rPr>
          <w:rFonts w:ascii="Arial" w:cs="Arial" w:eastAsia="Arial" w:hAnsi="Arial"/>
          <w:sz w:val="22"/>
          <w:szCs w:val="22"/>
          <w:color w:val="020202"/>
        </w:rPr>
        <w:t>terms shall have the meanings</w:t>
      </w:r>
      <w:r>
        <w:rPr>
          <w:rFonts w:ascii="Arial" w:cs="Arial" w:eastAsia="Arial" w:hAnsi="Arial"/>
          <w:sz w:val="22"/>
          <w:szCs w:val="22"/>
          <w:color w:val="040404"/>
        </w:rPr>
        <w:t xml:space="preserve"> </w:t>
      </w:r>
      <w:r>
        <w:rPr>
          <w:rFonts w:ascii="Arial" w:cs="Arial" w:eastAsia="Arial" w:hAnsi="Arial"/>
          <w:sz w:val="22"/>
          <w:szCs w:val="22"/>
          <w:color w:val="020202"/>
        </w:rPr>
        <w:t>ascribed to them below.</w:t>
      </w:r>
    </w:p>
    <w:p>
      <w:pPr>
        <w:spacing w:after="0" w:line="169" w:lineRule="exact"/>
        <w:rPr>
          <w:sz w:val="20"/>
          <w:szCs w:val="20"/>
          <w:color w:val="auto"/>
        </w:rPr>
      </w:pPr>
    </w:p>
    <w:p>
      <w:pPr>
        <w:ind w:left="660" w:right="480" w:firstLine="1292"/>
        <w:spacing w:after="0" w:line="269" w:lineRule="auto"/>
        <w:tabs>
          <w:tab w:leader="none" w:pos="2466" w:val="left"/>
        </w:tabs>
        <w:numPr>
          <w:ilvl w:val="0"/>
          <w:numId w:val="166"/>
        </w:numPr>
        <w:rPr>
          <w:rFonts w:ascii="Arial" w:cs="Arial" w:eastAsia="Arial" w:hAnsi="Arial"/>
          <w:sz w:val="22"/>
          <w:szCs w:val="22"/>
          <w:color w:val="auto"/>
        </w:rPr>
      </w:pPr>
      <w:r>
        <w:rPr>
          <w:rFonts w:ascii="Arial" w:cs="Arial" w:eastAsia="Arial" w:hAnsi="Arial"/>
          <w:sz w:val="22"/>
          <w:szCs w:val="22"/>
          <w:b w:val="1"/>
          <w:bCs w:val="1"/>
          <w:color w:val="auto"/>
        </w:rPr>
        <w:t xml:space="preserve">"Class F/G Stockholder" </w:t>
      </w:r>
      <w:r>
        <w:rPr>
          <w:rFonts w:ascii="Arial" w:cs="Arial" w:eastAsia="Arial" w:hAnsi="Arial"/>
          <w:sz w:val="22"/>
          <w:szCs w:val="22"/>
          <w:color w:val="auto"/>
        </w:rPr>
        <w:t>shall mean any</w:t>
      </w:r>
      <w:r>
        <w:rPr>
          <w:rFonts w:ascii="Arial" w:cs="Arial" w:eastAsia="Arial" w:hAnsi="Arial"/>
          <w:sz w:val="22"/>
          <w:szCs w:val="22"/>
          <w:b w:val="1"/>
          <w:bCs w:val="1"/>
          <w:color w:val="auto"/>
        </w:rPr>
        <w:t xml:space="preserve"> </w:t>
      </w:r>
      <w:r>
        <w:rPr>
          <w:rFonts w:ascii="Arial" w:cs="Arial" w:eastAsia="Arial" w:hAnsi="Arial"/>
          <w:sz w:val="22"/>
          <w:szCs w:val="22"/>
          <w:color w:val="030303"/>
        </w:rPr>
        <w:t>individual that is issued Class F Common Stock or</w:t>
      </w:r>
      <w:r>
        <w:rPr>
          <w:rFonts w:ascii="Arial" w:cs="Arial" w:eastAsia="Arial" w:hAnsi="Arial"/>
          <w:sz w:val="22"/>
          <w:szCs w:val="22"/>
          <w:b w:val="1"/>
          <w:bCs w:val="1"/>
          <w:color w:val="auto"/>
        </w:rPr>
        <w:t xml:space="preserve"> </w:t>
      </w:r>
      <w:r>
        <w:rPr>
          <w:rFonts w:ascii="Arial" w:cs="Arial" w:eastAsia="Arial" w:hAnsi="Arial"/>
          <w:sz w:val="22"/>
          <w:szCs w:val="22"/>
          <w:color w:val="030303"/>
        </w:rPr>
        <w:t>Class G Common Stock by the Corporation.</w:t>
      </w:r>
    </w:p>
    <w:p>
      <w:pPr>
        <w:spacing w:after="0" w:line="161" w:lineRule="exact"/>
        <w:rPr>
          <w:rFonts w:ascii="Arial" w:cs="Arial" w:eastAsia="Arial" w:hAnsi="Arial"/>
          <w:sz w:val="22"/>
          <w:szCs w:val="22"/>
          <w:color w:val="auto"/>
        </w:rPr>
      </w:pPr>
    </w:p>
    <w:p>
      <w:pPr>
        <w:jc w:val="both"/>
        <w:ind w:left="660" w:right="500" w:firstLine="1292"/>
        <w:spacing w:after="0" w:line="315" w:lineRule="auto"/>
        <w:tabs>
          <w:tab w:leader="none" w:pos="2451" w:val="left"/>
        </w:tabs>
        <w:numPr>
          <w:ilvl w:val="0"/>
          <w:numId w:val="166"/>
        </w:numPr>
        <w:rPr>
          <w:rFonts w:ascii="Arial" w:cs="Arial" w:eastAsia="Arial" w:hAnsi="Arial"/>
          <w:sz w:val="19"/>
          <w:szCs w:val="19"/>
          <w:color w:val="010101"/>
        </w:rPr>
      </w:pPr>
      <w:r>
        <w:rPr>
          <w:rFonts w:ascii="Arial" w:cs="Arial" w:eastAsia="Arial" w:hAnsi="Arial"/>
          <w:sz w:val="19"/>
          <w:szCs w:val="19"/>
          <w:b w:val="1"/>
          <w:bCs w:val="1"/>
          <w:color w:val="010101"/>
        </w:rPr>
        <w:t xml:space="preserve">"Permitted Entity" </w:t>
      </w:r>
      <w:r>
        <w:rPr>
          <w:rFonts w:ascii="Arial" w:cs="Arial" w:eastAsia="Arial" w:hAnsi="Arial"/>
          <w:sz w:val="19"/>
          <w:szCs w:val="19"/>
          <w:color w:val="010101"/>
        </w:rPr>
        <w:t>shall mean, with respect to any</w:t>
      </w:r>
      <w:r>
        <w:rPr>
          <w:rFonts w:ascii="Arial" w:cs="Arial" w:eastAsia="Arial" w:hAnsi="Arial"/>
          <w:sz w:val="19"/>
          <w:szCs w:val="19"/>
          <w:b w:val="1"/>
          <w:bCs w:val="1"/>
          <w:color w:val="010101"/>
        </w:rPr>
        <w:t xml:space="preserve"> </w:t>
      </w:r>
      <w:r>
        <w:rPr>
          <w:rFonts w:ascii="Arial" w:cs="Arial" w:eastAsia="Arial" w:hAnsi="Arial"/>
          <w:sz w:val="19"/>
          <w:szCs w:val="19"/>
          <w:color w:val="030303"/>
        </w:rPr>
        <w:t>Class F/G Stockholder, any trust, account,</w:t>
      </w:r>
      <w:r>
        <w:rPr>
          <w:rFonts w:ascii="Arial" w:cs="Arial" w:eastAsia="Arial" w:hAnsi="Arial"/>
          <w:sz w:val="19"/>
          <w:szCs w:val="19"/>
          <w:b w:val="1"/>
          <w:bCs w:val="1"/>
          <w:color w:val="010101"/>
        </w:rPr>
        <w:t xml:space="preserve"> </w:t>
      </w:r>
      <w:r>
        <w:rPr>
          <w:rFonts w:ascii="Arial" w:cs="Arial" w:eastAsia="Arial" w:hAnsi="Arial"/>
          <w:sz w:val="19"/>
          <w:szCs w:val="19"/>
          <w:color w:val="030303"/>
        </w:rPr>
        <w:t xml:space="preserve">plan, corporation, partnership or limited liability company specified in </w:t>
      </w:r>
      <w:r>
        <w:rPr>
          <w:rFonts w:ascii="Arial" w:cs="Arial" w:eastAsia="Arial" w:hAnsi="Arial"/>
          <w:sz w:val="19"/>
          <w:szCs w:val="19"/>
          <w:u w:val="single" w:color="auto"/>
          <w:color w:val="030303"/>
        </w:rPr>
        <w:t>Subsection 6.3</w:t>
      </w:r>
      <w:r>
        <w:rPr>
          <w:rFonts w:ascii="Arial" w:cs="Arial" w:eastAsia="Arial" w:hAnsi="Arial"/>
          <w:sz w:val="19"/>
          <w:szCs w:val="19"/>
          <w:color w:val="030303"/>
        </w:rPr>
        <w:t xml:space="preserve">, established by or for such Class F/G Stockholder, so long as such entity meets the requirements set forth in </w:t>
      </w:r>
      <w:r>
        <w:rPr>
          <w:rFonts w:ascii="Arial" w:cs="Arial" w:eastAsia="Arial" w:hAnsi="Arial"/>
          <w:sz w:val="19"/>
          <w:szCs w:val="19"/>
          <w:u w:val="single" w:color="auto"/>
          <w:color w:val="030303"/>
        </w:rPr>
        <w:t>Subsection 6.3</w:t>
      </w:r>
      <w:r>
        <w:rPr>
          <w:rFonts w:ascii="Arial" w:cs="Arial" w:eastAsia="Arial" w:hAnsi="Arial"/>
          <w:sz w:val="19"/>
          <w:szCs w:val="19"/>
          <w:color w:val="030303"/>
        </w:rPr>
        <w:t>.</w:t>
      </w:r>
    </w:p>
    <w:p>
      <w:pPr>
        <w:spacing w:after="0" w:line="125" w:lineRule="exact"/>
        <w:rPr>
          <w:rFonts w:ascii="Arial" w:cs="Arial" w:eastAsia="Arial" w:hAnsi="Arial"/>
          <w:sz w:val="19"/>
          <w:szCs w:val="19"/>
          <w:color w:val="010101"/>
        </w:rPr>
      </w:pPr>
    </w:p>
    <w:p>
      <w:pPr>
        <w:jc w:val="both"/>
        <w:ind w:left="660" w:right="480" w:firstLine="1292"/>
        <w:spacing w:after="0" w:line="252" w:lineRule="auto"/>
        <w:tabs>
          <w:tab w:leader="none" w:pos="2425" w:val="left"/>
        </w:tabs>
        <w:numPr>
          <w:ilvl w:val="0"/>
          <w:numId w:val="166"/>
        </w:numPr>
        <w:rPr>
          <w:rFonts w:ascii="Arial" w:cs="Arial" w:eastAsia="Arial" w:hAnsi="Arial"/>
          <w:sz w:val="22"/>
          <w:szCs w:val="22"/>
          <w:color w:val="020202"/>
        </w:rPr>
      </w:pPr>
      <w:r>
        <w:rPr>
          <w:rFonts w:ascii="Arial" w:cs="Arial" w:eastAsia="Arial" w:hAnsi="Arial"/>
          <w:sz w:val="22"/>
          <w:szCs w:val="22"/>
          <w:b w:val="1"/>
          <w:bCs w:val="1"/>
          <w:color w:val="020202"/>
        </w:rPr>
        <w:t xml:space="preserve">"Transfer" </w:t>
      </w:r>
      <w:r>
        <w:rPr>
          <w:rFonts w:ascii="Arial" w:cs="Arial" w:eastAsia="Arial" w:hAnsi="Arial"/>
          <w:sz w:val="22"/>
          <w:szCs w:val="22"/>
          <w:color w:val="020202"/>
        </w:rPr>
        <w:t>shall mean, with respect to a share of</w:t>
      </w:r>
      <w:r>
        <w:rPr>
          <w:rFonts w:ascii="Arial" w:cs="Arial" w:eastAsia="Arial" w:hAnsi="Arial"/>
          <w:sz w:val="22"/>
          <w:szCs w:val="22"/>
          <w:b w:val="1"/>
          <w:bCs w:val="1"/>
          <w:color w:val="020202"/>
        </w:rPr>
        <w:t xml:space="preserve"> </w:t>
      </w:r>
      <w:r>
        <w:rPr>
          <w:rFonts w:ascii="Arial" w:cs="Arial" w:eastAsia="Arial" w:hAnsi="Arial"/>
          <w:sz w:val="22"/>
          <w:szCs w:val="22"/>
          <w:color w:val="030303"/>
        </w:rPr>
        <w:t>Class F Common Stock or Class G Common</w:t>
      </w:r>
      <w:r>
        <w:rPr>
          <w:rFonts w:ascii="Arial" w:cs="Arial" w:eastAsia="Arial" w:hAnsi="Arial"/>
          <w:sz w:val="22"/>
          <w:szCs w:val="22"/>
          <w:b w:val="1"/>
          <w:bCs w:val="1"/>
          <w:color w:val="020202"/>
        </w:rPr>
        <w:t xml:space="preserve"> </w:t>
      </w:r>
      <w:r>
        <w:rPr>
          <w:rFonts w:ascii="Arial" w:cs="Arial" w:eastAsia="Arial" w:hAnsi="Arial"/>
          <w:sz w:val="22"/>
          <w:szCs w:val="22"/>
          <w:color w:val="030303"/>
        </w:rPr>
        <w:t>Stock, any sale, assignment, transfer, conveyance, hypothecation or other transfer or disposition of such share or any legal or beneficial interest in such share, whether or not for value and whether voluntary or involuntary or by operation of law.</w:t>
      </w:r>
    </w:p>
    <w:p>
      <w:pPr>
        <w:spacing w:after="0" w:line="179" w:lineRule="exact"/>
        <w:rPr>
          <w:rFonts w:ascii="Arial" w:cs="Arial" w:eastAsia="Arial" w:hAnsi="Arial"/>
          <w:sz w:val="22"/>
          <w:szCs w:val="22"/>
          <w:color w:val="020202"/>
        </w:rPr>
      </w:pPr>
    </w:p>
    <w:p>
      <w:pPr>
        <w:jc w:val="both"/>
        <w:ind w:left="660" w:right="480" w:firstLine="1292"/>
        <w:spacing w:after="0" w:line="256" w:lineRule="auto"/>
        <w:tabs>
          <w:tab w:leader="none" w:pos="2491" w:val="left"/>
        </w:tabs>
        <w:numPr>
          <w:ilvl w:val="0"/>
          <w:numId w:val="166"/>
        </w:numPr>
        <w:rPr>
          <w:rFonts w:ascii="Arial" w:cs="Arial" w:eastAsia="Arial" w:hAnsi="Arial"/>
          <w:sz w:val="22"/>
          <w:szCs w:val="22"/>
          <w:color w:val="020202"/>
        </w:rPr>
      </w:pPr>
      <w:r>
        <w:rPr>
          <w:rFonts w:ascii="Arial" w:cs="Arial" w:eastAsia="Arial" w:hAnsi="Arial"/>
          <w:sz w:val="22"/>
          <w:szCs w:val="22"/>
          <w:b w:val="1"/>
          <w:bCs w:val="1"/>
          <w:color w:val="020202"/>
        </w:rPr>
        <w:t xml:space="preserve">"Voting Control" </w:t>
      </w:r>
      <w:r>
        <w:rPr>
          <w:rFonts w:ascii="Arial" w:cs="Arial" w:eastAsia="Arial" w:hAnsi="Arial"/>
          <w:sz w:val="22"/>
          <w:szCs w:val="22"/>
          <w:color w:val="020202"/>
        </w:rPr>
        <w:t>shall mean, with respect to a</w:t>
      </w:r>
      <w:r>
        <w:rPr>
          <w:rFonts w:ascii="Arial" w:cs="Arial" w:eastAsia="Arial" w:hAnsi="Arial"/>
          <w:sz w:val="22"/>
          <w:szCs w:val="22"/>
          <w:b w:val="1"/>
          <w:bCs w:val="1"/>
          <w:color w:val="020202"/>
        </w:rPr>
        <w:t xml:space="preserve"> </w:t>
      </w:r>
      <w:r>
        <w:rPr>
          <w:rFonts w:ascii="Arial" w:cs="Arial" w:eastAsia="Arial" w:hAnsi="Arial"/>
          <w:sz w:val="22"/>
          <w:szCs w:val="22"/>
          <w:color w:val="030303"/>
        </w:rPr>
        <w:t>share of Class F Common Stock or Class G</w:t>
      </w:r>
      <w:r>
        <w:rPr>
          <w:rFonts w:ascii="Arial" w:cs="Arial" w:eastAsia="Arial" w:hAnsi="Arial"/>
          <w:sz w:val="22"/>
          <w:szCs w:val="22"/>
          <w:b w:val="1"/>
          <w:bCs w:val="1"/>
          <w:color w:val="020202"/>
        </w:rPr>
        <w:t xml:space="preserve"> </w:t>
      </w:r>
      <w:r>
        <w:rPr>
          <w:rFonts w:ascii="Arial" w:cs="Arial" w:eastAsia="Arial" w:hAnsi="Arial"/>
          <w:sz w:val="22"/>
          <w:szCs w:val="22"/>
          <w:color w:val="030303"/>
        </w:rPr>
        <w:t>Common Stock, the power (whether exclusive or shared) to vote or direct the voting of such share of Class F Common Stock or Class G Common Stock by proxy, voting agreement or otherwise.</w:t>
      </w:r>
    </w:p>
    <w:p>
      <w:pPr>
        <w:spacing w:after="0" w:line="182" w:lineRule="exact"/>
        <w:rPr>
          <w:sz w:val="20"/>
          <w:szCs w:val="20"/>
          <w:color w:val="auto"/>
        </w:rPr>
      </w:pPr>
    </w:p>
    <w:p>
      <w:pPr>
        <w:jc w:val="both"/>
        <w:ind w:left="660" w:right="500" w:firstLine="648"/>
        <w:spacing w:after="0" w:line="253" w:lineRule="auto"/>
        <w:rPr>
          <w:sz w:val="20"/>
          <w:szCs w:val="20"/>
          <w:color w:val="auto"/>
        </w:rPr>
      </w:pPr>
      <w:r>
        <w:rPr>
          <w:rFonts w:ascii="Arial" w:cs="Arial" w:eastAsia="Arial" w:hAnsi="Arial"/>
          <w:sz w:val="22"/>
          <w:szCs w:val="22"/>
          <w:color w:val="040404"/>
        </w:rPr>
        <w:t xml:space="preserve">6.2 </w:t>
      </w:r>
      <w:r>
        <w:rPr>
          <w:rFonts w:ascii="Arial" w:cs="Arial" w:eastAsia="Arial" w:hAnsi="Arial"/>
          <w:sz w:val="22"/>
          <w:szCs w:val="22"/>
          <w:u w:val="single" w:color="auto"/>
          <w:color w:val="040404"/>
        </w:rPr>
        <w:t>Optional Conversion</w:t>
      </w:r>
      <w:r>
        <w:rPr>
          <w:rFonts w:ascii="Arial" w:cs="Arial" w:eastAsia="Arial" w:hAnsi="Arial"/>
          <w:sz w:val="22"/>
          <w:szCs w:val="22"/>
          <w:color w:val="040404"/>
        </w:rPr>
        <w:t>. Each share of Class F Common Stock shall be convertible into one (1) fully paid and nonassessable share of Class A Common Stock at the option of the holder thereof at any time upon written notice to the transfer agent of the Corporation.</w:t>
      </w:r>
    </w:p>
    <w:p>
      <w:pPr>
        <w:spacing w:after="0" w:line="185" w:lineRule="exact"/>
        <w:rPr>
          <w:sz w:val="20"/>
          <w:szCs w:val="20"/>
          <w:color w:val="auto"/>
        </w:rPr>
      </w:pPr>
    </w:p>
    <w:p>
      <w:pPr>
        <w:jc w:val="both"/>
        <w:ind w:left="660" w:right="500" w:firstLine="648"/>
        <w:spacing w:after="0" w:line="263" w:lineRule="auto"/>
        <w:rPr>
          <w:sz w:val="20"/>
          <w:szCs w:val="20"/>
          <w:color w:val="auto"/>
        </w:rPr>
      </w:pPr>
      <w:r>
        <w:rPr>
          <w:rFonts w:ascii="Arial" w:cs="Arial" w:eastAsia="Arial" w:hAnsi="Arial"/>
          <w:sz w:val="22"/>
          <w:szCs w:val="22"/>
          <w:color w:val="030303"/>
        </w:rPr>
        <w:t xml:space="preserve">6.3 </w:t>
      </w:r>
      <w:r>
        <w:rPr>
          <w:rFonts w:ascii="Arial" w:cs="Arial" w:eastAsia="Arial" w:hAnsi="Arial"/>
          <w:sz w:val="22"/>
          <w:szCs w:val="22"/>
          <w:u w:val="single" w:color="auto"/>
          <w:color w:val="030303"/>
        </w:rPr>
        <w:t>Automatic Conversion upon Transfer</w:t>
      </w:r>
      <w:r>
        <w:rPr>
          <w:rFonts w:ascii="Arial" w:cs="Arial" w:eastAsia="Arial" w:hAnsi="Arial"/>
          <w:sz w:val="22"/>
          <w:szCs w:val="22"/>
          <w:color w:val="030303"/>
        </w:rPr>
        <w:t>. Each share of Class F Common Stock and Class G Common Stock shall automatically, without any</w:t>
      </w:r>
    </w:p>
    <w:p>
      <w:pPr>
        <w:sectPr>
          <w:pgSz w:w="11900" w:h="16838" w:orient="portrait"/>
          <w:cols w:equalWidth="0" w:num="1">
            <w:col w:w="11240"/>
          </w:cols>
          <w:pgMar w:left="320" w:top="1422" w:right="339" w:bottom="1440" w:gutter="0" w:footer="0" w:header="0"/>
        </w:sectPr>
      </w:pPr>
    </w:p>
    <w:bookmarkStart w:id="228" w:name="page229"/>
    <w:bookmarkEnd w:id="228"/>
    <w:p>
      <w:pPr>
        <w:jc w:val="both"/>
        <w:ind w:right="20"/>
        <w:spacing w:after="0" w:line="260" w:lineRule="auto"/>
        <w:rPr>
          <w:sz w:val="20"/>
          <w:szCs w:val="20"/>
          <w:color w:val="auto"/>
        </w:rPr>
      </w:pPr>
      <w:r>
        <w:rPr>
          <w:rFonts w:ascii="Arial" w:cs="Arial" w:eastAsia="Arial" w:hAnsi="Arial"/>
          <w:sz w:val="21"/>
          <w:szCs w:val="21"/>
          <w:color w:val="030303"/>
        </w:rPr>
        <w:t>further action, convert into one (1) fully paid and nonassessable share of Class A Common Stock upon the Transfer of such share; provided, however, that a Transfer of Class F Common Stock by a Class F/G Stockholder or such Class F/G Stockholder's Permitted Entities to another Class F/G Stockholder or such Class F/G Stockholder's Permitted Entities shall not trigger such automatic conversion; provided further, however, that a Transfer by a Class F/G Stockholder to any of the following Permitted Entities, and from any of the following Permitted Entities back to such Class F/G Stockholder and/or any other Permitted Entity by or for such Class F/G Stockholder, shall not trigger such automatic conversion:</w:t>
      </w:r>
    </w:p>
    <w:p>
      <w:pPr>
        <w:spacing w:after="0" w:line="180" w:lineRule="exact"/>
        <w:rPr>
          <w:sz w:val="20"/>
          <w:szCs w:val="20"/>
          <w:color w:val="auto"/>
        </w:rPr>
      </w:pPr>
    </w:p>
    <w:p>
      <w:pPr>
        <w:jc w:val="both"/>
        <w:ind w:firstLine="1292"/>
        <w:spacing w:after="0" w:line="247" w:lineRule="auto"/>
        <w:tabs>
          <w:tab w:leader="none" w:pos="1846" w:val="left"/>
        </w:tabs>
        <w:numPr>
          <w:ilvl w:val="0"/>
          <w:numId w:val="167"/>
        </w:numPr>
        <w:rPr>
          <w:rFonts w:ascii="Arial" w:cs="Arial" w:eastAsia="Arial" w:hAnsi="Arial"/>
          <w:sz w:val="22"/>
          <w:szCs w:val="22"/>
          <w:color w:val="040404"/>
        </w:rPr>
      </w:pPr>
      <w:r>
        <w:rPr>
          <w:rFonts w:ascii="Arial" w:cs="Arial" w:eastAsia="Arial" w:hAnsi="Arial"/>
          <w:sz w:val="22"/>
          <w:szCs w:val="22"/>
          <w:color w:val="040404"/>
        </w:rPr>
        <w:t xml:space="preserve">a trust for the benefit of such Class </w:t>
      </w:r>
      <w:r>
        <w:rPr>
          <w:rFonts w:ascii="Arial" w:cs="Arial" w:eastAsia="Arial" w:hAnsi="Arial"/>
          <w:sz w:val="22"/>
          <w:szCs w:val="22"/>
          <w:color w:val="030303"/>
        </w:rPr>
        <w:t>F/G</w:t>
      </w:r>
      <w:r>
        <w:rPr>
          <w:rFonts w:ascii="Arial" w:cs="Arial" w:eastAsia="Arial" w:hAnsi="Arial"/>
          <w:sz w:val="22"/>
          <w:szCs w:val="22"/>
          <w:color w:val="040404"/>
        </w:rPr>
        <w:t xml:space="preserve"> Stockholder </w:t>
      </w:r>
      <w:r>
        <w:rPr>
          <w:rFonts w:ascii="Arial" w:cs="Arial" w:eastAsia="Arial" w:hAnsi="Arial"/>
          <w:sz w:val="22"/>
          <w:szCs w:val="22"/>
          <w:color w:val="020202"/>
        </w:rPr>
        <w:t>and for the benefit of no other person,</w:t>
      </w:r>
      <w:r>
        <w:rPr>
          <w:rFonts w:ascii="Arial" w:cs="Arial" w:eastAsia="Arial" w:hAnsi="Arial"/>
          <w:sz w:val="22"/>
          <w:szCs w:val="22"/>
          <w:color w:val="040404"/>
        </w:rPr>
        <w:t xml:space="preserve"> </w:t>
      </w:r>
      <w:r>
        <w:rPr>
          <w:rFonts w:ascii="Arial" w:cs="Arial" w:eastAsia="Arial" w:hAnsi="Arial"/>
          <w:sz w:val="22"/>
          <w:szCs w:val="22"/>
          <w:color w:val="020202"/>
        </w:rPr>
        <w:t xml:space="preserve">provided such Transfer does not involve any payment of cash, securities, property or other consideration (other than an interest in such trust) to the Class </w:t>
      </w:r>
      <w:r>
        <w:rPr>
          <w:rFonts w:ascii="Arial" w:cs="Arial" w:eastAsia="Arial" w:hAnsi="Arial"/>
          <w:sz w:val="22"/>
          <w:szCs w:val="22"/>
          <w:color w:val="030303"/>
        </w:rPr>
        <w:t>F/G</w:t>
      </w:r>
      <w:r>
        <w:rPr>
          <w:rFonts w:ascii="Arial" w:cs="Arial" w:eastAsia="Arial" w:hAnsi="Arial"/>
          <w:sz w:val="22"/>
          <w:szCs w:val="22"/>
          <w:color w:val="020202"/>
        </w:rPr>
        <w:t xml:space="preserve"> Stockholder and, provided, further, that in the event such Class </w:t>
      </w:r>
      <w:r>
        <w:rPr>
          <w:rFonts w:ascii="Arial" w:cs="Arial" w:eastAsia="Arial" w:hAnsi="Arial"/>
          <w:sz w:val="22"/>
          <w:szCs w:val="22"/>
          <w:color w:val="030303"/>
        </w:rPr>
        <w:t>F/G</w:t>
      </w:r>
      <w:r>
        <w:rPr>
          <w:rFonts w:ascii="Arial" w:cs="Arial" w:eastAsia="Arial" w:hAnsi="Arial"/>
          <w:sz w:val="22"/>
          <w:szCs w:val="22"/>
          <w:color w:val="020202"/>
        </w:rPr>
        <w:t xml:space="preserve"> Stockholder is no longer the exclusive beneficiary of such trust, each share of Class F Common Stock or Class G Common Stock then held by such trust shall automatically convert into one (1) fully paid and nonassessable share of Class A Common Stock;</w:t>
      </w:r>
    </w:p>
    <w:p>
      <w:pPr>
        <w:spacing w:after="0" w:line="192" w:lineRule="exact"/>
        <w:rPr>
          <w:rFonts w:ascii="Arial" w:cs="Arial" w:eastAsia="Arial" w:hAnsi="Arial"/>
          <w:sz w:val="22"/>
          <w:szCs w:val="22"/>
          <w:color w:val="040404"/>
        </w:rPr>
      </w:pPr>
    </w:p>
    <w:p>
      <w:pPr>
        <w:jc w:val="both"/>
        <w:ind w:firstLine="1292"/>
        <w:spacing w:after="0" w:line="290" w:lineRule="auto"/>
        <w:tabs>
          <w:tab w:leader="none" w:pos="1793" w:val="left"/>
        </w:tabs>
        <w:numPr>
          <w:ilvl w:val="0"/>
          <w:numId w:val="167"/>
        </w:numPr>
        <w:rPr>
          <w:rFonts w:ascii="Arial" w:cs="Arial" w:eastAsia="Arial" w:hAnsi="Arial"/>
          <w:sz w:val="19"/>
          <w:szCs w:val="19"/>
          <w:color w:val="030303"/>
        </w:rPr>
      </w:pPr>
      <w:r>
        <w:rPr>
          <w:rFonts w:ascii="Arial" w:cs="Arial" w:eastAsia="Arial" w:hAnsi="Arial"/>
          <w:sz w:val="19"/>
          <w:szCs w:val="19"/>
          <w:color w:val="030303"/>
        </w:rPr>
        <w:t>a trust for the benefit of persons other than the Class F/G Stockholder so long as the Class F/G Stockholder has sole dispositive power and exclusive Voting Control with respect to the shares of Class F Common Stock or Class G Common Stock held by such trust, provided such Transfer does not involve any payment of cash, securities, property or other consideration (other than an interest in such trust) to the Class F/G Stockholder, and, provided, further, that in the event the Class F/G Stockholder no longer has sole dispositive power and exclusive Voting Control with respect to the shares of Class F Common Stock or Class G Common Stock held by such trust, each share of Class F Common Stock or Class G Common Stock then held by such trust shall automatically convert into one (1) fully paid and nonassessable share of Class A Common Stock;</w:t>
      </w:r>
    </w:p>
    <w:p>
      <w:pPr>
        <w:spacing w:after="0" w:line="155" w:lineRule="exact"/>
        <w:rPr>
          <w:rFonts w:ascii="Arial" w:cs="Arial" w:eastAsia="Arial" w:hAnsi="Arial"/>
          <w:sz w:val="19"/>
          <w:szCs w:val="19"/>
          <w:color w:val="030303"/>
        </w:rPr>
      </w:pPr>
    </w:p>
    <w:p>
      <w:pPr>
        <w:jc w:val="both"/>
        <w:ind w:firstLine="1292"/>
        <w:spacing w:after="0" w:line="259" w:lineRule="auto"/>
        <w:tabs>
          <w:tab w:leader="none" w:pos="1794" w:val="left"/>
        </w:tabs>
        <w:numPr>
          <w:ilvl w:val="0"/>
          <w:numId w:val="167"/>
        </w:numPr>
        <w:rPr>
          <w:rFonts w:ascii="Arial" w:cs="Arial" w:eastAsia="Arial" w:hAnsi="Arial"/>
          <w:sz w:val="21"/>
          <w:szCs w:val="21"/>
          <w:color w:val="030303"/>
        </w:rPr>
      </w:pPr>
      <w:r>
        <w:rPr>
          <w:rFonts w:ascii="Arial" w:cs="Arial" w:eastAsia="Arial" w:hAnsi="Arial"/>
          <w:sz w:val="21"/>
          <w:szCs w:val="21"/>
          <w:color w:val="030303"/>
        </w:rPr>
        <w:t xml:space="preserve">a trust under the terms of which such Class F/G Stockholder has retained a "qualified interest" within the meaning of §2702(b)(1) of the Internal Revenue Code (the </w:t>
      </w:r>
      <w:r>
        <w:rPr>
          <w:rFonts w:ascii="Arial" w:cs="Arial" w:eastAsia="Arial" w:hAnsi="Arial"/>
          <w:sz w:val="21"/>
          <w:szCs w:val="21"/>
          <w:b w:val="1"/>
          <w:bCs w:val="1"/>
          <w:color w:val="030303"/>
        </w:rPr>
        <w:t>"Code")</w:t>
      </w:r>
      <w:r>
        <w:rPr>
          <w:rFonts w:ascii="Arial" w:cs="Arial" w:eastAsia="Arial" w:hAnsi="Arial"/>
          <w:sz w:val="21"/>
          <w:szCs w:val="21"/>
          <w:color w:val="030303"/>
        </w:rPr>
        <w:t xml:space="preserve"> and/or a reversionary interest so long as the Class F/G Stockholder has sole dispositive power and exclusive Voting Control with respect to the shares of Class F Common Stock or Class G Common Stock held by such trust; provided, however, that in the event the Class F/G Stockholder no longer has sole dispositive power and exclusive Voting Control with respect to the shares of Class F Common Stock or Class G Common Stock held by such trust, each share of Class F Common Stock or Class G Common Stock then held by such trust shall automatically convert into one (1) fully paid and nonassessable share of Class A Common Stock;</w:t>
      </w:r>
    </w:p>
    <w:p>
      <w:pPr>
        <w:spacing w:after="0" w:line="183" w:lineRule="exact"/>
        <w:rPr>
          <w:rFonts w:ascii="Arial" w:cs="Arial" w:eastAsia="Arial" w:hAnsi="Arial"/>
          <w:sz w:val="21"/>
          <w:szCs w:val="21"/>
          <w:color w:val="030303"/>
        </w:rPr>
      </w:pPr>
    </w:p>
    <w:p>
      <w:pPr>
        <w:ind w:right="20" w:firstLine="1373"/>
        <w:spacing w:after="0" w:line="263" w:lineRule="auto"/>
        <w:tabs>
          <w:tab w:leader="none" w:pos="1953" w:val="left"/>
        </w:tabs>
        <w:numPr>
          <w:ilvl w:val="1"/>
          <w:numId w:val="167"/>
        </w:numPr>
        <w:rPr>
          <w:rFonts w:ascii="Arial" w:cs="Arial" w:eastAsia="Arial" w:hAnsi="Arial"/>
          <w:sz w:val="22"/>
          <w:szCs w:val="22"/>
          <w:color w:val="020202"/>
        </w:rPr>
      </w:pPr>
      <w:r>
        <w:rPr>
          <w:rFonts w:ascii="Arial" w:cs="Arial" w:eastAsia="Arial" w:hAnsi="Arial"/>
          <w:sz w:val="22"/>
          <w:szCs w:val="22"/>
          <w:color w:val="020202"/>
        </w:rPr>
        <w:t xml:space="preserve">an Individual Retirement Account, as defined in </w:t>
      </w:r>
      <w:r>
        <w:rPr>
          <w:rFonts w:ascii="Arial" w:cs="Arial" w:eastAsia="Arial" w:hAnsi="Arial"/>
          <w:sz w:val="22"/>
          <w:szCs w:val="22"/>
          <w:color w:val="030303"/>
        </w:rPr>
        <w:t>Section 408(a) of the Code, or a pension,</w:t>
      </w:r>
      <w:r>
        <w:rPr>
          <w:rFonts w:ascii="Arial" w:cs="Arial" w:eastAsia="Arial" w:hAnsi="Arial"/>
          <w:sz w:val="22"/>
          <w:szCs w:val="22"/>
          <w:color w:val="020202"/>
        </w:rPr>
        <w:t xml:space="preserve"> </w:t>
      </w:r>
      <w:r>
        <w:rPr>
          <w:rFonts w:ascii="Arial" w:cs="Arial" w:eastAsia="Arial" w:hAnsi="Arial"/>
          <w:sz w:val="22"/>
          <w:szCs w:val="22"/>
          <w:color w:val="030303"/>
        </w:rPr>
        <w:t>profit sharing, stock bonus or other type of plan or</w:t>
      </w:r>
    </w:p>
    <w:p>
      <w:pPr>
        <w:sectPr>
          <w:pgSz w:w="11900" w:h="16838" w:orient="portrait"/>
          <w:cols w:equalWidth="0" w:num="1">
            <w:col w:w="10100"/>
          </w:cols>
          <w:pgMar w:left="980" w:top="1428" w:right="819" w:bottom="1440" w:gutter="0" w:footer="0" w:header="0"/>
        </w:sectPr>
      </w:pPr>
    </w:p>
    <w:bookmarkStart w:id="229" w:name="page230"/>
    <w:bookmarkEnd w:id="229"/>
    <w:p>
      <w:pPr>
        <w:jc w:val="both"/>
        <w:spacing w:after="0" w:line="259" w:lineRule="auto"/>
        <w:rPr>
          <w:sz w:val="20"/>
          <w:szCs w:val="20"/>
          <w:color w:val="auto"/>
        </w:rPr>
      </w:pPr>
      <w:r>
        <w:rPr>
          <w:rFonts w:ascii="Arial" w:cs="Arial" w:eastAsia="Arial" w:hAnsi="Arial"/>
          <w:sz w:val="21"/>
          <w:szCs w:val="21"/>
          <w:color w:val="030303"/>
        </w:rPr>
        <w:t>trust of which such Class F/G Stockholder is a participant or beneficiary and which satisfies the requirements for qualification under Section 401 of the Code; provided that in each case such Class F/G Stockholder has sole dispositive power and exclusive Voting Control with respect to the shares of Class F Common Stock or Class G Common Stock held in such account, plan or trust, and provided, further, that in the event the Class F/G Stockholder no longer has sole dispositive power and exclusive Voting Control with respect to the shares of Class F Common Stock or Class G Common Stock held by such account plan or trust, each share of Class F Common Stock or Class G Common Stock then held by such trust shall automatically convert into one (1) fully paid and nonassessable share of Class A Common Stock;</w:t>
      </w:r>
    </w:p>
    <w:p>
      <w:pPr>
        <w:spacing w:after="0" w:line="183" w:lineRule="exact"/>
        <w:rPr>
          <w:sz w:val="20"/>
          <w:szCs w:val="20"/>
          <w:color w:val="auto"/>
        </w:rPr>
      </w:pPr>
    </w:p>
    <w:p>
      <w:pPr>
        <w:jc w:val="both"/>
        <w:ind w:firstLine="1373"/>
        <w:spacing w:after="0" w:line="289" w:lineRule="auto"/>
        <w:tabs>
          <w:tab w:leader="none" w:pos="1865" w:val="left"/>
        </w:tabs>
        <w:numPr>
          <w:ilvl w:val="1"/>
          <w:numId w:val="168"/>
        </w:numPr>
        <w:rPr>
          <w:rFonts w:ascii="Arial" w:cs="Arial" w:eastAsia="Arial" w:hAnsi="Arial"/>
          <w:sz w:val="19"/>
          <w:szCs w:val="19"/>
          <w:color w:val="040404"/>
        </w:rPr>
      </w:pPr>
      <w:r>
        <w:rPr>
          <w:rFonts w:ascii="Arial" w:cs="Arial" w:eastAsia="Arial" w:hAnsi="Arial"/>
          <w:sz w:val="19"/>
          <w:szCs w:val="19"/>
          <w:color w:val="040404"/>
        </w:rPr>
        <w:t xml:space="preserve">a corporation in which such Class </w:t>
      </w:r>
      <w:r>
        <w:rPr>
          <w:rFonts w:ascii="Arial" w:cs="Arial" w:eastAsia="Arial" w:hAnsi="Arial"/>
          <w:sz w:val="19"/>
          <w:szCs w:val="19"/>
          <w:color w:val="030303"/>
        </w:rPr>
        <w:t>F/G</w:t>
      </w:r>
      <w:r>
        <w:rPr>
          <w:rFonts w:ascii="Arial" w:cs="Arial" w:eastAsia="Arial" w:hAnsi="Arial"/>
          <w:sz w:val="19"/>
          <w:szCs w:val="19"/>
          <w:color w:val="040404"/>
        </w:rPr>
        <w:t xml:space="preserve"> Stockholder </w:t>
      </w:r>
      <w:r>
        <w:rPr>
          <w:rFonts w:ascii="Arial" w:cs="Arial" w:eastAsia="Arial" w:hAnsi="Arial"/>
          <w:sz w:val="19"/>
          <w:szCs w:val="19"/>
          <w:color w:val="030303"/>
        </w:rPr>
        <w:t>directly, or indirectly through one or more</w:t>
      </w:r>
      <w:r>
        <w:rPr>
          <w:rFonts w:ascii="Arial" w:cs="Arial" w:eastAsia="Arial" w:hAnsi="Arial"/>
          <w:sz w:val="19"/>
          <w:szCs w:val="19"/>
          <w:color w:val="040404"/>
        </w:rPr>
        <w:t xml:space="preserve"> </w:t>
      </w:r>
      <w:r>
        <w:rPr>
          <w:rFonts w:ascii="Arial" w:cs="Arial" w:eastAsia="Arial" w:hAnsi="Arial"/>
          <w:sz w:val="19"/>
          <w:szCs w:val="19"/>
          <w:color w:val="030303"/>
        </w:rPr>
        <w:t xml:space="preserve">Permitted Entities, owns shares with sufficient Voting Control in the corporation, or otherwise has legally enforceable rights, such that the Class F/G Stockholder retains sole dispositive power and exclusive Voting Control with respect to the shares of Class F Common Stock or Class G Common Stock held by such corporation; provided </w:t>
      </w:r>
      <w:r>
        <w:rPr>
          <w:rFonts w:ascii="Arial" w:cs="Arial" w:eastAsia="Arial" w:hAnsi="Arial"/>
          <w:sz w:val="19"/>
          <w:szCs w:val="19"/>
          <w:color w:val="020202"/>
        </w:rPr>
        <w:t xml:space="preserve">that in the event the Class </w:t>
      </w:r>
      <w:r>
        <w:rPr>
          <w:rFonts w:ascii="Arial" w:cs="Arial" w:eastAsia="Arial" w:hAnsi="Arial"/>
          <w:sz w:val="19"/>
          <w:szCs w:val="19"/>
          <w:color w:val="030303"/>
        </w:rPr>
        <w:t>F/G</w:t>
      </w:r>
      <w:r>
        <w:rPr>
          <w:rFonts w:ascii="Arial" w:cs="Arial" w:eastAsia="Arial" w:hAnsi="Arial"/>
          <w:sz w:val="19"/>
          <w:szCs w:val="19"/>
          <w:color w:val="020202"/>
        </w:rPr>
        <w:t xml:space="preserve"> Stockholder no longer owns sufficient shares or has sufficient legally enforceable rights to enable the Class </w:t>
      </w:r>
      <w:r>
        <w:rPr>
          <w:rFonts w:ascii="Arial" w:cs="Arial" w:eastAsia="Arial" w:hAnsi="Arial"/>
          <w:sz w:val="19"/>
          <w:szCs w:val="19"/>
          <w:color w:val="030303"/>
        </w:rPr>
        <w:t>F/G</w:t>
      </w:r>
      <w:r>
        <w:rPr>
          <w:rFonts w:ascii="Arial" w:cs="Arial" w:eastAsia="Arial" w:hAnsi="Arial"/>
          <w:sz w:val="19"/>
          <w:szCs w:val="19"/>
          <w:color w:val="020202"/>
        </w:rPr>
        <w:t xml:space="preserve"> Stockholder to retain sole dispositive power and exclusive Voting Control with respect to the shares of Class F Common Stock or Class G Common Stock held by such corporation, each share of Class F Common Stock or Class G Common Stock then held by such corporation shall automatically convert into one (l) fully paid and nonassessable share of Class A Common Stock;</w:t>
      </w:r>
    </w:p>
    <w:p>
      <w:pPr>
        <w:spacing w:after="0" w:line="156" w:lineRule="exact"/>
        <w:rPr>
          <w:rFonts w:ascii="Arial" w:cs="Arial" w:eastAsia="Arial" w:hAnsi="Arial"/>
          <w:sz w:val="19"/>
          <w:szCs w:val="19"/>
          <w:color w:val="040404"/>
        </w:rPr>
      </w:pPr>
    </w:p>
    <w:p>
      <w:pPr>
        <w:jc w:val="both"/>
        <w:ind w:firstLine="1292"/>
        <w:spacing w:after="0" w:line="289" w:lineRule="auto"/>
        <w:tabs>
          <w:tab w:leader="none" w:pos="1793" w:val="left"/>
        </w:tabs>
        <w:numPr>
          <w:ilvl w:val="0"/>
          <w:numId w:val="169"/>
        </w:numPr>
        <w:rPr>
          <w:rFonts w:ascii="Arial" w:cs="Arial" w:eastAsia="Arial" w:hAnsi="Arial"/>
          <w:sz w:val="19"/>
          <w:szCs w:val="19"/>
          <w:color w:val="020202"/>
        </w:rPr>
      </w:pPr>
      <w:r>
        <w:rPr>
          <w:rFonts w:ascii="Arial" w:cs="Arial" w:eastAsia="Arial" w:hAnsi="Arial"/>
          <w:sz w:val="19"/>
          <w:szCs w:val="19"/>
          <w:color w:val="020202"/>
        </w:rPr>
        <w:t xml:space="preserve">a partnership in which such Class </w:t>
      </w:r>
      <w:r>
        <w:rPr>
          <w:rFonts w:ascii="Arial" w:cs="Arial" w:eastAsia="Arial" w:hAnsi="Arial"/>
          <w:sz w:val="19"/>
          <w:szCs w:val="19"/>
          <w:color w:val="030303"/>
        </w:rPr>
        <w:t>F/G</w:t>
      </w:r>
      <w:r>
        <w:rPr>
          <w:rFonts w:ascii="Arial" w:cs="Arial" w:eastAsia="Arial" w:hAnsi="Arial"/>
          <w:sz w:val="19"/>
          <w:szCs w:val="19"/>
          <w:color w:val="020202"/>
        </w:rPr>
        <w:t xml:space="preserve"> Stockholder </w:t>
      </w:r>
      <w:r>
        <w:rPr>
          <w:rFonts w:ascii="Arial" w:cs="Arial" w:eastAsia="Arial" w:hAnsi="Arial"/>
          <w:sz w:val="19"/>
          <w:szCs w:val="19"/>
          <w:color w:val="030303"/>
        </w:rPr>
        <w:t>directly, or indirectly through one or more</w:t>
      </w:r>
      <w:r>
        <w:rPr>
          <w:rFonts w:ascii="Arial" w:cs="Arial" w:eastAsia="Arial" w:hAnsi="Arial"/>
          <w:sz w:val="19"/>
          <w:szCs w:val="19"/>
          <w:color w:val="020202"/>
        </w:rPr>
        <w:t xml:space="preserve"> </w:t>
      </w:r>
      <w:r>
        <w:rPr>
          <w:rFonts w:ascii="Arial" w:cs="Arial" w:eastAsia="Arial" w:hAnsi="Arial"/>
          <w:sz w:val="19"/>
          <w:szCs w:val="19"/>
          <w:color w:val="030303"/>
        </w:rPr>
        <w:t>Permitted Entities, owns partnership interests with sufficient Voting Control in the partnership, or otherwise has legally enforceable rights, such that the Class F/G Stockholder retains sole dispositive power and exclusive Voting Control with respect to the shares of Class F Common Stock or Class G Common Stock or held by such partnership; provided that in the event the Class F/G Stockholder no longer owns sufficient partnership interests or has sufficient legally enforceable rights to enable the Class F/G Stockholder to retain sole dispositive power and exclusive Voting Control with respect to the shares of Class F Common Stock or Class G Common Stock held by such partnership, each share of Class F Common Stock or Class G Common Stock then held by such partnership shall automatically convert into one (l) fully paid and nonassessable share of Class A Common Stock;</w:t>
      </w:r>
    </w:p>
    <w:p>
      <w:pPr>
        <w:spacing w:after="0" w:line="156" w:lineRule="exact"/>
        <w:rPr>
          <w:rFonts w:ascii="Arial" w:cs="Arial" w:eastAsia="Arial" w:hAnsi="Arial"/>
          <w:sz w:val="19"/>
          <w:szCs w:val="19"/>
          <w:color w:val="020202"/>
        </w:rPr>
      </w:pPr>
    </w:p>
    <w:p>
      <w:pPr>
        <w:jc w:val="both"/>
        <w:ind w:firstLine="1292"/>
        <w:spacing w:after="0" w:line="248" w:lineRule="auto"/>
        <w:tabs>
          <w:tab w:leader="none" w:pos="1797" w:val="left"/>
        </w:tabs>
        <w:numPr>
          <w:ilvl w:val="0"/>
          <w:numId w:val="169"/>
        </w:numPr>
        <w:rPr>
          <w:rFonts w:ascii="Arial" w:cs="Arial" w:eastAsia="Arial" w:hAnsi="Arial"/>
          <w:sz w:val="22"/>
          <w:szCs w:val="22"/>
          <w:color w:val="030303"/>
        </w:rPr>
      </w:pPr>
      <w:r>
        <w:rPr>
          <w:rFonts w:ascii="Arial" w:cs="Arial" w:eastAsia="Arial" w:hAnsi="Arial"/>
          <w:sz w:val="22"/>
          <w:szCs w:val="22"/>
          <w:color w:val="030303"/>
        </w:rPr>
        <w:t xml:space="preserve">a limited liability company in which such Class F/G </w:t>
      </w:r>
      <w:r>
        <w:rPr>
          <w:rFonts w:ascii="Arial" w:cs="Arial" w:eastAsia="Arial" w:hAnsi="Arial"/>
          <w:sz w:val="22"/>
          <w:szCs w:val="22"/>
          <w:color w:val="020202"/>
        </w:rPr>
        <w:t>Stockholder directly, or indirectly through</w:t>
      </w:r>
      <w:r>
        <w:rPr>
          <w:rFonts w:ascii="Arial" w:cs="Arial" w:eastAsia="Arial" w:hAnsi="Arial"/>
          <w:sz w:val="22"/>
          <w:szCs w:val="22"/>
          <w:color w:val="030303"/>
        </w:rPr>
        <w:t xml:space="preserve"> </w:t>
      </w:r>
      <w:r>
        <w:rPr>
          <w:rFonts w:ascii="Arial" w:cs="Arial" w:eastAsia="Arial" w:hAnsi="Arial"/>
          <w:sz w:val="22"/>
          <w:szCs w:val="22"/>
          <w:color w:val="020202"/>
        </w:rPr>
        <w:t xml:space="preserve">one or more Permitted Entities, owns membership interests with sufficient Voting Control in the limited liability company, or otherwise has legally enforceable rights, such that the Class </w:t>
      </w:r>
      <w:r>
        <w:rPr>
          <w:rFonts w:ascii="Arial" w:cs="Arial" w:eastAsia="Arial" w:hAnsi="Arial"/>
          <w:sz w:val="22"/>
          <w:szCs w:val="22"/>
          <w:color w:val="030303"/>
        </w:rPr>
        <w:t>F/G</w:t>
      </w:r>
      <w:r>
        <w:rPr>
          <w:rFonts w:ascii="Arial" w:cs="Arial" w:eastAsia="Arial" w:hAnsi="Arial"/>
          <w:sz w:val="22"/>
          <w:szCs w:val="22"/>
          <w:color w:val="020202"/>
        </w:rPr>
        <w:t xml:space="preserve"> Stockholder retains sole dispositive power and exclusive Voting Control with respect to the shares of Class F Common Stock or Class G Common Stock held by</w:t>
      </w:r>
    </w:p>
    <w:p>
      <w:pPr>
        <w:sectPr>
          <w:pgSz w:w="11900" w:h="16838" w:orient="portrait"/>
          <w:cols w:equalWidth="0" w:num="1">
            <w:col w:w="10100"/>
          </w:cols>
          <w:pgMar w:left="980" w:top="1428" w:right="819" w:bottom="1440" w:gutter="0" w:footer="0" w:header="0"/>
        </w:sectPr>
      </w:pPr>
    </w:p>
    <w:bookmarkStart w:id="230" w:name="page231"/>
    <w:bookmarkEnd w:id="230"/>
    <w:p>
      <w:pPr>
        <w:jc w:val="both"/>
        <w:spacing w:after="0" w:line="247" w:lineRule="auto"/>
        <w:rPr>
          <w:sz w:val="20"/>
          <w:szCs w:val="20"/>
          <w:color w:val="auto"/>
        </w:rPr>
      </w:pPr>
      <w:r>
        <w:rPr>
          <w:rFonts w:ascii="Arial" w:cs="Arial" w:eastAsia="Arial" w:hAnsi="Arial"/>
          <w:sz w:val="22"/>
          <w:szCs w:val="22"/>
          <w:color w:val="020202"/>
        </w:rPr>
        <w:t xml:space="preserve">such limited liability company; provided that in the event the Class </w:t>
      </w:r>
      <w:r>
        <w:rPr>
          <w:rFonts w:ascii="Arial" w:cs="Arial" w:eastAsia="Arial" w:hAnsi="Arial"/>
          <w:sz w:val="22"/>
          <w:szCs w:val="22"/>
          <w:color w:val="030303"/>
        </w:rPr>
        <w:t>F/G</w:t>
      </w:r>
      <w:r>
        <w:rPr>
          <w:rFonts w:ascii="Arial" w:cs="Arial" w:eastAsia="Arial" w:hAnsi="Arial"/>
          <w:sz w:val="22"/>
          <w:szCs w:val="22"/>
          <w:color w:val="020202"/>
        </w:rPr>
        <w:t xml:space="preserve"> Stockholder no longer owns sufficient membership interests or has sufficient legally enforceable rights to enable the Class </w:t>
      </w:r>
      <w:r>
        <w:rPr>
          <w:rFonts w:ascii="Arial" w:cs="Arial" w:eastAsia="Arial" w:hAnsi="Arial"/>
          <w:sz w:val="22"/>
          <w:szCs w:val="22"/>
          <w:color w:val="030303"/>
        </w:rPr>
        <w:t>F/G</w:t>
      </w:r>
      <w:r>
        <w:rPr>
          <w:rFonts w:ascii="Arial" w:cs="Arial" w:eastAsia="Arial" w:hAnsi="Arial"/>
          <w:sz w:val="22"/>
          <w:szCs w:val="22"/>
          <w:color w:val="020202"/>
        </w:rPr>
        <w:t xml:space="preserve"> Stockholder to retain sole dispositive power and exclusive Voting Control with respect to the shares of Class F Common Stock or Class G Common Stock held by such limited liability company, each share of Class F Common Stock or Class G Common Stock then held by such limited liability company shall automatically convert into one (l) fully paid and nonassessable share of Class A Common Stock; or</w:t>
      </w:r>
    </w:p>
    <w:p>
      <w:pPr>
        <w:spacing w:after="0" w:line="193" w:lineRule="exact"/>
        <w:rPr>
          <w:sz w:val="20"/>
          <w:szCs w:val="20"/>
          <w:color w:val="auto"/>
        </w:rPr>
      </w:pPr>
    </w:p>
    <w:p>
      <w:pPr>
        <w:jc w:val="both"/>
        <w:ind w:firstLine="1292"/>
        <w:spacing w:after="0" w:line="250" w:lineRule="auto"/>
        <w:tabs>
          <w:tab w:leader="none" w:pos="1875" w:val="left"/>
        </w:tabs>
        <w:numPr>
          <w:ilvl w:val="0"/>
          <w:numId w:val="170"/>
        </w:numPr>
        <w:rPr>
          <w:rFonts w:ascii="Arial" w:cs="Arial" w:eastAsia="Arial" w:hAnsi="Arial"/>
          <w:sz w:val="22"/>
          <w:szCs w:val="22"/>
          <w:color w:val="030303"/>
        </w:rPr>
      </w:pPr>
      <w:r>
        <w:rPr>
          <w:rFonts w:ascii="Arial" w:cs="Arial" w:eastAsia="Arial" w:hAnsi="Arial"/>
          <w:sz w:val="22"/>
          <w:szCs w:val="22"/>
          <w:color w:val="030303"/>
        </w:rPr>
        <w:t xml:space="preserve">an entity deemed to be a Permitted Entity by the written consent or affirmative vote of the holders of (i) a majority of the then outstanding shares of Class F Common Stock, consenting or voting as a single class </w:t>
      </w:r>
      <w:r>
        <w:rPr>
          <w:rFonts w:ascii="Arial" w:cs="Arial" w:eastAsia="Arial" w:hAnsi="Arial"/>
          <w:sz w:val="22"/>
          <w:szCs w:val="22"/>
          <w:color w:val="020202"/>
        </w:rPr>
        <w:t>and (ii</w:t>
      </w:r>
      <w:r>
        <w:rPr>
          <w:rFonts w:ascii="Arial" w:cs="Arial" w:eastAsia="Arial" w:hAnsi="Arial"/>
          <w:sz w:val="22"/>
          <w:szCs w:val="22"/>
          <w:color w:val="030303"/>
        </w:rPr>
        <w:t>) a majority of the then outstanding shares of Series A Preferred Stock, consenting or voting as a single class.</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030303"/>
        </w:rPr>
        <w:t>For purposes of this Section 6, a Class F/G Stockholder shall be deemed to continue to have sole dispositive power and exclusive Voting Control with respect to the shares of Class F Common Stock or Class G Common Stock subject to a Transfer if such Class F/G Stockholder has the sole power to terminate, remove or replace any person or entity having dispositive power or Voting Control over the applicable shares after such Transfer.</w:t>
      </w:r>
    </w:p>
    <w:p>
      <w:pPr>
        <w:spacing w:after="0" w:line="142" w:lineRule="exact"/>
        <w:rPr>
          <w:sz w:val="20"/>
          <w:szCs w:val="20"/>
          <w:color w:val="auto"/>
        </w:rPr>
      </w:pPr>
    </w:p>
    <w:p>
      <w:pPr>
        <w:jc w:val="both"/>
        <w:ind w:right="20" w:firstLine="648"/>
        <w:spacing w:after="0" w:line="265" w:lineRule="auto"/>
        <w:rPr>
          <w:sz w:val="20"/>
          <w:szCs w:val="20"/>
          <w:color w:val="auto"/>
        </w:rPr>
      </w:pPr>
      <w:r>
        <w:rPr>
          <w:rFonts w:ascii="Arial" w:cs="Arial" w:eastAsia="Arial" w:hAnsi="Arial"/>
          <w:sz w:val="21"/>
          <w:szCs w:val="21"/>
          <w:color w:val="030303"/>
        </w:rPr>
        <w:t xml:space="preserve">6.4 </w:t>
      </w:r>
      <w:r>
        <w:rPr>
          <w:rFonts w:ascii="Arial" w:cs="Arial" w:eastAsia="Arial" w:hAnsi="Arial"/>
          <w:sz w:val="21"/>
          <w:szCs w:val="21"/>
          <w:u w:val="single" w:color="auto"/>
          <w:color w:val="030303"/>
        </w:rPr>
        <w:t>Automatic Conversion upon Death of Class F/G Stockholder</w:t>
      </w:r>
      <w:r>
        <w:rPr>
          <w:rFonts w:ascii="Arial" w:cs="Arial" w:eastAsia="Arial" w:hAnsi="Arial"/>
          <w:sz w:val="21"/>
          <w:szCs w:val="21"/>
          <w:color w:val="030303"/>
        </w:rPr>
        <w:t>. Each share of Class F Common Stock or Class G Common Stock held of record by a Class F/G Stockholder, or by such Class F/G Stockholder's Permitted Entities, shall automatically, without any further action, convert into one (1) fully paid and nonassessable share of Class A Common Stock upon the death of such Class F/G Stockholder.</w:t>
      </w:r>
    </w:p>
    <w:p>
      <w:pPr>
        <w:spacing w:after="0" w:line="1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040404"/>
        </w:rPr>
        <w:t xml:space="preserve">6.5 </w:t>
      </w:r>
      <w:r>
        <w:rPr>
          <w:rFonts w:ascii="Arial" w:cs="Arial" w:eastAsia="Arial" w:hAnsi="Arial"/>
          <w:sz w:val="19"/>
          <w:szCs w:val="19"/>
          <w:u w:val="single" w:color="auto"/>
          <w:color w:val="040404"/>
        </w:rPr>
        <w:t>Effect of Conversion</w:t>
      </w:r>
      <w:r>
        <w:rPr>
          <w:rFonts w:ascii="Arial" w:cs="Arial" w:eastAsia="Arial" w:hAnsi="Arial"/>
          <w:sz w:val="19"/>
          <w:szCs w:val="19"/>
          <w:color w:val="040404"/>
        </w:rPr>
        <w:t xml:space="preserve">. In the event of a conversion of shares of </w:t>
      </w:r>
      <w:r>
        <w:rPr>
          <w:rFonts w:ascii="Arial" w:cs="Arial" w:eastAsia="Arial" w:hAnsi="Arial"/>
          <w:sz w:val="19"/>
          <w:szCs w:val="19"/>
          <w:color w:val="030303"/>
        </w:rPr>
        <w:t>Class F Common Stock or Class G</w:t>
      </w:r>
      <w:r>
        <w:rPr>
          <w:rFonts w:ascii="Arial" w:cs="Arial" w:eastAsia="Arial" w:hAnsi="Arial"/>
          <w:sz w:val="19"/>
          <w:szCs w:val="19"/>
          <w:color w:val="040404"/>
        </w:rPr>
        <w:t xml:space="preserve"> </w:t>
      </w:r>
      <w:r>
        <w:rPr>
          <w:rFonts w:ascii="Arial" w:cs="Arial" w:eastAsia="Arial" w:hAnsi="Arial"/>
          <w:sz w:val="19"/>
          <w:szCs w:val="19"/>
          <w:color w:val="030303"/>
        </w:rPr>
        <w:t xml:space="preserve">Common Stock to shares of Class A Common Stock pursuant to this </w:t>
      </w:r>
      <w:r>
        <w:rPr>
          <w:rFonts w:ascii="Arial" w:cs="Arial" w:eastAsia="Arial" w:hAnsi="Arial"/>
          <w:sz w:val="19"/>
          <w:szCs w:val="19"/>
          <w:u w:val="single" w:color="auto"/>
          <w:color w:val="030303"/>
        </w:rPr>
        <w:t>Section 6</w:t>
      </w:r>
      <w:r>
        <w:rPr>
          <w:rFonts w:ascii="Arial" w:cs="Arial" w:eastAsia="Arial" w:hAnsi="Arial"/>
          <w:sz w:val="19"/>
          <w:szCs w:val="19"/>
          <w:color w:val="030303"/>
        </w:rPr>
        <w:t xml:space="preserve">, such conversion shall be deemed to have been made at the time that the Corporation's transfer agent receives the written notice required pursuant to </w:t>
      </w:r>
      <w:r>
        <w:rPr>
          <w:rFonts w:ascii="Arial" w:cs="Arial" w:eastAsia="Arial" w:hAnsi="Arial"/>
          <w:sz w:val="19"/>
          <w:szCs w:val="19"/>
          <w:u w:val="single" w:color="auto"/>
          <w:color w:val="030303"/>
        </w:rPr>
        <w:t>Subsection 6.2</w:t>
      </w:r>
      <w:r>
        <w:rPr>
          <w:rFonts w:ascii="Arial" w:cs="Arial" w:eastAsia="Arial" w:hAnsi="Arial"/>
          <w:sz w:val="19"/>
          <w:szCs w:val="19"/>
          <w:color w:val="030303"/>
        </w:rPr>
        <w:t xml:space="preserve">, the time that the Transfer of such shares occurred or the death of the Class F/G Stockholder, as applicable. Upon any conversion of Class F Common Stock or Class G Common Stock to Class A Common Stock, all rights of the holder of such shares of Class F Common Stock and Class G Common </w:t>
      </w:r>
      <w:r>
        <w:rPr>
          <w:rFonts w:ascii="Arial" w:cs="Arial" w:eastAsia="Arial" w:hAnsi="Arial"/>
          <w:sz w:val="19"/>
          <w:szCs w:val="19"/>
          <w:color w:val="020202"/>
        </w:rPr>
        <w:t>Stock shall cease and the</w:t>
      </w:r>
      <w:r>
        <w:rPr>
          <w:rFonts w:ascii="Arial" w:cs="Arial" w:eastAsia="Arial" w:hAnsi="Arial"/>
          <w:sz w:val="19"/>
          <w:szCs w:val="19"/>
          <w:color w:val="030303"/>
        </w:rPr>
        <w:t xml:space="preserve"> </w:t>
      </w:r>
      <w:r>
        <w:rPr>
          <w:rFonts w:ascii="Arial" w:cs="Arial" w:eastAsia="Arial" w:hAnsi="Arial"/>
          <w:sz w:val="19"/>
          <w:szCs w:val="19"/>
          <w:color w:val="020202"/>
        </w:rPr>
        <w:t>person or persons in whose names or names the certificate or certificates representing the shares of Class F Common Stock and Class G Common Stock are to be issued, if any, shall be treated for all purposes as having become the record holder or holders of such number of shares of Class A Common Stock into which such Class F Common Stock or Class G Common Stock were convertible. Shares of Class F Common Stock and Class G Common Stock that are converted into shares of Class A Common Stock that are converted into shares of Class A</w:t>
      </w:r>
    </w:p>
    <w:p>
      <w:pPr>
        <w:sectPr>
          <w:pgSz w:w="11900" w:h="16838" w:orient="portrait"/>
          <w:cols w:equalWidth="0" w:num="1">
            <w:col w:w="10100"/>
          </w:cols>
          <w:pgMar w:left="980" w:top="1428" w:right="819" w:bottom="1440" w:gutter="0" w:footer="0" w:header="0"/>
        </w:sectPr>
      </w:pPr>
    </w:p>
    <w:bookmarkStart w:id="231" w:name="page232"/>
    <w:bookmarkEnd w:id="231"/>
    <w:p>
      <w:pPr>
        <w:spacing w:after="0"/>
        <w:rPr>
          <w:sz w:val="20"/>
          <w:szCs w:val="20"/>
          <w:color w:val="auto"/>
        </w:rPr>
      </w:pPr>
      <w:r>
        <w:rPr>
          <w:rFonts w:ascii="Arial" w:cs="Arial" w:eastAsia="Arial" w:hAnsi="Arial"/>
          <w:sz w:val="22"/>
          <w:szCs w:val="22"/>
          <w:color w:val="020202"/>
        </w:rPr>
        <w:t xml:space="preserve">Common Stock as provided in this </w:t>
      </w:r>
      <w:r>
        <w:rPr>
          <w:rFonts w:ascii="Arial" w:cs="Arial" w:eastAsia="Arial" w:hAnsi="Arial"/>
          <w:sz w:val="22"/>
          <w:szCs w:val="22"/>
          <w:u w:val="single" w:color="auto"/>
          <w:color w:val="020202"/>
        </w:rPr>
        <w:t>Section 6</w:t>
      </w:r>
      <w:r>
        <w:rPr>
          <w:rFonts w:ascii="Arial" w:cs="Arial" w:eastAsia="Arial" w:hAnsi="Arial"/>
          <w:sz w:val="22"/>
          <w:szCs w:val="22"/>
          <w:color w:val="020202"/>
        </w:rPr>
        <w:t xml:space="preserve"> shall be retired and shall not be reissued.</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030303"/>
        </w:rPr>
        <w:t xml:space="preserve">6.6 </w:t>
      </w:r>
      <w:r>
        <w:rPr>
          <w:rFonts w:ascii="Arial" w:cs="Arial" w:eastAsia="Arial" w:hAnsi="Arial"/>
          <w:sz w:val="21"/>
          <w:szCs w:val="21"/>
          <w:u w:val="single" w:color="auto"/>
          <w:color w:val="030303"/>
        </w:rPr>
        <w:t>Reservation of Stock</w:t>
      </w:r>
      <w:r>
        <w:rPr>
          <w:rFonts w:ascii="Arial" w:cs="Arial" w:eastAsia="Arial" w:hAnsi="Arial"/>
          <w:sz w:val="21"/>
          <w:szCs w:val="21"/>
          <w:color w:val="030303"/>
        </w:rPr>
        <w:t>. The Corporation shall at all times reserve and keep available out of its authorized but unissued shares of Class A Common Stock, solely for the purpose of effecting the conversion of the shares of Class F Common Stock and Class G Common Stock, such number of its shares of Class A Common Stock as shall from time to time be sufficient to effect the conversion of all outstanding shares of Class F Common Stock and Class G Common Stock into shares of Class A Common Stock.”</w:t>
      </w:r>
    </w:p>
    <w:p>
      <w:pPr>
        <w:sectPr>
          <w:pgSz w:w="11900" w:h="16838" w:orient="portrait"/>
          <w:cols w:equalWidth="0" w:num="1">
            <w:col w:w="10100"/>
          </w:cols>
          <w:pgMar w:left="980" w:top="1428" w:right="819"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OF AMENDMENT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 SECOND AMENDED AND RESTATED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OF INCORPORATION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NERDWALLET, INC.</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The undersigned Tim Chen hereby certifies that:</w:t>
      </w:r>
    </w:p>
    <w:p>
      <w:pPr>
        <w:spacing w:after="0" w:line="220" w:lineRule="exact"/>
        <w:rPr>
          <w:sz w:val="20"/>
          <w:szCs w:val="20"/>
          <w:color w:val="auto"/>
        </w:rPr>
      </w:pPr>
    </w:p>
    <w:p>
      <w:pPr>
        <w:ind w:left="660" w:hanging="328"/>
        <w:spacing w:after="0"/>
        <w:tabs>
          <w:tab w:leader="none" w:pos="66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He is the duly elected and acting President of NerdWallet, Inc., a Delaware corporation.</w:t>
      </w:r>
    </w:p>
    <w:p>
      <w:pPr>
        <w:spacing w:after="0" w:line="219" w:lineRule="exact"/>
        <w:rPr>
          <w:rFonts w:ascii="Arial" w:cs="Arial" w:eastAsia="Arial" w:hAnsi="Arial"/>
          <w:sz w:val="22"/>
          <w:szCs w:val="22"/>
          <w:color w:val="auto"/>
        </w:rPr>
      </w:pPr>
    </w:p>
    <w:p>
      <w:pPr>
        <w:ind w:right="20" w:firstLine="332"/>
        <w:spacing w:after="0" w:line="263" w:lineRule="auto"/>
        <w:tabs>
          <w:tab w:leader="none" w:pos="648"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The date of filing the original Certificate of Incorporation of this corporation with the Secretary of State of Delaware was December 29, 2011.</w:t>
      </w:r>
    </w:p>
    <w:p>
      <w:pPr>
        <w:spacing w:after="0" w:line="174" w:lineRule="exact"/>
        <w:rPr>
          <w:rFonts w:ascii="Arial" w:cs="Arial" w:eastAsia="Arial" w:hAnsi="Arial"/>
          <w:sz w:val="22"/>
          <w:szCs w:val="22"/>
          <w:color w:val="auto"/>
        </w:rPr>
      </w:pPr>
    </w:p>
    <w:p>
      <w:pPr>
        <w:jc w:val="both"/>
        <w:ind w:right="20" w:firstLine="332"/>
        <w:spacing w:after="0" w:line="253" w:lineRule="auto"/>
        <w:tabs>
          <w:tab w:leader="none" w:pos="648" w:val="left"/>
        </w:tabs>
        <w:numPr>
          <w:ilvl w:val="0"/>
          <w:numId w:val="171"/>
        </w:numPr>
        <w:rPr>
          <w:rFonts w:ascii="Arial" w:cs="Arial" w:eastAsia="Arial" w:hAnsi="Arial"/>
          <w:sz w:val="22"/>
          <w:szCs w:val="22"/>
          <w:color w:val="auto"/>
        </w:rPr>
      </w:pPr>
      <w:r>
        <w:rPr>
          <w:rFonts w:ascii="Arial" w:cs="Arial" w:eastAsia="Arial" w:hAnsi="Arial"/>
          <w:sz w:val="22"/>
          <w:szCs w:val="22"/>
          <w:color w:val="auto"/>
        </w:rPr>
        <w:t>Pursuant to Sections 141 and 242 of the General Corporation Law of the State of Delaware (the “</w:t>
      </w:r>
      <w:r>
        <w:rPr>
          <w:rFonts w:ascii="Arial" w:cs="Arial" w:eastAsia="Arial" w:hAnsi="Arial"/>
          <w:sz w:val="22"/>
          <w:szCs w:val="22"/>
          <w:b w:val="1"/>
          <w:bCs w:val="1"/>
          <w:i w:val="1"/>
          <w:iCs w:val="1"/>
          <w:color w:val="auto"/>
        </w:rPr>
        <w:t>DGCL</w:t>
      </w:r>
      <w:r>
        <w:rPr>
          <w:rFonts w:ascii="Arial" w:cs="Arial" w:eastAsia="Arial" w:hAnsi="Arial"/>
          <w:sz w:val="22"/>
          <w:szCs w:val="22"/>
          <w:color w:val="auto"/>
        </w:rPr>
        <w:t>”), this Certificate of Amendment to the Second Amended and Restated Certificate of Incorporation amends this corporation’s Certificate of Incorporation as follows: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first sentence of Article IV.B Section 3.3 of this corporation’s Second Amended and Restated Certificate of</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Incorporation is amended to read in its entirety as follows:</w:t>
      </w:r>
    </w:p>
    <w:p>
      <w:pPr>
        <w:spacing w:after="0" w:line="202" w:lineRule="exact"/>
        <w:rPr>
          <w:sz w:val="20"/>
          <w:szCs w:val="20"/>
          <w:color w:val="auto"/>
        </w:rPr>
      </w:pPr>
    </w:p>
    <w:p>
      <w:pPr>
        <w:jc w:val="both"/>
        <w:ind w:left="660" w:right="640"/>
        <w:spacing w:after="0" w:line="288"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Series A Preferred Stock Protective Provisions</w:t>
      </w:r>
      <w:r>
        <w:rPr>
          <w:rFonts w:ascii="Arial" w:cs="Arial" w:eastAsia="Arial" w:hAnsi="Arial"/>
          <w:sz w:val="19"/>
          <w:szCs w:val="19"/>
          <w:color w:val="auto"/>
        </w:rPr>
        <w:t xml:space="preserve">. At any time when at least 1,729,620 shares of Series A Preferred Stock (subject to appropriate adjustment in the event of any stock dividend, stock split, combination or other similar recapitalization with respect to the Series A Preferred Stock) are outstanding, the Corporation shall not, either directly or indirectly by amendment, merger, consolidation or otherwise, do any of the following without (in addition to any other vote required by law or the Certificate of Incorporation) the written consent or affirmative vote of the holders of: (i) with respect to subsections 3.3.1, 3.3.2, 3.3.3, 3.3.4, 3.3.8, and 3.3.9, a majority of the then outstanding shares of Series A Preferred Stock ; and (ii) with respect to subsections 3.3.5, 3.3.6, and 3.3.7, at least 60% of the then outstanding shares of Series A Preferred Stock, in either case given in writing or by vote at a meeting, consenting or voting (as the case may be) separately as a class, and any such act or transaction entered into without such consent or vote shall be null and void </w:t>
      </w:r>
      <w:r>
        <w:rPr>
          <w:rFonts w:ascii="Arial" w:cs="Arial" w:eastAsia="Arial" w:hAnsi="Arial"/>
          <w:sz w:val="19"/>
          <w:szCs w:val="19"/>
          <w:i w:val="1"/>
          <w:iCs w:val="1"/>
          <w:color w:val="auto"/>
        </w:rPr>
        <w:t>ab initio</w:t>
      </w:r>
      <w:r>
        <w:rPr>
          <w:rFonts w:ascii="Arial" w:cs="Arial" w:eastAsia="Arial" w:hAnsi="Arial"/>
          <w:sz w:val="19"/>
          <w:szCs w:val="19"/>
          <w:color w:val="auto"/>
        </w:rPr>
        <w:t>, and of no force or effect.”</w:t>
      </w:r>
    </w:p>
    <w:p>
      <w:pPr>
        <w:spacing w:after="0" w:line="375" w:lineRule="exact"/>
        <w:rPr>
          <w:sz w:val="20"/>
          <w:szCs w:val="20"/>
          <w:color w:val="auto"/>
        </w:rPr>
      </w:pPr>
    </w:p>
    <w:p>
      <w:pPr>
        <w:jc w:val="both"/>
        <w:ind w:firstLine="332"/>
        <w:spacing w:after="0" w:line="250" w:lineRule="auto"/>
        <w:tabs>
          <w:tab w:leader="none" w:pos="648" w:val="left"/>
        </w:tabs>
        <w:numPr>
          <w:ilvl w:val="0"/>
          <w:numId w:val="172"/>
        </w:numPr>
        <w:rPr>
          <w:rFonts w:ascii="Arial" w:cs="Arial" w:eastAsia="Arial" w:hAnsi="Arial"/>
          <w:sz w:val="22"/>
          <w:szCs w:val="22"/>
          <w:color w:val="auto"/>
        </w:rPr>
      </w:pPr>
      <w:r>
        <w:rPr>
          <w:rFonts w:ascii="Arial" w:cs="Arial" w:eastAsia="Arial" w:hAnsi="Arial"/>
          <w:sz w:val="22"/>
          <w:szCs w:val="22"/>
          <w:color w:val="auto"/>
        </w:rPr>
        <w:t>Thereafter, pursuant to a resolution by the Board of Directors, this Certificate of Amendment to the Second Amended and Restated Certificate of Incorporation was submitted to the stockholders of the Company for their approval in accordance with the provisions of Section 228 and 242 of the DGCL. Accordingly, said proposed amendment has been adopted in accordance with Section 242 of the DGCL.</w:t>
      </w:r>
    </w:p>
    <w:p>
      <w:pPr>
        <w:sectPr>
          <w:pgSz w:w="11900" w:h="16838" w:orient="portrait"/>
          <w:cols w:equalWidth="0" w:num="1">
            <w:col w:w="11240"/>
          </w:cols>
          <w:pgMar w:left="320" w:top="121" w:right="339" w:bottom="1440" w:gutter="0" w:footer="0" w:header="0"/>
        </w:sectPr>
      </w:pPr>
    </w:p>
    <w:bookmarkStart w:id="233" w:name="page234"/>
    <w:bookmarkEnd w:id="233"/>
    <w:p>
      <w:pPr>
        <w:jc w:val="both"/>
        <w:ind w:firstLine="648"/>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NerdWallet, Inc. has caused this</w:t>
      </w:r>
      <w:r>
        <w:rPr>
          <w:rFonts w:ascii="Arial" w:cs="Arial" w:eastAsia="Arial" w:hAnsi="Arial"/>
          <w:sz w:val="22"/>
          <w:szCs w:val="22"/>
          <w:b w:val="1"/>
          <w:bCs w:val="1"/>
          <w:color w:val="auto"/>
        </w:rPr>
        <w:t xml:space="preserve"> CERTIFICATE OF AMENDMENT TO THE SECOND AMENDED AND RESTATED CERTIFICATE OF INCORPORATION </w:t>
      </w:r>
      <w:r>
        <w:rPr>
          <w:rFonts w:ascii="Arial" w:cs="Arial" w:eastAsia="Arial" w:hAnsi="Arial"/>
          <w:sz w:val="22"/>
          <w:szCs w:val="22"/>
          <w:color w:val="auto"/>
        </w:rPr>
        <w:t>to be signed by its President this 7th day of April,</w:t>
      </w:r>
      <w:r>
        <w:rPr>
          <w:rFonts w:ascii="Arial" w:cs="Arial" w:eastAsia="Arial" w:hAnsi="Arial"/>
          <w:sz w:val="22"/>
          <w:szCs w:val="22"/>
          <w:b w:val="1"/>
          <w:bCs w:val="1"/>
          <w:color w:val="auto"/>
        </w:rPr>
        <w:t xml:space="preserve"> </w:t>
      </w:r>
      <w:r>
        <w:rPr>
          <w:rFonts w:ascii="Arial" w:cs="Arial" w:eastAsia="Arial" w:hAnsi="Arial"/>
          <w:sz w:val="22"/>
          <w:szCs w:val="22"/>
          <w:color w:val="auto"/>
        </w:rPr>
        <w:t>2020.</w:t>
      </w:r>
    </w:p>
    <w:p>
      <w:pPr>
        <w:spacing w:after="0" w:line="39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NerdWallet, Inc.</w:t>
      </w:r>
    </w:p>
    <w:p>
      <w:pPr>
        <w:spacing w:after="0" w:line="280" w:lineRule="exact"/>
        <w:rPr>
          <w:sz w:val="20"/>
          <w:szCs w:val="20"/>
          <w:color w:val="auto"/>
        </w:rPr>
      </w:pPr>
    </w:p>
    <w:p>
      <w:pPr>
        <w:ind w:left="3920"/>
        <w:spacing w:after="0"/>
        <w:tabs>
          <w:tab w:leader="none" w:pos="4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9"/>
          <w:szCs w:val="19"/>
          <w:color w:val="auto"/>
        </w:rPr>
        <w:t>/s/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46355</wp:posOffset>
            </wp:positionV>
            <wp:extent cx="24517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80"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Tim Chen</w:t>
      </w:r>
    </w:p>
    <w:p>
      <w:pPr>
        <w:spacing w:after="0" w:line="64"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President</w:t>
      </w:r>
    </w:p>
    <w:p>
      <w:pPr>
        <w:sectPr>
          <w:pgSz w:w="11900" w:h="16838" w:orient="portrait"/>
          <w:cols w:equalWidth="0" w:num="1">
            <w:col w:w="11240"/>
          </w:cols>
          <w:pgMar w:left="320" w:top="1422" w:right="339" w:bottom="1440"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b w:val="1"/>
          <w:bCs w:val="1"/>
          <w:color w:val="auto"/>
        </w:rPr>
        <w:t>Exhibit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OF AMENDMENT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 SECOND AMENDED AND RESTATED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OF INCORPORATION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NERDWALLET, INC.</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auto"/>
        </w:rPr>
        <w:t>The undersigned Tim Chen hereby certifies that:</w:t>
      </w:r>
    </w:p>
    <w:p>
      <w:pPr>
        <w:spacing w:after="0" w:line="220" w:lineRule="exact"/>
        <w:rPr>
          <w:sz w:val="20"/>
          <w:szCs w:val="20"/>
          <w:color w:val="auto"/>
        </w:rPr>
      </w:pPr>
    </w:p>
    <w:p>
      <w:pPr>
        <w:ind w:left="660" w:hanging="328"/>
        <w:spacing w:after="0"/>
        <w:tabs>
          <w:tab w:leader="none" w:pos="66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He is the duly elected and acting President of NerdWallet, Inc., a Delaware corporation.</w:t>
      </w:r>
    </w:p>
    <w:p>
      <w:pPr>
        <w:spacing w:after="0" w:line="219" w:lineRule="exact"/>
        <w:rPr>
          <w:rFonts w:ascii="Arial" w:cs="Arial" w:eastAsia="Arial" w:hAnsi="Arial"/>
          <w:sz w:val="22"/>
          <w:szCs w:val="22"/>
          <w:color w:val="auto"/>
        </w:rPr>
      </w:pPr>
    </w:p>
    <w:p>
      <w:pPr>
        <w:ind w:right="20" w:firstLine="332"/>
        <w:spacing w:after="0" w:line="263" w:lineRule="auto"/>
        <w:tabs>
          <w:tab w:leader="none" w:pos="648" w:val="left"/>
        </w:tabs>
        <w:numPr>
          <w:ilvl w:val="0"/>
          <w:numId w:val="173"/>
        </w:numPr>
        <w:rPr>
          <w:rFonts w:ascii="Arial" w:cs="Arial" w:eastAsia="Arial" w:hAnsi="Arial"/>
          <w:sz w:val="22"/>
          <w:szCs w:val="22"/>
          <w:color w:val="auto"/>
        </w:rPr>
      </w:pPr>
      <w:r>
        <w:rPr>
          <w:rFonts w:ascii="Arial" w:cs="Arial" w:eastAsia="Arial" w:hAnsi="Arial"/>
          <w:sz w:val="22"/>
          <w:szCs w:val="22"/>
          <w:color w:val="auto"/>
        </w:rPr>
        <w:t>The date of filing the original Certificate of Incorporation of this corporation with the Secretary of State of Delaware was December 29, 2011.</w:t>
      </w:r>
    </w:p>
    <w:p>
      <w:pPr>
        <w:spacing w:after="0" w:line="174" w:lineRule="exact"/>
        <w:rPr>
          <w:rFonts w:ascii="Arial" w:cs="Arial" w:eastAsia="Arial" w:hAnsi="Arial"/>
          <w:sz w:val="22"/>
          <w:szCs w:val="22"/>
          <w:color w:val="auto"/>
        </w:rPr>
      </w:pPr>
    </w:p>
    <w:p>
      <w:pPr>
        <w:jc w:val="both"/>
        <w:ind w:right="20" w:firstLine="332"/>
        <w:spacing w:after="0" w:line="253" w:lineRule="auto"/>
        <w:tabs>
          <w:tab w:leader="none" w:pos="648" w:val="left"/>
        </w:tabs>
        <w:numPr>
          <w:ilvl w:val="0"/>
          <w:numId w:val="173"/>
        </w:numPr>
        <w:rPr>
          <w:rFonts w:ascii="Arial" w:cs="Arial" w:eastAsia="Arial" w:hAnsi="Arial"/>
          <w:sz w:val="22"/>
          <w:szCs w:val="22"/>
          <w:color w:val="auto"/>
        </w:rPr>
      </w:pPr>
      <w:r>
        <w:rPr>
          <w:rFonts w:ascii="Arial" w:cs="Arial" w:eastAsia="Arial" w:hAnsi="Arial"/>
          <w:sz w:val="22"/>
          <w:szCs w:val="22"/>
          <w:color w:val="auto"/>
        </w:rPr>
        <w:t>Pursuant to Sections 141 and 242 of the General Corporation Law of the State of Delaware (the “</w:t>
      </w:r>
      <w:r>
        <w:rPr>
          <w:rFonts w:ascii="Arial" w:cs="Arial" w:eastAsia="Arial" w:hAnsi="Arial"/>
          <w:sz w:val="22"/>
          <w:szCs w:val="22"/>
          <w:b w:val="1"/>
          <w:bCs w:val="1"/>
          <w:i w:val="1"/>
          <w:iCs w:val="1"/>
          <w:color w:val="auto"/>
        </w:rPr>
        <w:t>DGCL</w:t>
      </w:r>
      <w:r>
        <w:rPr>
          <w:rFonts w:ascii="Arial" w:cs="Arial" w:eastAsia="Arial" w:hAnsi="Arial"/>
          <w:sz w:val="22"/>
          <w:szCs w:val="22"/>
          <w:color w:val="auto"/>
        </w:rPr>
        <w:t>”), this Certificate of Amendment to the Second Amended and Restated Certificate of Incorporation amends this corporation’s Certificate of Incorporation as follows: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first sentence of Article IV.B Section 6.1 of this corporation’s Second Amended and Restated Certificate of</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Incorporation is amended to read in its entirety as follows:</w:t>
      </w:r>
    </w:p>
    <w:p>
      <w:pPr>
        <w:spacing w:after="0" w:line="202" w:lineRule="exact"/>
        <w:rPr>
          <w:sz w:val="20"/>
          <w:szCs w:val="20"/>
          <w:color w:val="auto"/>
        </w:rPr>
      </w:pPr>
    </w:p>
    <w:p>
      <w:pPr>
        <w:jc w:val="both"/>
        <w:ind w:left="660" w:right="660"/>
        <w:spacing w:after="0" w:line="292"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General</w:t>
      </w:r>
      <w:r>
        <w:rPr>
          <w:rFonts w:ascii="Arial" w:cs="Arial" w:eastAsia="Arial" w:hAnsi="Arial"/>
          <w:sz w:val="19"/>
          <w:szCs w:val="19"/>
          <w:color w:val="auto"/>
        </w:rPr>
        <w:t>. Unless prohibited by Delaware law governing distributions to stockholders, shares of Series A Preferred Stock shall be redeemed by the Corporation at a price equal to the greater of (A) the Series A Original Issue Price per share, plus all declared but unpaid dividends thereon and (B) the Fair Market Value (determined in the manner set forth below) of a single share of Series A Preferred Stock as of the date of the Corporation’s receipt of the Redemption Request (the “</w:t>
      </w:r>
      <w:r>
        <w:rPr>
          <w:rFonts w:ascii="Arial" w:cs="Arial" w:eastAsia="Arial" w:hAnsi="Arial"/>
          <w:sz w:val="19"/>
          <w:szCs w:val="19"/>
          <w:b w:val="1"/>
          <w:bCs w:val="1"/>
          <w:color w:val="auto"/>
        </w:rPr>
        <w:t>Redemption Price</w:t>
      </w:r>
      <w:r>
        <w:rPr>
          <w:rFonts w:ascii="Arial" w:cs="Arial" w:eastAsia="Arial" w:hAnsi="Arial"/>
          <w:sz w:val="19"/>
          <w:szCs w:val="19"/>
          <w:color w:val="auto"/>
        </w:rPr>
        <w:t xml:space="preserve">”) in three (3) annual installments commencing not more than sixty (60) days after receipt by the Corporation at any time on or after March 1, 2024, from the holders of at least a majority of the then outstanding shares of Series A Preferred Stock (the </w:t>
      </w:r>
      <w:r>
        <w:rPr>
          <w:rFonts w:ascii="Arial" w:cs="Arial" w:eastAsia="Arial" w:hAnsi="Arial"/>
          <w:sz w:val="19"/>
          <w:szCs w:val="19"/>
          <w:b w:val="1"/>
          <w:bCs w:val="1"/>
          <w:color w:val="auto"/>
        </w:rPr>
        <w:t>“Redemption Request</w:t>
      </w:r>
      <w:r>
        <w:rPr>
          <w:rFonts w:ascii="Arial" w:cs="Arial" w:eastAsia="Arial" w:hAnsi="Arial"/>
          <w:sz w:val="19"/>
          <w:szCs w:val="19"/>
          <w:color w:val="auto"/>
        </w:rPr>
        <w:t>”).”</w:t>
      </w:r>
    </w:p>
    <w:p>
      <w:pPr>
        <w:spacing w:after="0" w:line="394" w:lineRule="exact"/>
        <w:rPr>
          <w:sz w:val="20"/>
          <w:szCs w:val="20"/>
          <w:color w:val="auto"/>
        </w:rPr>
      </w:pPr>
    </w:p>
    <w:p>
      <w:pPr>
        <w:jc w:val="both"/>
        <w:ind w:firstLine="332"/>
        <w:spacing w:after="0" w:line="250" w:lineRule="auto"/>
        <w:tabs>
          <w:tab w:leader="none" w:pos="648" w:val="left"/>
        </w:tabs>
        <w:numPr>
          <w:ilvl w:val="0"/>
          <w:numId w:val="174"/>
        </w:numPr>
        <w:rPr>
          <w:rFonts w:ascii="Arial" w:cs="Arial" w:eastAsia="Arial" w:hAnsi="Arial"/>
          <w:sz w:val="22"/>
          <w:szCs w:val="22"/>
          <w:color w:val="auto"/>
        </w:rPr>
      </w:pPr>
      <w:r>
        <w:rPr>
          <w:rFonts w:ascii="Arial" w:cs="Arial" w:eastAsia="Arial" w:hAnsi="Arial"/>
          <w:sz w:val="22"/>
          <w:szCs w:val="22"/>
          <w:color w:val="auto"/>
        </w:rPr>
        <w:t>Thereafter, pursuant to a resolution by the Board of Directors, this Certificate of Amendment to the Second Amended and Restated Certificate of Incorporation was submitted to the stockholders of the Company for their approval in accordance with the provisions of Section 228 and 242 of the DGCL. Accordingly, said proposed amendment has been adopted in accordance with Section 242 of the DGCL.</w:t>
      </w:r>
    </w:p>
    <w:p>
      <w:pPr>
        <w:sectPr>
          <w:pgSz w:w="11900" w:h="16838" w:orient="portrait"/>
          <w:cols w:equalWidth="0" w:num="1">
            <w:col w:w="11240"/>
          </w:cols>
          <w:pgMar w:left="320" w:top="121" w:right="339" w:bottom="1440" w:gutter="0" w:footer="0" w:header="0"/>
        </w:sectPr>
      </w:pPr>
    </w:p>
    <w:bookmarkStart w:id="235" w:name="page236"/>
    <w:bookmarkEnd w:id="235"/>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NerdWallet, Inc. has caused this</w:t>
      </w:r>
      <w:r>
        <w:rPr>
          <w:rFonts w:ascii="Arial" w:cs="Arial" w:eastAsia="Arial" w:hAnsi="Arial"/>
          <w:sz w:val="22"/>
          <w:szCs w:val="22"/>
          <w:b w:val="1"/>
          <w:bCs w:val="1"/>
          <w:color w:val="auto"/>
        </w:rPr>
        <w:t xml:space="preserve"> CERTIFICATE OF AMENDMENT TO THE SECOND AMENDED AND RESTATED CERTIFICATE OF INCORPORATION </w:t>
      </w:r>
      <w:r>
        <w:rPr>
          <w:rFonts w:ascii="Arial" w:cs="Arial" w:eastAsia="Arial" w:hAnsi="Arial"/>
          <w:sz w:val="22"/>
          <w:szCs w:val="22"/>
          <w:color w:val="auto"/>
        </w:rPr>
        <w:t>to be signed by its President this 2nd day of</w:t>
      </w:r>
      <w:r>
        <w:rPr>
          <w:rFonts w:ascii="Arial" w:cs="Arial" w:eastAsia="Arial" w:hAnsi="Arial"/>
          <w:sz w:val="22"/>
          <w:szCs w:val="22"/>
          <w:b w:val="1"/>
          <w:bCs w:val="1"/>
          <w:color w:val="auto"/>
        </w:rPr>
        <w:t xml:space="preserve"> </w:t>
      </w:r>
      <w:r>
        <w:rPr>
          <w:rFonts w:ascii="Arial" w:cs="Arial" w:eastAsia="Arial" w:hAnsi="Arial"/>
          <w:sz w:val="22"/>
          <w:szCs w:val="22"/>
          <w:color w:val="auto"/>
        </w:rPr>
        <w:t>September, 2020.</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320"/>
        <w:spacing w:after="0"/>
        <w:rPr>
          <w:sz w:val="20"/>
          <w:szCs w:val="20"/>
          <w:color w:val="auto"/>
        </w:rPr>
      </w:pPr>
      <w:r>
        <w:rPr>
          <w:rFonts w:ascii="Arial" w:cs="Arial" w:eastAsia="Arial" w:hAnsi="Arial"/>
          <w:sz w:val="22"/>
          <w:szCs w:val="22"/>
          <w:b w:val="1"/>
          <w:bCs w:val="1"/>
          <w:color w:val="auto"/>
        </w:rPr>
        <w:t>NERDWALLET, INC.</w:t>
      </w:r>
    </w:p>
    <w:p>
      <w:pPr>
        <w:spacing w:after="0" w:line="200" w:lineRule="exact"/>
        <w:rPr>
          <w:sz w:val="20"/>
          <w:szCs w:val="20"/>
          <w:color w:val="auto"/>
        </w:rPr>
      </w:pPr>
    </w:p>
    <w:p>
      <w:pPr>
        <w:spacing w:after="0" w:line="36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21"/>
          <w:szCs w:val="21"/>
          <w:color w:val="auto"/>
        </w:rPr>
        <w:t>/s/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22860</wp:posOffset>
            </wp:positionV>
            <wp:extent cx="22974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43" w:lineRule="exact"/>
        <w:rPr>
          <w:sz w:val="20"/>
          <w:szCs w:val="20"/>
          <w:color w:val="auto"/>
        </w:rPr>
      </w:pPr>
    </w:p>
    <w:p>
      <w:pPr>
        <w:ind w:left="7640"/>
        <w:spacing w:after="0"/>
        <w:rPr>
          <w:sz w:val="20"/>
          <w:szCs w:val="20"/>
          <w:color w:val="auto"/>
        </w:rPr>
      </w:pPr>
      <w:r>
        <w:rPr>
          <w:rFonts w:ascii="Arial" w:cs="Arial" w:eastAsia="Arial" w:hAnsi="Arial"/>
          <w:sz w:val="22"/>
          <w:szCs w:val="22"/>
          <w:b w:val="1"/>
          <w:bCs w:val="1"/>
          <w:color w:val="auto"/>
        </w:rPr>
        <w:t>TIM CHEN</w:t>
      </w:r>
    </w:p>
    <w:p>
      <w:pPr>
        <w:spacing w:after="0" w:line="37" w:lineRule="exact"/>
        <w:rPr>
          <w:sz w:val="20"/>
          <w:szCs w:val="20"/>
          <w:color w:val="auto"/>
        </w:rPr>
      </w:pPr>
    </w:p>
    <w:p>
      <w:pPr>
        <w:ind w:left="7640"/>
        <w:spacing w:after="0"/>
        <w:rPr>
          <w:sz w:val="20"/>
          <w:szCs w:val="20"/>
          <w:color w:val="auto"/>
        </w:rPr>
      </w:pPr>
      <w:r>
        <w:rPr>
          <w:rFonts w:ascii="Arial" w:cs="Arial" w:eastAsia="Arial" w:hAnsi="Arial"/>
          <w:sz w:val="22"/>
          <w:szCs w:val="22"/>
          <w:color w:val="auto"/>
        </w:rPr>
        <w:t>President</w:t>
      </w:r>
    </w:p>
    <w:p>
      <w:pPr>
        <w:sectPr>
          <w:pgSz w:w="11900" w:h="16838" w:orient="portrait"/>
          <w:cols w:equalWidth="0" w:num="1">
            <w:col w:w="11240"/>
          </w:cols>
          <w:pgMar w:left="320" w:top="1422" w:right="339" w:bottom="1440" w:gutter="0" w:footer="0" w:header="0"/>
        </w:sectPr>
      </w:pPr>
    </w:p>
    <w:bookmarkStart w:id="236" w:name="page237"/>
    <w:bookmarkEnd w:id="236"/>
    <w:p>
      <w:pPr>
        <w:jc w:val="right"/>
        <w:spacing w:after="0"/>
        <w:rPr>
          <w:sz w:val="20"/>
          <w:szCs w:val="20"/>
          <w:color w:val="auto"/>
        </w:rPr>
      </w:pPr>
      <w:r>
        <w:rPr>
          <w:rFonts w:ascii="Arial" w:cs="Arial" w:eastAsia="Arial" w:hAnsi="Arial"/>
          <w:sz w:val="18"/>
          <w:szCs w:val="18"/>
          <w:b w:val="1"/>
          <w:bCs w:val="1"/>
          <w:color w:val="auto"/>
        </w:rPr>
        <w:t>Exhibit 3.5</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20202"/>
        </w:rPr>
        <w:t>CERTIFICATE OF AMENDMENT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20202"/>
        </w:rPr>
        <w:t>TO THE SECOND AMENDED AND RESTATED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20202"/>
        </w:rPr>
        <w:t>CERTIFICATE OF INCORPORATION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20202"/>
        </w:rPr>
        <w:t>OF NERDWALLET, INC.</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The undersigned Tim Chen hereby certifies that:</w:t>
      </w:r>
    </w:p>
    <w:p>
      <w:pPr>
        <w:spacing w:after="0" w:line="220" w:lineRule="exact"/>
        <w:rPr>
          <w:sz w:val="20"/>
          <w:szCs w:val="20"/>
          <w:color w:val="auto"/>
        </w:rPr>
      </w:pPr>
    </w:p>
    <w:p>
      <w:pPr>
        <w:ind w:left="660" w:hanging="328"/>
        <w:spacing w:after="0"/>
        <w:tabs>
          <w:tab w:leader="none" w:pos="66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He is the duly elected and acting President of NerdWallet, Inc., a Delaware corporation.</w:t>
      </w:r>
    </w:p>
    <w:p>
      <w:pPr>
        <w:spacing w:after="0" w:line="219" w:lineRule="exact"/>
        <w:rPr>
          <w:rFonts w:ascii="Arial" w:cs="Arial" w:eastAsia="Arial" w:hAnsi="Arial"/>
          <w:sz w:val="22"/>
          <w:szCs w:val="22"/>
          <w:color w:val="auto"/>
        </w:rPr>
      </w:pPr>
    </w:p>
    <w:p>
      <w:pPr>
        <w:ind w:right="20" w:firstLine="332"/>
        <w:spacing w:after="0" w:line="263" w:lineRule="auto"/>
        <w:tabs>
          <w:tab w:leader="none" w:pos="648" w:val="left"/>
        </w:tabs>
        <w:numPr>
          <w:ilvl w:val="0"/>
          <w:numId w:val="175"/>
        </w:numPr>
        <w:rPr>
          <w:rFonts w:ascii="Arial" w:cs="Arial" w:eastAsia="Arial" w:hAnsi="Arial"/>
          <w:sz w:val="22"/>
          <w:szCs w:val="22"/>
          <w:color w:val="auto"/>
        </w:rPr>
      </w:pPr>
      <w:r>
        <w:rPr>
          <w:rFonts w:ascii="Arial" w:cs="Arial" w:eastAsia="Arial" w:hAnsi="Arial"/>
          <w:sz w:val="22"/>
          <w:szCs w:val="22"/>
          <w:color w:val="auto"/>
        </w:rPr>
        <w:t>The date of filing the original Certificate of Incorporation of this corporation with the Secretary of State of Delaware was December 29, 2011.</w:t>
      </w:r>
    </w:p>
    <w:p>
      <w:pPr>
        <w:spacing w:after="0" w:line="174" w:lineRule="exact"/>
        <w:rPr>
          <w:rFonts w:ascii="Arial" w:cs="Arial" w:eastAsia="Arial" w:hAnsi="Arial"/>
          <w:sz w:val="22"/>
          <w:szCs w:val="22"/>
          <w:color w:val="auto"/>
        </w:rPr>
      </w:pPr>
    </w:p>
    <w:p>
      <w:pPr>
        <w:jc w:val="both"/>
        <w:ind w:firstLine="332"/>
        <w:spacing w:after="0" w:line="253" w:lineRule="auto"/>
        <w:tabs>
          <w:tab w:leader="none" w:pos="648" w:val="left"/>
        </w:tabs>
        <w:numPr>
          <w:ilvl w:val="0"/>
          <w:numId w:val="175"/>
        </w:numPr>
        <w:rPr>
          <w:rFonts w:ascii="Arial" w:cs="Arial" w:eastAsia="Arial" w:hAnsi="Arial"/>
          <w:sz w:val="22"/>
          <w:szCs w:val="22"/>
          <w:color w:val="auto"/>
        </w:rPr>
      </w:pPr>
      <w:r>
        <w:rPr>
          <w:rFonts w:ascii="Arial" w:cs="Arial" w:eastAsia="Arial" w:hAnsi="Arial"/>
          <w:sz w:val="22"/>
          <w:szCs w:val="22"/>
          <w:color w:val="auto"/>
        </w:rPr>
        <w:t>Pursuant to Sections 141 and 242 of the General Corporation Law of the State of Delaware (the “</w:t>
      </w:r>
      <w:r>
        <w:rPr>
          <w:rFonts w:ascii="Arial" w:cs="Arial" w:eastAsia="Arial" w:hAnsi="Arial"/>
          <w:sz w:val="22"/>
          <w:szCs w:val="22"/>
          <w:b w:val="1"/>
          <w:bCs w:val="1"/>
          <w:i w:val="1"/>
          <w:iCs w:val="1"/>
          <w:color w:val="auto"/>
        </w:rPr>
        <w:t>DGCL</w:t>
      </w:r>
      <w:r>
        <w:rPr>
          <w:rFonts w:ascii="Arial" w:cs="Arial" w:eastAsia="Arial" w:hAnsi="Arial"/>
          <w:sz w:val="22"/>
          <w:szCs w:val="22"/>
          <w:color w:val="auto"/>
        </w:rPr>
        <w:t>”), this Certificate of Amendment to the Second Amended and Restated Certificate of Incorporation amends this corporation's Certificate of Incorporation as follows: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last paragraph of Article IV, Section A.6.3 of this corporation’s Second Amended and Restated Certificate of</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Incorporation is amended to read in its entirety as follows:</w:t>
      </w:r>
    </w:p>
    <w:p>
      <w:pPr>
        <w:spacing w:after="0" w:line="202" w:lineRule="exact"/>
        <w:rPr>
          <w:sz w:val="20"/>
          <w:szCs w:val="20"/>
          <w:color w:val="auto"/>
        </w:rPr>
      </w:pPr>
    </w:p>
    <w:p>
      <w:pPr>
        <w:jc w:val="both"/>
        <w:ind w:left="660" w:right="660"/>
        <w:spacing w:after="0" w:line="248" w:lineRule="auto"/>
        <w:rPr>
          <w:sz w:val="20"/>
          <w:szCs w:val="20"/>
          <w:color w:val="auto"/>
        </w:rPr>
      </w:pPr>
      <w:r>
        <w:rPr>
          <w:rFonts w:ascii="Arial" w:cs="Arial" w:eastAsia="Arial" w:hAnsi="Arial"/>
          <w:sz w:val="22"/>
          <w:szCs w:val="22"/>
          <w:color w:val="auto"/>
        </w:rPr>
        <w:t>“For purposes of this Section 6. A Class F/G Stockholder shall be deemed to continue to have sole dispositive power and exclusive Voting Control with respect to the shares of Class F Common Stock or Class G Common Stock subject to a Transfer if such Class F/G Stockholder has the direct or indirect power to terminate, remove, or replace any person or entity having dispositive power of Voting Control over the applicable shares after such Transfer.”</w:t>
      </w:r>
    </w:p>
    <w:p>
      <w:pPr>
        <w:spacing w:after="0" w:line="192" w:lineRule="exact"/>
        <w:rPr>
          <w:sz w:val="20"/>
          <w:szCs w:val="20"/>
          <w:color w:val="auto"/>
        </w:rPr>
      </w:pPr>
    </w:p>
    <w:p>
      <w:pPr>
        <w:jc w:val="both"/>
        <w:ind w:firstLine="332"/>
        <w:spacing w:after="0" w:line="250" w:lineRule="auto"/>
        <w:tabs>
          <w:tab w:leader="none" w:pos="648" w:val="left"/>
        </w:tabs>
        <w:numPr>
          <w:ilvl w:val="0"/>
          <w:numId w:val="176"/>
        </w:numPr>
        <w:rPr>
          <w:rFonts w:ascii="Arial" w:cs="Arial" w:eastAsia="Arial" w:hAnsi="Arial"/>
          <w:sz w:val="22"/>
          <w:szCs w:val="22"/>
          <w:color w:val="auto"/>
        </w:rPr>
      </w:pPr>
      <w:r>
        <w:rPr>
          <w:rFonts w:ascii="Arial" w:cs="Arial" w:eastAsia="Arial" w:hAnsi="Arial"/>
          <w:sz w:val="22"/>
          <w:szCs w:val="22"/>
          <w:color w:val="auto"/>
        </w:rPr>
        <w:t>Thereafter, pursuant to a resolution by the Board of Directors, this Certificate of Amendment to the Second Amended and Restated Certificate of Incorporation was submitted to the stockholders of the Company for their approval in accordance with the provisions of Section 228 and 242 of the DGCL. Accordingly, said proposed amendment has been adopted in accordance with Section 242 of the DGCL.</w:t>
      </w:r>
    </w:p>
    <w:p>
      <w:pPr>
        <w:spacing w:after="0" w:line="18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020202"/>
        </w:rPr>
        <w:t>IN WITNESS WHEREOF</w:t>
      </w:r>
      <w:r>
        <w:rPr>
          <w:rFonts w:ascii="Arial" w:cs="Arial" w:eastAsia="Arial" w:hAnsi="Arial"/>
          <w:sz w:val="22"/>
          <w:szCs w:val="22"/>
          <w:color w:val="020202"/>
        </w:rPr>
        <w:t>, NerdWallet,</w:t>
      </w:r>
      <w:r>
        <w:rPr>
          <w:rFonts w:ascii="Arial" w:cs="Arial" w:eastAsia="Arial" w:hAnsi="Arial"/>
          <w:sz w:val="22"/>
          <w:szCs w:val="22"/>
          <w:b w:val="1"/>
          <w:bCs w:val="1"/>
          <w:color w:val="020202"/>
        </w:rPr>
        <w:t xml:space="preserve"> </w:t>
      </w:r>
      <w:r>
        <w:rPr>
          <w:rFonts w:ascii="Arial" w:cs="Arial" w:eastAsia="Arial" w:hAnsi="Arial"/>
          <w:sz w:val="22"/>
          <w:szCs w:val="22"/>
          <w:color w:val="000000"/>
        </w:rPr>
        <w:t>Inc</w:t>
      </w:r>
      <w:r>
        <w:rPr>
          <w:rFonts w:ascii="Arial" w:cs="Arial" w:eastAsia="Arial" w:hAnsi="Arial"/>
          <w:sz w:val="22"/>
          <w:szCs w:val="22"/>
          <w:color w:val="020202"/>
        </w:rPr>
        <w:t>. has caused this</w:t>
      </w:r>
      <w:r>
        <w:rPr>
          <w:rFonts w:ascii="Arial" w:cs="Arial" w:eastAsia="Arial" w:hAnsi="Arial"/>
          <w:sz w:val="22"/>
          <w:szCs w:val="22"/>
          <w:b w:val="1"/>
          <w:bCs w:val="1"/>
          <w:color w:val="020202"/>
        </w:rPr>
        <w:t xml:space="preserve"> CERTIFICATE OF AMENDMENT TO THE SECOND AMENDED AND RESTATED CERTIFICATE OF INCORPORATION </w:t>
      </w:r>
      <w:r>
        <w:rPr>
          <w:rFonts w:ascii="Arial" w:cs="Arial" w:eastAsia="Arial" w:hAnsi="Arial"/>
          <w:sz w:val="22"/>
          <w:szCs w:val="22"/>
          <w:color w:val="020202"/>
        </w:rPr>
        <w:t>to be</w:t>
      </w:r>
      <w:r>
        <w:rPr>
          <w:rFonts w:ascii="Arial" w:cs="Arial" w:eastAsia="Arial" w:hAnsi="Arial"/>
          <w:sz w:val="22"/>
          <w:szCs w:val="22"/>
          <w:b w:val="1"/>
          <w:bCs w:val="1"/>
          <w:color w:val="020202"/>
        </w:rPr>
        <w:t xml:space="preserve"> </w:t>
      </w:r>
      <w:r>
        <w:rPr>
          <w:rFonts w:ascii="Arial" w:cs="Arial" w:eastAsia="Arial" w:hAnsi="Arial"/>
          <w:sz w:val="22"/>
          <w:szCs w:val="22"/>
          <w:color w:val="000000"/>
        </w:rPr>
        <w:t>signed</w:t>
      </w:r>
      <w:r>
        <w:rPr>
          <w:rFonts w:ascii="Arial" w:cs="Arial" w:eastAsia="Arial" w:hAnsi="Arial"/>
          <w:sz w:val="22"/>
          <w:szCs w:val="22"/>
          <w:b w:val="1"/>
          <w:bCs w:val="1"/>
          <w:color w:val="020202"/>
        </w:rPr>
        <w:t xml:space="preserve"> </w:t>
      </w:r>
      <w:r>
        <w:rPr>
          <w:rFonts w:ascii="Arial" w:cs="Arial" w:eastAsia="Arial" w:hAnsi="Arial"/>
          <w:sz w:val="22"/>
          <w:szCs w:val="22"/>
          <w:color w:val="020202"/>
        </w:rPr>
        <w:t>by its President this 25th day of March,</w:t>
      </w:r>
      <w:r>
        <w:rPr>
          <w:rFonts w:ascii="Arial" w:cs="Arial" w:eastAsia="Arial" w:hAnsi="Arial"/>
          <w:sz w:val="22"/>
          <w:szCs w:val="22"/>
          <w:b w:val="1"/>
          <w:bCs w:val="1"/>
          <w:color w:val="020202"/>
        </w:rPr>
        <w:t xml:space="preserve"> </w:t>
      </w:r>
      <w:r>
        <w:rPr>
          <w:rFonts w:ascii="Arial" w:cs="Arial" w:eastAsia="Arial" w:hAnsi="Arial"/>
          <w:sz w:val="22"/>
          <w:szCs w:val="22"/>
          <w:color w:val="020202"/>
        </w:rPr>
        <w:t>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NERDWALLET, INC.</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900"/>
        <w:spacing w:after="0"/>
        <w:tabs>
          <w:tab w:leader="none" w:pos="5440" w:val="left"/>
        </w:tabs>
        <w:rPr>
          <w:sz w:val="20"/>
          <w:szCs w:val="20"/>
          <w:color w:val="auto"/>
        </w:rPr>
      </w:pPr>
      <w:r>
        <w:rPr>
          <w:rFonts w:ascii="Arial" w:cs="Arial" w:eastAsia="Arial" w:hAnsi="Arial"/>
          <w:sz w:val="22"/>
          <w:szCs w:val="22"/>
          <w:color w:val="auto"/>
        </w:rPr>
        <w:t>By:</w:t>
        <w:tab/>
        <w:t>/s/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24130</wp:posOffset>
            </wp:positionV>
            <wp:extent cx="368617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686175" cy="8890"/>
                    </a:xfrm>
                    <a:prstGeom prst="rect">
                      <a:avLst/>
                    </a:prstGeom>
                    <a:noFill/>
                  </pic:spPr>
                </pic:pic>
              </a:graphicData>
            </a:graphic>
          </wp:anchor>
        </w:drawing>
      </w:r>
    </w:p>
    <w:p>
      <w:pPr>
        <w:spacing w:after="0" w:line="45" w:lineRule="exact"/>
        <w:rPr>
          <w:sz w:val="20"/>
          <w:szCs w:val="20"/>
          <w:color w:val="auto"/>
        </w:rPr>
      </w:pPr>
    </w:p>
    <w:p>
      <w:pPr>
        <w:ind w:left="5460"/>
        <w:spacing w:after="0"/>
        <w:rPr>
          <w:sz w:val="20"/>
          <w:szCs w:val="20"/>
          <w:color w:val="auto"/>
        </w:rPr>
      </w:pPr>
      <w:r>
        <w:rPr>
          <w:rFonts w:ascii="Arial" w:cs="Arial" w:eastAsia="Arial" w:hAnsi="Arial"/>
          <w:sz w:val="22"/>
          <w:szCs w:val="22"/>
          <w:b w:val="1"/>
          <w:bCs w:val="1"/>
          <w:color w:val="auto"/>
        </w:rPr>
        <w:t>TIM CHEN</w:t>
      </w:r>
    </w:p>
    <w:p>
      <w:pPr>
        <w:spacing w:after="0" w:line="64"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President</w:t>
      </w:r>
    </w:p>
    <w:p>
      <w:pPr>
        <w:sectPr>
          <w:pgSz w:w="11900" w:h="16838" w:orient="portrait"/>
          <w:cols w:equalWidth="0" w:num="1">
            <w:col w:w="11240"/>
          </w:cols>
          <w:pgMar w:left="320" w:top="121" w:right="339" w:bottom="1440" w:gutter="0" w:footer="0" w:header="0"/>
        </w:sectPr>
      </w:pPr>
    </w:p>
    <w:bookmarkStart w:id="237" w:name="page238"/>
    <w:bookmarkEnd w:id="237"/>
    <w:p>
      <w:pPr>
        <w:jc w:val="right"/>
        <w:spacing w:after="0"/>
        <w:rPr>
          <w:sz w:val="20"/>
          <w:szCs w:val="20"/>
          <w:color w:val="auto"/>
        </w:rPr>
      </w:pPr>
      <w:r>
        <w:rPr>
          <w:rFonts w:ascii="Arial" w:cs="Arial" w:eastAsia="Arial" w:hAnsi="Arial"/>
          <w:sz w:val="18"/>
          <w:szCs w:val="18"/>
          <w:b w:val="1"/>
          <w:bCs w:val="1"/>
          <w:color w:val="auto"/>
        </w:rPr>
        <w:t>Exhibit 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BYLAWS OF</w:t>
      </w:r>
    </w:p>
    <w:p>
      <w:pPr>
        <w:spacing w:after="0" w:line="162"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NERDWALLET, INC.</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320"/>
        <w:spacing w:after="0"/>
        <w:rPr>
          <w:sz w:val="20"/>
          <w:szCs w:val="20"/>
          <w:color w:val="auto"/>
        </w:rPr>
      </w:pPr>
      <w:r>
        <w:rPr>
          <w:rFonts w:ascii="Arial" w:cs="Arial" w:eastAsia="Arial" w:hAnsi="Arial"/>
          <w:sz w:val="20"/>
          <w:szCs w:val="20"/>
          <w:b w:val="1"/>
          <w:bCs w:val="1"/>
          <w:color w:val="auto"/>
        </w:rPr>
        <w:t>Adopted December 29, 2011</w:t>
      </w:r>
    </w:p>
    <w:p>
      <w:pPr>
        <w:sectPr>
          <w:pgSz w:w="11900" w:h="16838" w:orient="portrait"/>
          <w:cols w:equalWidth="0" w:num="1">
            <w:col w:w="10120"/>
          </w:cols>
          <w:pgMar w:left="1440" w:top="121" w:right="339" w:bottom="1440" w:gutter="0" w:footer="0" w:header="0"/>
        </w:sectPr>
      </w:pPr>
    </w:p>
    <w:bookmarkStart w:id="238" w:name="page239"/>
    <w:bookmarkEnd w:id="238"/>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340" w:type="dxa"/>
            <w:vAlign w:val="bottom"/>
          </w:tcPr>
          <w:p>
            <w:pPr>
              <w:spacing w:after="0"/>
              <w:rPr>
                <w:sz w:val="21"/>
                <w:szCs w:val="21"/>
                <w:color w:val="auto"/>
              </w:rPr>
            </w:pPr>
          </w:p>
        </w:tc>
        <w:tc>
          <w:tcPr>
            <w:tcW w:w="7400" w:type="dxa"/>
            <w:vAlign w:val="bottom"/>
          </w:tcPr>
          <w:p>
            <w:pPr>
              <w:spacing w:after="0"/>
              <w:rPr>
                <w:sz w:val="21"/>
                <w:szCs w:val="21"/>
                <w:color w:val="auto"/>
              </w:rPr>
            </w:pPr>
          </w:p>
        </w:tc>
        <w:tc>
          <w:tcPr>
            <w:tcW w:w="2460" w:type="dxa"/>
            <w:vAlign w:val="bottom"/>
          </w:tcPr>
          <w:p>
            <w:pPr>
              <w:jc w:val="right"/>
              <w:spacing w:after="0"/>
              <w:rPr>
                <w:sz w:val="20"/>
                <w:szCs w:val="20"/>
                <w:color w:val="auto"/>
              </w:rPr>
            </w:pPr>
            <w:r>
              <w:rPr>
                <w:rFonts w:ascii="Arial" w:cs="Arial" w:eastAsia="Arial" w:hAnsi="Arial"/>
                <w:sz w:val="20"/>
                <w:szCs w:val="20"/>
                <w:b w:val="1"/>
                <w:bCs w:val="1"/>
                <w:i w:val="1"/>
                <w:iCs w:val="1"/>
                <w:color w:val="auto"/>
              </w:rPr>
              <w:t>Page</w:t>
            </w:r>
          </w:p>
        </w:tc>
        <w:tc>
          <w:tcPr>
            <w:tcW w:w="0" w:type="dxa"/>
            <w:vAlign w:val="bottom"/>
          </w:tcPr>
          <w:p>
            <w:pPr>
              <w:spacing w:after="0"/>
              <w:rPr>
                <w:sz w:val="1"/>
                <w:szCs w:val="1"/>
                <w:color w:val="auto"/>
              </w:rPr>
            </w:pPr>
          </w:p>
        </w:tc>
      </w:tr>
      <w:tr>
        <w:trPr>
          <w:trHeight w:val="432"/>
        </w:trPr>
        <w:tc>
          <w:tcPr>
            <w:tcW w:w="8740" w:type="dxa"/>
            <w:vAlign w:val="bottom"/>
            <w:gridSpan w:val="2"/>
          </w:tcPr>
          <w:p>
            <w:pPr>
              <w:spacing w:after="0"/>
              <w:rPr>
                <w:sz w:val="20"/>
                <w:szCs w:val="20"/>
                <w:color w:val="auto"/>
              </w:rPr>
            </w:pPr>
            <w:r>
              <w:rPr>
                <w:rFonts w:ascii="Arial" w:cs="Arial" w:eastAsia="Arial" w:hAnsi="Arial"/>
                <w:sz w:val="20"/>
                <w:szCs w:val="20"/>
                <w:color w:val="auto"/>
              </w:rPr>
              <w:t>ARTICLE I — MEETINGS OF STOCKHOLDERS</w:t>
            </w:r>
          </w:p>
        </w:tc>
        <w:tc>
          <w:tcPr>
            <w:tcW w:w="246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432"/>
        </w:trPr>
        <w:tc>
          <w:tcPr>
            <w:tcW w:w="1340" w:type="dxa"/>
            <w:vAlign w:val="bottom"/>
            <w:vMerge w:val="restart"/>
          </w:tcPr>
          <w:p>
            <w:pPr>
              <w:ind w:left="700"/>
              <w:spacing w:after="0"/>
              <w:rPr>
                <w:sz w:val="20"/>
                <w:szCs w:val="20"/>
                <w:color w:val="auto"/>
              </w:rPr>
            </w:pPr>
            <w:r>
              <w:rPr>
                <w:rFonts w:ascii="Arial" w:cs="Arial" w:eastAsia="Arial" w:hAnsi="Arial"/>
                <w:sz w:val="20"/>
                <w:szCs w:val="20"/>
                <w:color w:val="auto"/>
              </w:rPr>
              <w:t>1.1</w:t>
            </w:r>
          </w:p>
        </w:tc>
        <w:tc>
          <w:tcPr>
            <w:tcW w:w="7400" w:type="dxa"/>
            <w:vAlign w:val="bottom"/>
            <w:vMerge w:val="restart"/>
          </w:tcPr>
          <w:p>
            <w:pPr>
              <w:ind w:left="320"/>
              <w:spacing w:after="0"/>
              <w:rPr>
                <w:sz w:val="20"/>
                <w:szCs w:val="20"/>
                <w:color w:val="auto"/>
              </w:rPr>
            </w:pPr>
            <w:r>
              <w:rPr>
                <w:rFonts w:ascii="Arial" w:cs="Arial" w:eastAsia="Arial" w:hAnsi="Arial"/>
                <w:sz w:val="20"/>
                <w:szCs w:val="20"/>
                <w:b w:val="1"/>
                <w:bCs w:val="1"/>
                <w:i w:val="1"/>
                <w:iCs w:val="1"/>
                <w:color w:val="auto"/>
              </w:rPr>
              <w:t>Place of Meetings</w:t>
            </w:r>
          </w:p>
        </w:tc>
        <w:tc>
          <w:tcPr>
            <w:tcW w:w="246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68"/>
        </w:trPr>
        <w:tc>
          <w:tcPr>
            <w:tcW w:w="1340" w:type="dxa"/>
            <w:vAlign w:val="bottom"/>
            <w:vMerge w:val="continue"/>
          </w:tcPr>
          <w:p>
            <w:pPr>
              <w:spacing w:after="0"/>
              <w:rPr>
                <w:sz w:val="5"/>
                <w:szCs w:val="5"/>
                <w:color w:val="auto"/>
              </w:rPr>
            </w:pPr>
          </w:p>
        </w:tc>
        <w:tc>
          <w:tcPr>
            <w:tcW w:w="7400" w:type="dxa"/>
            <w:vAlign w:val="bottom"/>
            <w:vMerge w:val="continue"/>
          </w:tcPr>
          <w:p>
            <w:pPr>
              <w:spacing w:after="0"/>
              <w:rPr>
                <w:sz w:val="5"/>
                <w:szCs w:val="5"/>
                <w:color w:val="auto"/>
              </w:rPr>
            </w:pPr>
          </w:p>
        </w:tc>
        <w:tc>
          <w:tcPr>
            <w:tcW w:w="2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1340" w:type="dxa"/>
            <w:vAlign w:val="bottom"/>
          </w:tcPr>
          <w:p>
            <w:pPr>
              <w:ind w:left="700"/>
              <w:spacing w:after="0"/>
              <w:rPr>
                <w:sz w:val="20"/>
                <w:szCs w:val="20"/>
                <w:color w:val="auto"/>
              </w:rPr>
            </w:pPr>
            <w:r>
              <w:rPr>
                <w:rFonts w:ascii="Arial" w:cs="Arial" w:eastAsia="Arial" w:hAnsi="Arial"/>
                <w:sz w:val="20"/>
                <w:szCs w:val="20"/>
                <w:color w:val="auto"/>
              </w:rPr>
              <w:t>1.2</w:t>
            </w:r>
          </w:p>
        </w:tc>
        <w:tc>
          <w:tcPr>
            <w:tcW w:w="740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Annual Meeting</w:t>
            </w:r>
          </w:p>
        </w:tc>
        <w:tc>
          <w:tcPr>
            <w:tcW w:w="246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83"/>
        </w:trPr>
        <w:tc>
          <w:tcPr>
            <w:tcW w:w="1340" w:type="dxa"/>
            <w:vAlign w:val="bottom"/>
          </w:tcPr>
          <w:p>
            <w:pPr>
              <w:ind w:left="700"/>
              <w:spacing w:after="0"/>
              <w:rPr>
                <w:sz w:val="20"/>
                <w:szCs w:val="20"/>
                <w:color w:val="auto"/>
              </w:rPr>
            </w:pPr>
            <w:r>
              <w:rPr>
                <w:rFonts w:ascii="Arial" w:cs="Arial" w:eastAsia="Arial" w:hAnsi="Arial"/>
                <w:sz w:val="20"/>
                <w:szCs w:val="20"/>
                <w:color w:val="auto"/>
              </w:rPr>
              <w:t>1.3</w:t>
            </w:r>
          </w:p>
        </w:tc>
        <w:tc>
          <w:tcPr>
            <w:tcW w:w="740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Special Meeting</w:t>
            </w:r>
          </w:p>
        </w:tc>
        <w:tc>
          <w:tcPr>
            <w:tcW w:w="246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84"/>
        </w:trPr>
        <w:tc>
          <w:tcPr>
            <w:tcW w:w="1340" w:type="dxa"/>
            <w:vAlign w:val="bottom"/>
          </w:tcPr>
          <w:p>
            <w:pPr>
              <w:ind w:left="700"/>
              <w:spacing w:after="0"/>
              <w:rPr>
                <w:sz w:val="20"/>
                <w:szCs w:val="20"/>
                <w:color w:val="auto"/>
              </w:rPr>
            </w:pPr>
            <w:r>
              <w:rPr>
                <w:rFonts w:ascii="Arial" w:cs="Arial" w:eastAsia="Arial" w:hAnsi="Arial"/>
                <w:sz w:val="20"/>
                <w:szCs w:val="20"/>
                <w:color w:val="auto"/>
              </w:rPr>
              <w:t>1.4</w:t>
            </w:r>
          </w:p>
        </w:tc>
        <w:tc>
          <w:tcPr>
            <w:tcW w:w="740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Notice of Stockholders' Meetings</w:t>
            </w:r>
          </w:p>
        </w:tc>
        <w:tc>
          <w:tcPr>
            <w:tcW w:w="246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97"/>
        </w:trPr>
        <w:tc>
          <w:tcPr>
            <w:tcW w:w="1340" w:type="dxa"/>
            <w:vAlign w:val="bottom"/>
          </w:tcPr>
          <w:p>
            <w:pPr>
              <w:ind w:left="700"/>
              <w:spacing w:after="0"/>
              <w:rPr>
                <w:sz w:val="20"/>
                <w:szCs w:val="20"/>
                <w:color w:val="auto"/>
              </w:rPr>
            </w:pPr>
            <w:r>
              <w:rPr>
                <w:rFonts w:ascii="Arial" w:cs="Arial" w:eastAsia="Arial" w:hAnsi="Arial"/>
                <w:sz w:val="20"/>
                <w:szCs w:val="20"/>
                <w:color w:val="auto"/>
              </w:rPr>
              <w:t>1.5</w:t>
            </w:r>
          </w:p>
        </w:tc>
        <w:tc>
          <w:tcPr>
            <w:tcW w:w="740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Quorum</w:t>
            </w:r>
          </w:p>
        </w:tc>
        <w:tc>
          <w:tcPr>
            <w:tcW w:w="2460" w:type="dxa"/>
            <w:vAlign w:val="bottom"/>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97"/>
        </w:trPr>
        <w:tc>
          <w:tcPr>
            <w:tcW w:w="1340" w:type="dxa"/>
            <w:vAlign w:val="bottom"/>
          </w:tcPr>
          <w:p>
            <w:pPr>
              <w:ind w:left="700"/>
              <w:spacing w:after="0"/>
              <w:rPr>
                <w:sz w:val="20"/>
                <w:szCs w:val="20"/>
                <w:color w:val="auto"/>
              </w:rPr>
            </w:pPr>
            <w:r>
              <w:rPr>
                <w:rFonts w:ascii="Arial" w:cs="Arial" w:eastAsia="Arial" w:hAnsi="Arial"/>
                <w:sz w:val="20"/>
                <w:szCs w:val="20"/>
                <w:color w:val="auto"/>
              </w:rPr>
              <w:t>1.6</w:t>
            </w:r>
          </w:p>
        </w:tc>
        <w:tc>
          <w:tcPr>
            <w:tcW w:w="740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Adjourned Meeting; Notice</w:t>
            </w:r>
          </w:p>
        </w:tc>
        <w:tc>
          <w:tcPr>
            <w:tcW w:w="2460" w:type="dxa"/>
            <w:vAlign w:val="bottom"/>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83"/>
        </w:trPr>
        <w:tc>
          <w:tcPr>
            <w:tcW w:w="1340" w:type="dxa"/>
            <w:vAlign w:val="bottom"/>
          </w:tcPr>
          <w:p>
            <w:pPr>
              <w:ind w:left="700"/>
              <w:spacing w:after="0"/>
              <w:rPr>
                <w:sz w:val="20"/>
                <w:szCs w:val="20"/>
                <w:color w:val="auto"/>
              </w:rPr>
            </w:pPr>
            <w:r>
              <w:rPr>
                <w:rFonts w:ascii="Arial" w:cs="Arial" w:eastAsia="Arial" w:hAnsi="Arial"/>
                <w:sz w:val="20"/>
                <w:szCs w:val="20"/>
                <w:color w:val="auto"/>
              </w:rPr>
              <w:t>1.7</w:t>
            </w:r>
          </w:p>
        </w:tc>
        <w:tc>
          <w:tcPr>
            <w:tcW w:w="740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Con</w:t>
            </w:r>
            <w:r>
              <w:rPr>
                <w:rFonts w:ascii="Arial" w:cs="Arial" w:eastAsia="Arial" w:hAnsi="Arial"/>
                <w:sz w:val="17"/>
                <w:szCs w:val="17"/>
                <w:b w:val="1"/>
                <w:bCs w:val="1"/>
                <w:i w:val="1"/>
                <w:iCs w:val="1"/>
                <w:color w:val="auto"/>
              </w:rPr>
              <w:t>duct of B</w:t>
            </w:r>
            <w:r>
              <w:rPr>
                <w:rFonts w:ascii="Arial" w:cs="Arial" w:eastAsia="Arial" w:hAnsi="Arial"/>
                <w:sz w:val="20"/>
                <w:szCs w:val="20"/>
                <w:b w:val="1"/>
                <w:bCs w:val="1"/>
                <w:i w:val="1"/>
                <w:iCs w:val="1"/>
                <w:color w:val="auto"/>
              </w:rPr>
              <w:t>usiness</w:t>
            </w:r>
          </w:p>
        </w:tc>
        <w:tc>
          <w:tcPr>
            <w:tcW w:w="2460" w:type="dxa"/>
            <w:vAlign w:val="bottom"/>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84"/>
        </w:trPr>
        <w:tc>
          <w:tcPr>
            <w:tcW w:w="1340" w:type="dxa"/>
            <w:vAlign w:val="bottom"/>
          </w:tcPr>
          <w:p>
            <w:pPr>
              <w:ind w:left="700"/>
              <w:spacing w:after="0"/>
              <w:rPr>
                <w:sz w:val="20"/>
                <w:szCs w:val="20"/>
                <w:color w:val="auto"/>
              </w:rPr>
            </w:pPr>
            <w:r>
              <w:rPr>
                <w:rFonts w:ascii="Arial" w:cs="Arial" w:eastAsia="Arial" w:hAnsi="Arial"/>
                <w:sz w:val="20"/>
                <w:szCs w:val="20"/>
                <w:color w:val="auto"/>
              </w:rPr>
              <w:t>1.8</w:t>
            </w:r>
          </w:p>
        </w:tc>
        <w:tc>
          <w:tcPr>
            <w:tcW w:w="740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Voting</w:t>
            </w:r>
          </w:p>
        </w:tc>
        <w:tc>
          <w:tcPr>
            <w:tcW w:w="2460" w:type="dxa"/>
            <w:vAlign w:val="bottom"/>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83"/>
        </w:trPr>
        <w:tc>
          <w:tcPr>
            <w:tcW w:w="1340" w:type="dxa"/>
            <w:vAlign w:val="bottom"/>
          </w:tcPr>
          <w:p>
            <w:pPr>
              <w:ind w:left="700"/>
              <w:spacing w:after="0"/>
              <w:rPr>
                <w:sz w:val="20"/>
                <w:szCs w:val="20"/>
                <w:color w:val="auto"/>
              </w:rPr>
            </w:pPr>
            <w:r>
              <w:rPr>
                <w:rFonts w:ascii="Arial" w:cs="Arial" w:eastAsia="Arial" w:hAnsi="Arial"/>
                <w:sz w:val="20"/>
                <w:szCs w:val="20"/>
                <w:color w:val="auto"/>
              </w:rPr>
              <w:t>1.9</w:t>
            </w:r>
          </w:p>
        </w:tc>
        <w:tc>
          <w:tcPr>
            <w:tcW w:w="740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Stockholder Action by Written Consent Without a Meeting</w:t>
            </w:r>
          </w:p>
        </w:tc>
        <w:tc>
          <w:tcPr>
            <w:tcW w:w="2460" w:type="dxa"/>
            <w:vAlign w:val="bottom"/>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83"/>
        </w:trPr>
        <w:tc>
          <w:tcPr>
            <w:tcW w:w="1340" w:type="dxa"/>
            <w:vAlign w:val="bottom"/>
          </w:tcPr>
          <w:p>
            <w:pPr>
              <w:ind w:left="700"/>
              <w:spacing w:after="0"/>
              <w:rPr>
                <w:sz w:val="20"/>
                <w:szCs w:val="20"/>
                <w:color w:val="auto"/>
              </w:rPr>
            </w:pPr>
            <w:r>
              <w:rPr>
                <w:rFonts w:ascii="Arial" w:cs="Arial" w:eastAsia="Arial" w:hAnsi="Arial"/>
                <w:sz w:val="20"/>
                <w:szCs w:val="20"/>
                <w:color w:val="auto"/>
              </w:rPr>
              <w:t>1.10</w:t>
            </w:r>
          </w:p>
        </w:tc>
        <w:tc>
          <w:tcPr>
            <w:tcW w:w="740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Record Date for Stockholder Notice; Voting; Giving Consents</w:t>
            </w:r>
          </w:p>
        </w:tc>
        <w:tc>
          <w:tcPr>
            <w:tcW w:w="2460" w:type="dxa"/>
            <w:vAlign w:val="bottom"/>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83"/>
        </w:trPr>
        <w:tc>
          <w:tcPr>
            <w:tcW w:w="1340" w:type="dxa"/>
            <w:vAlign w:val="bottom"/>
          </w:tcPr>
          <w:p>
            <w:pPr>
              <w:ind w:left="700"/>
              <w:spacing w:after="0"/>
              <w:rPr>
                <w:sz w:val="20"/>
                <w:szCs w:val="20"/>
                <w:color w:val="auto"/>
              </w:rPr>
            </w:pPr>
            <w:r>
              <w:rPr>
                <w:rFonts w:ascii="Arial" w:cs="Arial" w:eastAsia="Arial" w:hAnsi="Arial"/>
                <w:sz w:val="20"/>
                <w:szCs w:val="20"/>
                <w:color w:val="auto"/>
              </w:rPr>
              <w:t>1.11</w:t>
            </w:r>
          </w:p>
        </w:tc>
        <w:tc>
          <w:tcPr>
            <w:tcW w:w="740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Proxies</w:t>
            </w:r>
          </w:p>
        </w:tc>
        <w:tc>
          <w:tcPr>
            <w:tcW w:w="246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97"/>
        </w:trPr>
        <w:tc>
          <w:tcPr>
            <w:tcW w:w="1340" w:type="dxa"/>
            <w:vAlign w:val="bottom"/>
          </w:tcPr>
          <w:p>
            <w:pPr>
              <w:ind w:left="700"/>
              <w:spacing w:after="0"/>
              <w:rPr>
                <w:sz w:val="20"/>
                <w:szCs w:val="20"/>
                <w:color w:val="auto"/>
              </w:rPr>
            </w:pPr>
            <w:r>
              <w:rPr>
                <w:rFonts w:ascii="Arial" w:cs="Arial" w:eastAsia="Arial" w:hAnsi="Arial"/>
                <w:sz w:val="20"/>
                <w:szCs w:val="20"/>
                <w:color w:val="auto"/>
              </w:rPr>
              <w:t>1.12</w:t>
            </w:r>
          </w:p>
        </w:tc>
        <w:tc>
          <w:tcPr>
            <w:tcW w:w="740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List of Stockholders Entitled to Vote</w:t>
            </w:r>
          </w:p>
        </w:tc>
        <w:tc>
          <w:tcPr>
            <w:tcW w:w="246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432"/>
        </w:trPr>
        <w:tc>
          <w:tcPr>
            <w:tcW w:w="8740" w:type="dxa"/>
            <w:vAlign w:val="bottom"/>
            <w:gridSpan w:val="2"/>
          </w:tcPr>
          <w:p>
            <w:pPr>
              <w:spacing w:after="0"/>
              <w:rPr>
                <w:sz w:val="20"/>
                <w:szCs w:val="20"/>
                <w:color w:val="auto"/>
              </w:rPr>
            </w:pPr>
            <w:r>
              <w:rPr>
                <w:rFonts w:ascii="Arial" w:cs="Arial" w:eastAsia="Arial" w:hAnsi="Arial"/>
                <w:sz w:val="20"/>
                <w:szCs w:val="20"/>
                <w:color w:val="auto"/>
              </w:rPr>
              <w:t>ARTICLE II — DIRECTORS</w:t>
            </w:r>
          </w:p>
        </w:tc>
        <w:tc>
          <w:tcPr>
            <w:tcW w:w="246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432"/>
        </w:trPr>
        <w:tc>
          <w:tcPr>
            <w:tcW w:w="1340" w:type="dxa"/>
            <w:vAlign w:val="bottom"/>
          </w:tcPr>
          <w:p>
            <w:pPr>
              <w:ind w:left="700"/>
              <w:spacing w:after="0"/>
              <w:rPr>
                <w:sz w:val="20"/>
                <w:szCs w:val="20"/>
                <w:color w:val="auto"/>
              </w:rPr>
            </w:pPr>
            <w:r>
              <w:rPr>
                <w:rFonts w:ascii="Arial" w:cs="Arial" w:eastAsia="Arial" w:hAnsi="Arial"/>
                <w:sz w:val="20"/>
                <w:szCs w:val="20"/>
                <w:color w:val="auto"/>
              </w:rPr>
              <w:t>2.1</w:t>
            </w:r>
          </w:p>
        </w:tc>
        <w:tc>
          <w:tcPr>
            <w:tcW w:w="740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Powers</w:t>
            </w:r>
          </w:p>
        </w:tc>
        <w:tc>
          <w:tcPr>
            <w:tcW w:w="246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83"/>
        </w:trPr>
        <w:tc>
          <w:tcPr>
            <w:tcW w:w="1340" w:type="dxa"/>
            <w:vAlign w:val="bottom"/>
          </w:tcPr>
          <w:p>
            <w:pPr>
              <w:ind w:left="700"/>
              <w:spacing w:after="0"/>
              <w:rPr>
                <w:sz w:val="20"/>
                <w:szCs w:val="20"/>
                <w:color w:val="auto"/>
              </w:rPr>
            </w:pPr>
            <w:r>
              <w:rPr>
                <w:rFonts w:ascii="Arial" w:cs="Arial" w:eastAsia="Arial" w:hAnsi="Arial"/>
                <w:sz w:val="20"/>
                <w:szCs w:val="20"/>
                <w:color w:val="auto"/>
              </w:rPr>
              <w:t>2.2</w:t>
            </w:r>
          </w:p>
        </w:tc>
        <w:tc>
          <w:tcPr>
            <w:tcW w:w="740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Number of Directors</w:t>
            </w:r>
          </w:p>
        </w:tc>
        <w:tc>
          <w:tcPr>
            <w:tcW w:w="246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97"/>
        </w:trPr>
        <w:tc>
          <w:tcPr>
            <w:tcW w:w="1340" w:type="dxa"/>
            <w:vAlign w:val="bottom"/>
          </w:tcPr>
          <w:p>
            <w:pPr>
              <w:ind w:left="700"/>
              <w:spacing w:after="0"/>
              <w:rPr>
                <w:sz w:val="20"/>
                <w:szCs w:val="20"/>
                <w:color w:val="auto"/>
              </w:rPr>
            </w:pPr>
            <w:r>
              <w:rPr>
                <w:rFonts w:ascii="Arial" w:cs="Arial" w:eastAsia="Arial" w:hAnsi="Arial"/>
                <w:sz w:val="20"/>
                <w:szCs w:val="20"/>
                <w:color w:val="auto"/>
              </w:rPr>
              <w:t>2.3</w:t>
            </w:r>
          </w:p>
        </w:tc>
        <w:tc>
          <w:tcPr>
            <w:tcW w:w="740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Election, Qualification and Term of Office of Directors</w:t>
            </w:r>
          </w:p>
        </w:tc>
        <w:tc>
          <w:tcPr>
            <w:tcW w:w="246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97"/>
        </w:trPr>
        <w:tc>
          <w:tcPr>
            <w:tcW w:w="1340" w:type="dxa"/>
            <w:vAlign w:val="bottom"/>
          </w:tcPr>
          <w:p>
            <w:pPr>
              <w:ind w:left="700"/>
              <w:spacing w:after="0"/>
              <w:rPr>
                <w:sz w:val="20"/>
                <w:szCs w:val="20"/>
                <w:color w:val="auto"/>
              </w:rPr>
            </w:pPr>
            <w:r>
              <w:rPr>
                <w:rFonts w:ascii="Arial" w:cs="Arial" w:eastAsia="Arial" w:hAnsi="Arial"/>
                <w:sz w:val="20"/>
                <w:szCs w:val="20"/>
                <w:color w:val="auto"/>
              </w:rPr>
              <w:t>2.4</w:t>
            </w:r>
          </w:p>
        </w:tc>
        <w:tc>
          <w:tcPr>
            <w:tcW w:w="740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Resignation and Vacancies</w:t>
            </w:r>
          </w:p>
        </w:tc>
        <w:tc>
          <w:tcPr>
            <w:tcW w:w="246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97"/>
        </w:trPr>
        <w:tc>
          <w:tcPr>
            <w:tcW w:w="1340" w:type="dxa"/>
            <w:vAlign w:val="bottom"/>
          </w:tcPr>
          <w:p>
            <w:pPr>
              <w:ind w:left="700"/>
              <w:spacing w:after="0"/>
              <w:rPr>
                <w:sz w:val="20"/>
                <w:szCs w:val="20"/>
                <w:color w:val="auto"/>
              </w:rPr>
            </w:pPr>
            <w:r>
              <w:rPr>
                <w:rFonts w:ascii="Arial" w:cs="Arial" w:eastAsia="Arial" w:hAnsi="Arial"/>
                <w:sz w:val="20"/>
                <w:szCs w:val="20"/>
                <w:color w:val="auto"/>
              </w:rPr>
              <w:t>2.5</w:t>
            </w:r>
          </w:p>
        </w:tc>
        <w:tc>
          <w:tcPr>
            <w:tcW w:w="740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Place of Meetings; Meetings by Telephone</w:t>
            </w:r>
          </w:p>
        </w:tc>
        <w:tc>
          <w:tcPr>
            <w:tcW w:w="246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83"/>
        </w:trPr>
        <w:tc>
          <w:tcPr>
            <w:tcW w:w="1340" w:type="dxa"/>
            <w:vAlign w:val="bottom"/>
          </w:tcPr>
          <w:p>
            <w:pPr>
              <w:ind w:left="700"/>
              <w:spacing w:after="0"/>
              <w:rPr>
                <w:sz w:val="20"/>
                <w:szCs w:val="20"/>
                <w:color w:val="auto"/>
              </w:rPr>
            </w:pPr>
            <w:r>
              <w:rPr>
                <w:rFonts w:ascii="Arial" w:cs="Arial" w:eastAsia="Arial" w:hAnsi="Arial"/>
                <w:sz w:val="20"/>
                <w:szCs w:val="20"/>
                <w:color w:val="auto"/>
              </w:rPr>
              <w:t>2.6</w:t>
            </w:r>
          </w:p>
        </w:tc>
        <w:tc>
          <w:tcPr>
            <w:tcW w:w="740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Conduct of Business</w:t>
            </w:r>
          </w:p>
        </w:tc>
        <w:tc>
          <w:tcPr>
            <w:tcW w:w="246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84"/>
        </w:trPr>
        <w:tc>
          <w:tcPr>
            <w:tcW w:w="1340" w:type="dxa"/>
            <w:vAlign w:val="bottom"/>
          </w:tcPr>
          <w:p>
            <w:pPr>
              <w:ind w:left="700"/>
              <w:spacing w:after="0"/>
              <w:rPr>
                <w:sz w:val="20"/>
                <w:szCs w:val="20"/>
                <w:color w:val="auto"/>
              </w:rPr>
            </w:pPr>
            <w:r>
              <w:rPr>
                <w:rFonts w:ascii="Arial" w:cs="Arial" w:eastAsia="Arial" w:hAnsi="Arial"/>
                <w:sz w:val="18"/>
                <w:szCs w:val="18"/>
                <w:color w:val="auto"/>
              </w:rPr>
              <w:t>2.7</w:t>
            </w:r>
          </w:p>
        </w:tc>
        <w:tc>
          <w:tcPr>
            <w:tcW w:w="740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Regular Meetings</w:t>
            </w:r>
          </w:p>
        </w:tc>
        <w:tc>
          <w:tcPr>
            <w:tcW w:w="246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83"/>
        </w:trPr>
        <w:tc>
          <w:tcPr>
            <w:tcW w:w="1340" w:type="dxa"/>
            <w:vAlign w:val="bottom"/>
          </w:tcPr>
          <w:p>
            <w:pPr>
              <w:ind w:left="700"/>
              <w:spacing w:after="0"/>
              <w:rPr>
                <w:sz w:val="20"/>
                <w:szCs w:val="20"/>
                <w:color w:val="auto"/>
              </w:rPr>
            </w:pPr>
            <w:r>
              <w:rPr>
                <w:rFonts w:ascii="Arial" w:cs="Arial" w:eastAsia="Arial" w:hAnsi="Arial"/>
                <w:sz w:val="20"/>
                <w:szCs w:val="20"/>
                <w:color w:val="auto"/>
              </w:rPr>
              <w:t>2.8</w:t>
            </w:r>
          </w:p>
        </w:tc>
        <w:tc>
          <w:tcPr>
            <w:tcW w:w="740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Special Meetings; Notice</w:t>
            </w:r>
          </w:p>
        </w:tc>
        <w:tc>
          <w:tcPr>
            <w:tcW w:w="246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84"/>
        </w:trPr>
        <w:tc>
          <w:tcPr>
            <w:tcW w:w="1340" w:type="dxa"/>
            <w:vAlign w:val="bottom"/>
          </w:tcPr>
          <w:p>
            <w:pPr>
              <w:ind w:left="700"/>
              <w:spacing w:after="0"/>
              <w:rPr>
                <w:sz w:val="20"/>
                <w:szCs w:val="20"/>
                <w:color w:val="auto"/>
              </w:rPr>
            </w:pPr>
            <w:r>
              <w:rPr>
                <w:rFonts w:ascii="Arial" w:cs="Arial" w:eastAsia="Arial" w:hAnsi="Arial"/>
                <w:sz w:val="20"/>
                <w:szCs w:val="20"/>
                <w:color w:val="auto"/>
              </w:rPr>
              <w:t>2.9</w:t>
            </w:r>
          </w:p>
        </w:tc>
        <w:tc>
          <w:tcPr>
            <w:tcW w:w="740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Quorum; Voting</w:t>
            </w:r>
          </w:p>
        </w:tc>
        <w:tc>
          <w:tcPr>
            <w:tcW w:w="2460" w:type="dxa"/>
            <w:vAlign w:val="bottom"/>
          </w:tcPr>
          <w:p>
            <w:pPr>
              <w:jc w:val="right"/>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83"/>
        </w:trPr>
        <w:tc>
          <w:tcPr>
            <w:tcW w:w="1340" w:type="dxa"/>
            <w:vAlign w:val="bottom"/>
          </w:tcPr>
          <w:p>
            <w:pPr>
              <w:ind w:left="700"/>
              <w:spacing w:after="0"/>
              <w:rPr>
                <w:sz w:val="20"/>
                <w:szCs w:val="20"/>
                <w:color w:val="auto"/>
              </w:rPr>
            </w:pPr>
            <w:r>
              <w:rPr>
                <w:rFonts w:ascii="Arial" w:cs="Arial" w:eastAsia="Arial" w:hAnsi="Arial"/>
                <w:sz w:val="18"/>
                <w:szCs w:val="18"/>
                <w:color w:val="auto"/>
              </w:rPr>
              <w:t>2.10</w:t>
            </w:r>
          </w:p>
        </w:tc>
        <w:tc>
          <w:tcPr>
            <w:tcW w:w="740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Board Action by Written Consent Without a Meeting</w:t>
            </w:r>
          </w:p>
        </w:tc>
        <w:tc>
          <w:tcPr>
            <w:tcW w:w="2460" w:type="dxa"/>
            <w:vAlign w:val="bottom"/>
          </w:tcPr>
          <w:p>
            <w:pPr>
              <w:jc w:val="right"/>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97"/>
        </w:trPr>
        <w:tc>
          <w:tcPr>
            <w:tcW w:w="1340" w:type="dxa"/>
            <w:vAlign w:val="bottom"/>
          </w:tcPr>
          <w:p>
            <w:pPr>
              <w:ind w:left="700"/>
              <w:spacing w:after="0"/>
              <w:rPr>
                <w:sz w:val="20"/>
                <w:szCs w:val="20"/>
                <w:color w:val="auto"/>
              </w:rPr>
            </w:pPr>
            <w:r>
              <w:rPr>
                <w:rFonts w:ascii="Arial" w:cs="Arial" w:eastAsia="Arial" w:hAnsi="Arial"/>
                <w:sz w:val="20"/>
                <w:szCs w:val="20"/>
                <w:color w:val="auto"/>
              </w:rPr>
              <w:t>2.11</w:t>
            </w:r>
          </w:p>
        </w:tc>
        <w:tc>
          <w:tcPr>
            <w:tcW w:w="740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Fees and Compensation of Directors</w:t>
            </w:r>
          </w:p>
        </w:tc>
        <w:tc>
          <w:tcPr>
            <w:tcW w:w="2460" w:type="dxa"/>
            <w:vAlign w:val="bottom"/>
          </w:tcPr>
          <w:p>
            <w:pPr>
              <w:jc w:val="right"/>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97"/>
        </w:trPr>
        <w:tc>
          <w:tcPr>
            <w:tcW w:w="1340" w:type="dxa"/>
            <w:vAlign w:val="bottom"/>
          </w:tcPr>
          <w:p>
            <w:pPr>
              <w:ind w:left="700"/>
              <w:spacing w:after="0"/>
              <w:rPr>
                <w:sz w:val="20"/>
                <w:szCs w:val="20"/>
                <w:color w:val="auto"/>
              </w:rPr>
            </w:pPr>
            <w:r>
              <w:rPr>
                <w:rFonts w:ascii="Arial" w:cs="Arial" w:eastAsia="Arial" w:hAnsi="Arial"/>
                <w:sz w:val="20"/>
                <w:szCs w:val="20"/>
                <w:color w:val="auto"/>
              </w:rPr>
              <w:t>2.12</w:t>
            </w:r>
          </w:p>
        </w:tc>
        <w:tc>
          <w:tcPr>
            <w:tcW w:w="740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Removal of Directors</w:t>
            </w:r>
          </w:p>
        </w:tc>
        <w:tc>
          <w:tcPr>
            <w:tcW w:w="2460" w:type="dxa"/>
            <w:vAlign w:val="bottom"/>
          </w:tcPr>
          <w:p>
            <w:pPr>
              <w:jc w:val="right"/>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432"/>
        </w:trPr>
        <w:tc>
          <w:tcPr>
            <w:tcW w:w="8740" w:type="dxa"/>
            <w:vAlign w:val="bottom"/>
            <w:gridSpan w:val="2"/>
          </w:tcPr>
          <w:p>
            <w:pPr>
              <w:spacing w:after="0"/>
              <w:rPr>
                <w:sz w:val="20"/>
                <w:szCs w:val="20"/>
                <w:color w:val="auto"/>
              </w:rPr>
            </w:pPr>
            <w:r>
              <w:rPr>
                <w:rFonts w:ascii="Arial" w:cs="Arial" w:eastAsia="Arial" w:hAnsi="Arial"/>
                <w:sz w:val="20"/>
                <w:szCs w:val="20"/>
                <w:color w:val="auto"/>
              </w:rPr>
              <w:t>ARTICLE III — COMMITTEES</w:t>
            </w:r>
          </w:p>
        </w:tc>
        <w:tc>
          <w:tcPr>
            <w:tcW w:w="2460" w:type="dxa"/>
            <w:vAlign w:val="bottom"/>
          </w:tcPr>
          <w:p>
            <w:pPr>
              <w:jc w:val="right"/>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432"/>
        </w:trPr>
        <w:tc>
          <w:tcPr>
            <w:tcW w:w="1340" w:type="dxa"/>
            <w:vAlign w:val="bottom"/>
            <w:vMerge w:val="restart"/>
          </w:tcPr>
          <w:p>
            <w:pPr>
              <w:ind w:left="700"/>
              <w:spacing w:after="0"/>
              <w:rPr>
                <w:sz w:val="20"/>
                <w:szCs w:val="20"/>
                <w:color w:val="auto"/>
              </w:rPr>
            </w:pPr>
            <w:r>
              <w:rPr>
                <w:rFonts w:ascii="Arial" w:cs="Arial" w:eastAsia="Arial" w:hAnsi="Arial"/>
                <w:sz w:val="20"/>
                <w:szCs w:val="20"/>
                <w:color w:val="auto"/>
              </w:rPr>
              <w:t>3.1</w:t>
            </w:r>
          </w:p>
        </w:tc>
        <w:tc>
          <w:tcPr>
            <w:tcW w:w="740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Committees of Directors</w:t>
            </w:r>
          </w:p>
        </w:tc>
        <w:tc>
          <w:tcPr>
            <w:tcW w:w="2460" w:type="dxa"/>
            <w:vAlign w:val="bottom"/>
          </w:tcPr>
          <w:p>
            <w:pPr>
              <w:jc w:val="right"/>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68"/>
        </w:trPr>
        <w:tc>
          <w:tcPr>
            <w:tcW w:w="1340" w:type="dxa"/>
            <w:vAlign w:val="bottom"/>
            <w:vMerge w:val="continue"/>
          </w:tcPr>
          <w:p>
            <w:pPr>
              <w:spacing w:after="0"/>
              <w:rPr>
                <w:sz w:val="5"/>
                <w:szCs w:val="5"/>
                <w:color w:val="auto"/>
              </w:rPr>
            </w:pPr>
          </w:p>
        </w:tc>
        <w:tc>
          <w:tcPr>
            <w:tcW w:w="7400" w:type="dxa"/>
            <w:vAlign w:val="bottom"/>
          </w:tcPr>
          <w:p>
            <w:pPr>
              <w:spacing w:after="0"/>
              <w:rPr>
                <w:sz w:val="5"/>
                <w:szCs w:val="5"/>
                <w:color w:val="auto"/>
              </w:rPr>
            </w:pPr>
          </w:p>
        </w:tc>
        <w:tc>
          <w:tcPr>
            <w:tcW w:w="2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1340" w:type="dxa"/>
            <w:vAlign w:val="bottom"/>
          </w:tcPr>
          <w:p>
            <w:pPr>
              <w:ind w:left="700"/>
              <w:spacing w:after="0"/>
              <w:rPr>
                <w:sz w:val="20"/>
                <w:szCs w:val="20"/>
                <w:color w:val="auto"/>
              </w:rPr>
            </w:pPr>
            <w:r>
              <w:rPr>
                <w:rFonts w:ascii="Arial" w:cs="Arial" w:eastAsia="Arial" w:hAnsi="Arial"/>
                <w:sz w:val="20"/>
                <w:szCs w:val="20"/>
                <w:color w:val="auto"/>
              </w:rPr>
              <w:t>3.2</w:t>
            </w:r>
          </w:p>
        </w:tc>
        <w:tc>
          <w:tcPr>
            <w:tcW w:w="740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Committee Minutes</w:t>
            </w:r>
          </w:p>
        </w:tc>
        <w:tc>
          <w:tcPr>
            <w:tcW w:w="2460" w:type="dxa"/>
            <w:vAlign w:val="bottom"/>
          </w:tcPr>
          <w:p>
            <w:pPr>
              <w:jc w:val="right"/>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283"/>
        </w:trPr>
        <w:tc>
          <w:tcPr>
            <w:tcW w:w="1340" w:type="dxa"/>
            <w:vAlign w:val="bottom"/>
          </w:tcPr>
          <w:p>
            <w:pPr>
              <w:ind w:left="700"/>
              <w:spacing w:after="0"/>
              <w:rPr>
                <w:sz w:val="20"/>
                <w:szCs w:val="20"/>
                <w:color w:val="auto"/>
              </w:rPr>
            </w:pPr>
            <w:r>
              <w:rPr>
                <w:rFonts w:ascii="Arial" w:cs="Arial" w:eastAsia="Arial" w:hAnsi="Arial"/>
                <w:sz w:val="20"/>
                <w:szCs w:val="20"/>
                <w:color w:val="auto"/>
              </w:rPr>
              <w:t>3.3</w:t>
            </w:r>
          </w:p>
        </w:tc>
        <w:tc>
          <w:tcPr>
            <w:tcW w:w="740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Meetings and Actions of Committees</w:t>
            </w:r>
          </w:p>
        </w:tc>
        <w:tc>
          <w:tcPr>
            <w:tcW w:w="2460" w:type="dxa"/>
            <w:vAlign w:val="bottom"/>
          </w:tcPr>
          <w:p>
            <w:pPr>
              <w:jc w:val="right"/>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284"/>
        </w:trPr>
        <w:tc>
          <w:tcPr>
            <w:tcW w:w="1340" w:type="dxa"/>
            <w:vAlign w:val="bottom"/>
          </w:tcPr>
          <w:p>
            <w:pPr>
              <w:ind w:left="700"/>
              <w:spacing w:after="0"/>
              <w:rPr>
                <w:sz w:val="20"/>
                <w:szCs w:val="20"/>
                <w:color w:val="auto"/>
              </w:rPr>
            </w:pPr>
            <w:r>
              <w:rPr>
                <w:rFonts w:ascii="Arial" w:cs="Arial" w:eastAsia="Arial" w:hAnsi="Arial"/>
                <w:sz w:val="20"/>
                <w:szCs w:val="20"/>
                <w:color w:val="auto"/>
              </w:rPr>
              <w:t>3.4</w:t>
            </w:r>
          </w:p>
        </w:tc>
        <w:tc>
          <w:tcPr>
            <w:tcW w:w="740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Subcommittees</w:t>
            </w:r>
          </w:p>
        </w:tc>
        <w:tc>
          <w:tcPr>
            <w:tcW w:w="2460" w:type="dxa"/>
            <w:vAlign w:val="bottom"/>
          </w:tcPr>
          <w:p>
            <w:pPr>
              <w:jc w:val="right"/>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432"/>
        </w:trPr>
        <w:tc>
          <w:tcPr>
            <w:tcW w:w="8740" w:type="dxa"/>
            <w:vAlign w:val="bottom"/>
            <w:gridSpan w:val="2"/>
          </w:tcPr>
          <w:p>
            <w:pPr>
              <w:spacing w:after="0"/>
              <w:rPr>
                <w:sz w:val="20"/>
                <w:szCs w:val="20"/>
                <w:color w:val="auto"/>
              </w:rPr>
            </w:pPr>
            <w:r>
              <w:rPr>
                <w:rFonts w:ascii="Arial" w:cs="Arial" w:eastAsia="Arial" w:hAnsi="Arial"/>
                <w:sz w:val="20"/>
                <w:szCs w:val="20"/>
                <w:color w:val="auto"/>
              </w:rPr>
              <w:t>ARTICLE IV — OFFICERS</w:t>
            </w:r>
          </w:p>
        </w:tc>
        <w:tc>
          <w:tcPr>
            <w:tcW w:w="2460" w:type="dxa"/>
            <w:vAlign w:val="bottom"/>
          </w:tcPr>
          <w:p>
            <w:pPr>
              <w:jc w:val="right"/>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432"/>
        </w:trPr>
        <w:tc>
          <w:tcPr>
            <w:tcW w:w="1340" w:type="dxa"/>
            <w:vAlign w:val="bottom"/>
            <w:vMerge w:val="restart"/>
          </w:tcPr>
          <w:p>
            <w:pPr>
              <w:ind w:left="700"/>
              <w:spacing w:after="0"/>
              <w:rPr>
                <w:sz w:val="20"/>
                <w:szCs w:val="20"/>
                <w:color w:val="auto"/>
              </w:rPr>
            </w:pPr>
            <w:r>
              <w:rPr>
                <w:rFonts w:ascii="Arial" w:cs="Arial" w:eastAsia="Arial" w:hAnsi="Arial"/>
                <w:sz w:val="20"/>
                <w:szCs w:val="20"/>
                <w:color w:val="auto"/>
              </w:rPr>
              <w:t>4.1</w:t>
            </w:r>
          </w:p>
        </w:tc>
        <w:tc>
          <w:tcPr>
            <w:tcW w:w="740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Officers</w:t>
            </w:r>
          </w:p>
        </w:tc>
        <w:tc>
          <w:tcPr>
            <w:tcW w:w="2460" w:type="dxa"/>
            <w:vAlign w:val="bottom"/>
          </w:tcPr>
          <w:p>
            <w:pPr>
              <w:jc w:val="right"/>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68"/>
        </w:trPr>
        <w:tc>
          <w:tcPr>
            <w:tcW w:w="1340" w:type="dxa"/>
            <w:vAlign w:val="bottom"/>
            <w:vMerge w:val="continue"/>
          </w:tcPr>
          <w:p>
            <w:pPr>
              <w:spacing w:after="0"/>
              <w:rPr>
                <w:sz w:val="5"/>
                <w:szCs w:val="5"/>
                <w:color w:val="auto"/>
              </w:rPr>
            </w:pPr>
          </w:p>
        </w:tc>
        <w:tc>
          <w:tcPr>
            <w:tcW w:w="7400" w:type="dxa"/>
            <w:vAlign w:val="bottom"/>
          </w:tcPr>
          <w:p>
            <w:pPr>
              <w:spacing w:after="0"/>
              <w:rPr>
                <w:sz w:val="5"/>
                <w:szCs w:val="5"/>
                <w:color w:val="auto"/>
              </w:rPr>
            </w:pPr>
          </w:p>
        </w:tc>
        <w:tc>
          <w:tcPr>
            <w:tcW w:w="2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1340" w:type="dxa"/>
            <w:vAlign w:val="bottom"/>
          </w:tcPr>
          <w:p>
            <w:pPr>
              <w:ind w:left="700"/>
              <w:spacing w:after="0"/>
              <w:rPr>
                <w:sz w:val="20"/>
                <w:szCs w:val="20"/>
                <w:color w:val="auto"/>
              </w:rPr>
            </w:pPr>
            <w:r>
              <w:rPr>
                <w:rFonts w:ascii="Arial" w:cs="Arial" w:eastAsia="Arial" w:hAnsi="Arial"/>
                <w:sz w:val="20"/>
                <w:szCs w:val="20"/>
                <w:color w:val="auto"/>
              </w:rPr>
              <w:t>4.2</w:t>
            </w:r>
          </w:p>
        </w:tc>
        <w:tc>
          <w:tcPr>
            <w:tcW w:w="740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Appointment of Officers</w:t>
            </w:r>
          </w:p>
        </w:tc>
        <w:tc>
          <w:tcPr>
            <w:tcW w:w="2460" w:type="dxa"/>
            <w:vAlign w:val="bottom"/>
          </w:tcPr>
          <w:p>
            <w:pPr>
              <w:jc w:val="right"/>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297"/>
        </w:trPr>
        <w:tc>
          <w:tcPr>
            <w:tcW w:w="1340" w:type="dxa"/>
            <w:vAlign w:val="bottom"/>
          </w:tcPr>
          <w:p>
            <w:pPr>
              <w:ind w:left="700"/>
              <w:spacing w:after="0"/>
              <w:rPr>
                <w:sz w:val="20"/>
                <w:szCs w:val="20"/>
                <w:color w:val="auto"/>
              </w:rPr>
            </w:pPr>
            <w:r>
              <w:rPr>
                <w:rFonts w:ascii="Arial" w:cs="Arial" w:eastAsia="Arial" w:hAnsi="Arial"/>
                <w:sz w:val="20"/>
                <w:szCs w:val="20"/>
                <w:color w:val="auto"/>
              </w:rPr>
              <w:t>4.3</w:t>
            </w:r>
          </w:p>
        </w:tc>
        <w:tc>
          <w:tcPr>
            <w:tcW w:w="740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Subordinate Officers</w:t>
            </w:r>
          </w:p>
        </w:tc>
        <w:tc>
          <w:tcPr>
            <w:tcW w:w="2460" w:type="dxa"/>
            <w:vAlign w:val="bottom"/>
          </w:tcPr>
          <w:p>
            <w:pPr>
              <w:jc w:val="right"/>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283"/>
        </w:trPr>
        <w:tc>
          <w:tcPr>
            <w:tcW w:w="1340" w:type="dxa"/>
            <w:vAlign w:val="bottom"/>
          </w:tcPr>
          <w:p>
            <w:pPr>
              <w:ind w:left="700"/>
              <w:spacing w:after="0"/>
              <w:rPr>
                <w:sz w:val="20"/>
                <w:szCs w:val="20"/>
                <w:color w:val="auto"/>
              </w:rPr>
            </w:pPr>
            <w:r>
              <w:rPr>
                <w:rFonts w:ascii="Arial" w:cs="Arial" w:eastAsia="Arial" w:hAnsi="Arial"/>
                <w:sz w:val="20"/>
                <w:szCs w:val="20"/>
                <w:color w:val="auto"/>
              </w:rPr>
              <w:t>4.4</w:t>
            </w:r>
          </w:p>
        </w:tc>
        <w:tc>
          <w:tcPr>
            <w:tcW w:w="740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Removal and Resignation of Officers</w:t>
            </w:r>
          </w:p>
        </w:tc>
        <w:tc>
          <w:tcPr>
            <w:tcW w:w="2460" w:type="dxa"/>
            <w:vAlign w:val="bottom"/>
          </w:tcPr>
          <w:p>
            <w:pPr>
              <w:jc w:val="right"/>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297"/>
        </w:trPr>
        <w:tc>
          <w:tcPr>
            <w:tcW w:w="1340" w:type="dxa"/>
            <w:vAlign w:val="bottom"/>
          </w:tcPr>
          <w:p>
            <w:pPr>
              <w:ind w:left="700"/>
              <w:spacing w:after="0"/>
              <w:rPr>
                <w:sz w:val="20"/>
                <w:szCs w:val="20"/>
                <w:color w:val="auto"/>
              </w:rPr>
            </w:pPr>
            <w:r>
              <w:rPr>
                <w:rFonts w:ascii="Arial" w:cs="Arial" w:eastAsia="Arial" w:hAnsi="Arial"/>
                <w:sz w:val="20"/>
                <w:szCs w:val="20"/>
                <w:color w:val="auto"/>
              </w:rPr>
              <w:t>4.5</w:t>
            </w:r>
          </w:p>
        </w:tc>
        <w:tc>
          <w:tcPr>
            <w:tcW w:w="740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Vacancies in Offices</w:t>
            </w:r>
          </w:p>
        </w:tc>
        <w:tc>
          <w:tcPr>
            <w:tcW w:w="2460" w:type="dxa"/>
            <w:vAlign w:val="bottom"/>
          </w:tcPr>
          <w:p>
            <w:pPr>
              <w:jc w:val="right"/>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283"/>
        </w:trPr>
        <w:tc>
          <w:tcPr>
            <w:tcW w:w="1340" w:type="dxa"/>
            <w:vAlign w:val="bottom"/>
          </w:tcPr>
          <w:p>
            <w:pPr>
              <w:ind w:left="700"/>
              <w:spacing w:after="0"/>
              <w:rPr>
                <w:sz w:val="20"/>
                <w:szCs w:val="20"/>
                <w:color w:val="auto"/>
              </w:rPr>
            </w:pPr>
            <w:r>
              <w:rPr>
                <w:rFonts w:ascii="Arial" w:cs="Arial" w:eastAsia="Arial" w:hAnsi="Arial"/>
                <w:sz w:val="20"/>
                <w:szCs w:val="20"/>
                <w:color w:val="auto"/>
              </w:rPr>
              <w:t>4.6</w:t>
            </w:r>
          </w:p>
        </w:tc>
        <w:tc>
          <w:tcPr>
            <w:tcW w:w="740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Representation of Shares of Other Corporations</w:t>
            </w:r>
          </w:p>
        </w:tc>
        <w:tc>
          <w:tcPr>
            <w:tcW w:w="2460" w:type="dxa"/>
            <w:vAlign w:val="bottom"/>
          </w:tcPr>
          <w:p>
            <w:pPr>
              <w:jc w:val="right"/>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284"/>
        </w:trPr>
        <w:tc>
          <w:tcPr>
            <w:tcW w:w="1340" w:type="dxa"/>
            <w:vAlign w:val="bottom"/>
          </w:tcPr>
          <w:p>
            <w:pPr>
              <w:ind w:left="700"/>
              <w:spacing w:after="0"/>
              <w:rPr>
                <w:sz w:val="20"/>
                <w:szCs w:val="20"/>
                <w:color w:val="auto"/>
              </w:rPr>
            </w:pPr>
            <w:r>
              <w:rPr>
                <w:rFonts w:ascii="Arial" w:cs="Arial" w:eastAsia="Arial" w:hAnsi="Arial"/>
                <w:sz w:val="20"/>
                <w:szCs w:val="20"/>
                <w:color w:val="auto"/>
              </w:rPr>
              <w:t>4.7</w:t>
            </w:r>
          </w:p>
        </w:tc>
        <w:tc>
          <w:tcPr>
            <w:tcW w:w="740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Authority and Duties of Officers</w:t>
            </w:r>
          </w:p>
        </w:tc>
        <w:tc>
          <w:tcPr>
            <w:tcW w:w="2460" w:type="dxa"/>
            <w:vAlign w:val="bottom"/>
          </w:tcPr>
          <w:p>
            <w:pPr>
              <w:jc w:val="right"/>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bl>
    <w:p>
      <w:pPr>
        <w:sectPr>
          <w:pgSz w:w="11900" w:h="16838" w:orient="portrait"/>
          <w:cols w:equalWidth="0" w:num="1">
            <w:col w:w="11200"/>
          </w:cols>
          <w:pgMar w:left="340" w:top="118" w:right="359" w:bottom="1440" w:gutter="0" w:footer="0" w:header="0"/>
        </w:sectPr>
      </w:pPr>
    </w:p>
    <w:bookmarkStart w:id="239" w:name="page240"/>
    <w:bookmarkEnd w:id="239"/>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340" w:type="dxa"/>
            <w:vAlign w:val="bottom"/>
          </w:tcPr>
          <w:p>
            <w:pPr>
              <w:spacing w:after="0"/>
              <w:rPr>
                <w:sz w:val="21"/>
                <w:szCs w:val="21"/>
                <w:color w:val="auto"/>
              </w:rPr>
            </w:pPr>
          </w:p>
        </w:tc>
        <w:tc>
          <w:tcPr>
            <w:tcW w:w="8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b w:val="1"/>
                <w:bCs w:val="1"/>
                <w:i w:val="1"/>
                <w:iCs w:val="1"/>
                <w:color w:val="auto"/>
              </w:rPr>
              <w:t>Page</w:t>
            </w:r>
          </w:p>
        </w:tc>
        <w:tc>
          <w:tcPr>
            <w:tcW w:w="0" w:type="dxa"/>
            <w:vAlign w:val="bottom"/>
          </w:tcPr>
          <w:p>
            <w:pPr>
              <w:spacing w:after="0"/>
              <w:rPr>
                <w:sz w:val="1"/>
                <w:szCs w:val="1"/>
                <w:color w:val="auto"/>
              </w:rPr>
            </w:pPr>
          </w:p>
        </w:tc>
      </w:tr>
      <w:tr>
        <w:trPr>
          <w:trHeight w:val="432"/>
        </w:trPr>
        <w:tc>
          <w:tcPr>
            <w:tcW w:w="9780" w:type="dxa"/>
            <w:vAlign w:val="bottom"/>
            <w:gridSpan w:val="2"/>
          </w:tcPr>
          <w:p>
            <w:pPr>
              <w:spacing w:after="0"/>
              <w:rPr>
                <w:sz w:val="20"/>
                <w:szCs w:val="20"/>
                <w:color w:val="auto"/>
              </w:rPr>
            </w:pPr>
            <w:r>
              <w:rPr>
                <w:rFonts w:ascii="Arial" w:cs="Arial" w:eastAsia="Arial" w:hAnsi="Arial"/>
                <w:sz w:val="20"/>
                <w:szCs w:val="20"/>
                <w:color w:val="auto"/>
              </w:rPr>
              <w:t>ARTICLE V — INDEMNIFICATION</w:t>
            </w:r>
          </w:p>
        </w:tc>
        <w:tc>
          <w:tcPr>
            <w:tcW w:w="1420" w:type="dxa"/>
            <w:vAlign w:val="bottom"/>
          </w:tcPr>
          <w:p>
            <w:pPr>
              <w:jc w:val="right"/>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432"/>
        </w:trPr>
        <w:tc>
          <w:tcPr>
            <w:tcW w:w="1340" w:type="dxa"/>
            <w:vAlign w:val="bottom"/>
          </w:tcPr>
          <w:p>
            <w:pPr>
              <w:ind w:left="700"/>
              <w:spacing w:after="0"/>
              <w:rPr>
                <w:sz w:val="20"/>
                <w:szCs w:val="20"/>
                <w:color w:val="auto"/>
              </w:rPr>
            </w:pPr>
            <w:r>
              <w:rPr>
                <w:rFonts w:ascii="Arial" w:cs="Arial" w:eastAsia="Arial" w:hAnsi="Arial"/>
                <w:sz w:val="20"/>
                <w:szCs w:val="20"/>
                <w:color w:val="auto"/>
              </w:rPr>
              <w:t>5.1</w:t>
            </w:r>
          </w:p>
        </w:tc>
        <w:tc>
          <w:tcPr>
            <w:tcW w:w="844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Indemnification of Directors and Officers in Third Party Proceedings</w:t>
            </w:r>
          </w:p>
        </w:tc>
        <w:tc>
          <w:tcPr>
            <w:tcW w:w="1420" w:type="dxa"/>
            <w:vAlign w:val="bottom"/>
          </w:tcPr>
          <w:p>
            <w:pPr>
              <w:jc w:val="right"/>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283"/>
        </w:trPr>
        <w:tc>
          <w:tcPr>
            <w:tcW w:w="1340" w:type="dxa"/>
            <w:vAlign w:val="bottom"/>
          </w:tcPr>
          <w:p>
            <w:pPr>
              <w:ind w:left="700"/>
              <w:spacing w:after="0"/>
              <w:rPr>
                <w:sz w:val="20"/>
                <w:szCs w:val="20"/>
                <w:color w:val="auto"/>
              </w:rPr>
            </w:pPr>
            <w:r>
              <w:rPr>
                <w:rFonts w:ascii="Arial" w:cs="Arial" w:eastAsia="Arial" w:hAnsi="Arial"/>
                <w:sz w:val="20"/>
                <w:szCs w:val="20"/>
                <w:color w:val="auto"/>
              </w:rPr>
              <w:t>5.2</w:t>
            </w:r>
          </w:p>
        </w:tc>
        <w:tc>
          <w:tcPr>
            <w:tcW w:w="8440" w:type="dxa"/>
            <w:vAlign w:val="bottom"/>
          </w:tcPr>
          <w:p>
            <w:pPr>
              <w:ind w:left="320"/>
              <w:spacing w:after="0"/>
              <w:rPr>
                <w:sz w:val="20"/>
                <w:szCs w:val="20"/>
                <w:color w:val="auto"/>
              </w:rPr>
            </w:pPr>
            <w:r>
              <w:rPr>
                <w:rFonts w:ascii="Arial" w:cs="Arial" w:eastAsia="Arial" w:hAnsi="Arial"/>
                <w:sz w:val="20"/>
                <w:szCs w:val="20"/>
                <w:b w:val="1"/>
                <w:bCs w:val="1"/>
                <w:i w:val="1"/>
                <w:iCs w:val="1"/>
                <w:color w:val="auto"/>
                <w:w w:val="99"/>
              </w:rPr>
              <w:t>Indemnification of Directors and Officers in Actions by or in the Right of the Company</w:t>
            </w:r>
          </w:p>
        </w:tc>
        <w:tc>
          <w:tcPr>
            <w:tcW w:w="1420" w:type="dxa"/>
            <w:vAlign w:val="bottom"/>
          </w:tcPr>
          <w:p>
            <w:pPr>
              <w:jc w:val="right"/>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283"/>
        </w:trPr>
        <w:tc>
          <w:tcPr>
            <w:tcW w:w="1340" w:type="dxa"/>
            <w:vAlign w:val="bottom"/>
          </w:tcPr>
          <w:p>
            <w:pPr>
              <w:ind w:left="700"/>
              <w:spacing w:after="0"/>
              <w:rPr>
                <w:sz w:val="20"/>
                <w:szCs w:val="20"/>
                <w:color w:val="auto"/>
              </w:rPr>
            </w:pPr>
            <w:r>
              <w:rPr>
                <w:rFonts w:ascii="Arial" w:cs="Arial" w:eastAsia="Arial" w:hAnsi="Arial"/>
                <w:sz w:val="20"/>
                <w:szCs w:val="20"/>
                <w:color w:val="auto"/>
              </w:rPr>
              <w:t>5.3</w:t>
            </w:r>
          </w:p>
        </w:tc>
        <w:tc>
          <w:tcPr>
            <w:tcW w:w="844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Successful Defense</w:t>
            </w:r>
          </w:p>
        </w:tc>
        <w:tc>
          <w:tcPr>
            <w:tcW w:w="1420" w:type="dxa"/>
            <w:vAlign w:val="bottom"/>
          </w:tcPr>
          <w:p>
            <w:pPr>
              <w:jc w:val="right"/>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284"/>
        </w:trPr>
        <w:tc>
          <w:tcPr>
            <w:tcW w:w="1340" w:type="dxa"/>
            <w:vAlign w:val="bottom"/>
          </w:tcPr>
          <w:p>
            <w:pPr>
              <w:ind w:left="700"/>
              <w:spacing w:after="0"/>
              <w:rPr>
                <w:sz w:val="20"/>
                <w:szCs w:val="20"/>
                <w:color w:val="auto"/>
              </w:rPr>
            </w:pPr>
            <w:r>
              <w:rPr>
                <w:rFonts w:ascii="Arial" w:cs="Arial" w:eastAsia="Arial" w:hAnsi="Arial"/>
                <w:sz w:val="20"/>
                <w:szCs w:val="20"/>
                <w:color w:val="auto"/>
              </w:rPr>
              <w:t>5.4</w:t>
            </w:r>
          </w:p>
        </w:tc>
        <w:tc>
          <w:tcPr>
            <w:tcW w:w="844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Indemnification of Others</w:t>
            </w:r>
          </w:p>
        </w:tc>
        <w:tc>
          <w:tcPr>
            <w:tcW w:w="1420" w:type="dxa"/>
            <w:vAlign w:val="bottom"/>
          </w:tcPr>
          <w:p>
            <w:pPr>
              <w:jc w:val="right"/>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283"/>
        </w:trPr>
        <w:tc>
          <w:tcPr>
            <w:tcW w:w="1340" w:type="dxa"/>
            <w:vAlign w:val="bottom"/>
          </w:tcPr>
          <w:p>
            <w:pPr>
              <w:ind w:left="700"/>
              <w:spacing w:after="0"/>
              <w:rPr>
                <w:sz w:val="20"/>
                <w:szCs w:val="20"/>
                <w:color w:val="auto"/>
              </w:rPr>
            </w:pPr>
            <w:r>
              <w:rPr>
                <w:rFonts w:ascii="Arial" w:cs="Arial" w:eastAsia="Arial" w:hAnsi="Arial"/>
                <w:sz w:val="20"/>
                <w:szCs w:val="20"/>
                <w:color w:val="auto"/>
              </w:rPr>
              <w:t>5.5</w:t>
            </w:r>
          </w:p>
        </w:tc>
        <w:tc>
          <w:tcPr>
            <w:tcW w:w="844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Advanced Payment of Expenses</w:t>
            </w:r>
          </w:p>
        </w:tc>
        <w:tc>
          <w:tcPr>
            <w:tcW w:w="1420" w:type="dxa"/>
            <w:vAlign w:val="bottom"/>
          </w:tcPr>
          <w:p>
            <w:pPr>
              <w:jc w:val="right"/>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283"/>
        </w:trPr>
        <w:tc>
          <w:tcPr>
            <w:tcW w:w="1340" w:type="dxa"/>
            <w:vAlign w:val="bottom"/>
          </w:tcPr>
          <w:p>
            <w:pPr>
              <w:ind w:left="700"/>
              <w:spacing w:after="0"/>
              <w:rPr>
                <w:sz w:val="20"/>
                <w:szCs w:val="20"/>
                <w:color w:val="auto"/>
              </w:rPr>
            </w:pPr>
            <w:r>
              <w:rPr>
                <w:rFonts w:ascii="Arial" w:cs="Arial" w:eastAsia="Arial" w:hAnsi="Arial"/>
                <w:sz w:val="20"/>
                <w:szCs w:val="20"/>
                <w:color w:val="auto"/>
              </w:rPr>
              <w:t>5.6</w:t>
            </w:r>
          </w:p>
        </w:tc>
        <w:tc>
          <w:tcPr>
            <w:tcW w:w="844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Limitation on Indemnification</w:t>
            </w:r>
          </w:p>
        </w:tc>
        <w:tc>
          <w:tcPr>
            <w:tcW w:w="1420" w:type="dxa"/>
            <w:vAlign w:val="bottom"/>
          </w:tcPr>
          <w:p>
            <w:pPr>
              <w:jc w:val="right"/>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283"/>
        </w:trPr>
        <w:tc>
          <w:tcPr>
            <w:tcW w:w="1340" w:type="dxa"/>
            <w:vAlign w:val="bottom"/>
          </w:tcPr>
          <w:p>
            <w:pPr>
              <w:ind w:left="700"/>
              <w:spacing w:after="0"/>
              <w:rPr>
                <w:sz w:val="20"/>
                <w:szCs w:val="20"/>
                <w:color w:val="auto"/>
              </w:rPr>
            </w:pPr>
            <w:r>
              <w:rPr>
                <w:rFonts w:ascii="Arial" w:cs="Arial" w:eastAsia="Arial" w:hAnsi="Arial"/>
                <w:sz w:val="20"/>
                <w:szCs w:val="20"/>
                <w:color w:val="auto"/>
              </w:rPr>
              <w:t>5.7</w:t>
            </w:r>
          </w:p>
        </w:tc>
        <w:tc>
          <w:tcPr>
            <w:tcW w:w="844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Determination; Claim</w:t>
            </w:r>
          </w:p>
        </w:tc>
        <w:tc>
          <w:tcPr>
            <w:tcW w:w="1420" w:type="dxa"/>
            <w:vAlign w:val="bottom"/>
          </w:tcPr>
          <w:p>
            <w:pPr>
              <w:jc w:val="right"/>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283"/>
        </w:trPr>
        <w:tc>
          <w:tcPr>
            <w:tcW w:w="1340" w:type="dxa"/>
            <w:vAlign w:val="bottom"/>
          </w:tcPr>
          <w:p>
            <w:pPr>
              <w:ind w:left="700"/>
              <w:spacing w:after="0"/>
              <w:rPr>
                <w:sz w:val="20"/>
                <w:szCs w:val="20"/>
                <w:color w:val="auto"/>
              </w:rPr>
            </w:pPr>
            <w:r>
              <w:rPr>
                <w:rFonts w:ascii="Arial" w:cs="Arial" w:eastAsia="Arial" w:hAnsi="Arial"/>
                <w:sz w:val="20"/>
                <w:szCs w:val="20"/>
                <w:color w:val="auto"/>
              </w:rPr>
              <w:t>5.8</w:t>
            </w:r>
          </w:p>
        </w:tc>
        <w:tc>
          <w:tcPr>
            <w:tcW w:w="844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Non-Exclusivity of Rights</w:t>
            </w:r>
          </w:p>
        </w:tc>
        <w:tc>
          <w:tcPr>
            <w:tcW w:w="1420" w:type="dxa"/>
            <w:vAlign w:val="bottom"/>
          </w:tcPr>
          <w:p>
            <w:pPr>
              <w:jc w:val="right"/>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283"/>
        </w:trPr>
        <w:tc>
          <w:tcPr>
            <w:tcW w:w="1340" w:type="dxa"/>
            <w:vAlign w:val="bottom"/>
          </w:tcPr>
          <w:p>
            <w:pPr>
              <w:ind w:left="700"/>
              <w:spacing w:after="0"/>
              <w:rPr>
                <w:sz w:val="20"/>
                <w:szCs w:val="20"/>
                <w:color w:val="auto"/>
              </w:rPr>
            </w:pPr>
            <w:r>
              <w:rPr>
                <w:rFonts w:ascii="Arial" w:cs="Arial" w:eastAsia="Arial" w:hAnsi="Arial"/>
                <w:sz w:val="20"/>
                <w:szCs w:val="20"/>
                <w:color w:val="auto"/>
              </w:rPr>
              <w:t>5.9</w:t>
            </w:r>
          </w:p>
        </w:tc>
        <w:tc>
          <w:tcPr>
            <w:tcW w:w="844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Insurance</w:t>
            </w:r>
          </w:p>
        </w:tc>
        <w:tc>
          <w:tcPr>
            <w:tcW w:w="1420" w:type="dxa"/>
            <w:vAlign w:val="bottom"/>
          </w:tcPr>
          <w:p>
            <w:pPr>
              <w:jc w:val="right"/>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284"/>
        </w:trPr>
        <w:tc>
          <w:tcPr>
            <w:tcW w:w="1340" w:type="dxa"/>
            <w:vAlign w:val="bottom"/>
          </w:tcPr>
          <w:p>
            <w:pPr>
              <w:ind w:left="700"/>
              <w:spacing w:after="0"/>
              <w:rPr>
                <w:sz w:val="20"/>
                <w:szCs w:val="20"/>
                <w:color w:val="auto"/>
              </w:rPr>
            </w:pPr>
            <w:r>
              <w:rPr>
                <w:rFonts w:ascii="Arial" w:cs="Arial" w:eastAsia="Arial" w:hAnsi="Arial"/>
                <w:sz w:val="20"/>
                <w:szCs w:val="20"/>
                <w:color w:val="auto"/>
              </w:rPr>
              <w:t>5.10</w:t>
            </w:r>
          </w:p>
        </w:tc>
        <w:tc>
          <w:tcPr>
            <w:tcW w:w="844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Survival</w:t>
            </w:r>
          </w:p>
        </w:tc>
        <w:tc>
          <w:tcPr>
            <w:tcW w:w="1420" w:type="dxa"/>
            <w:vAlign w:val="bottom"/>
          </w:tcPr>
          <w:p>
            <w:pPr>
              <w:jc w:val="right"/>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283"/>
        </w:trPr>
        <w:tc>
          <w:tcPr>
            <w:tcW w:w="1340" w:type="dxa"/>
            <w:vAlign w:val="bottom"/>
          </w:tcPr>
          <w:p>
            <w:pPr>
              <w:ind w:left="700"/>
              <w:spacing w:after="0"/>
              <w:rPr>
                <w:sz w:val="20"/>
                <w:szCs w:val="20"/>
                <w:color w:val="auto"/>
              </w:rPr>
            </w:pPr>
            <w:r>
              <w:rPr>
                <w:rFonts w:ascii="Arial" w:cs="Arial" w:eastAsia="Arial" w:hAnsi="Arial"/>
                <w:sz w:val="20"/>
                <w:szCs w:val="20"/>
                <w:color w:val="auto"/>
              </w:rPr>
              <w:t>5.11</w:t>
            </w:r>
          </w:p>
        </w:tc>
        <w:tc>
          <w:tcPr>
            <w:tcW w:w="844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Effect of Repeal or Modification</w:t>
            </w:r>
          </w:p>
        </w:tc>
        <w:tc>
          <w:tcPr>
            <w:tcW w:w="1420" w:type="dxa"/>
            <w:vAlign w:val="bottom"/>
          </w:tcPr>
          <w:p>
            <w:pPr>
              <w:jc w:val="right"/>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283"/>
        </w:trPr>
        <w:tc>
          <w:tcPr>
            <w:tcW w:w="1340" w:type="dxa"/>
            <w:vAlign w:val="bottom"/>
          </w:tcPr>
          <w:p>
            <w:pPr>
              <w:ind w:left="700"/>
              <w:spacing w:after="0"/>
              <w:rPr>
                <w:sz w:val="20"/>
                <w:szCs w:val="20"/>
                <w:color w:val="auto"/>
              </w:rPr>
            </w:pPr>
            <w:r>
              <w:rPr>
                <w:rFonts w:ascii="Arial" w:cs="Arial" w:eastAsia="Arial" w:hAnsi="Arial"/>
                <w:sz w:val="20"/>
                <w:szCs w:val="20"/>
                <w:color w:val="auto"/>
              </w:rPr>
              <w:t>5.12</w:t>
            </w:r>
          </w:p>
        </w:tc>
        <w:tc>
          <w:tcPr>
            <w:tcW w:w="844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Certain Definitions</w:t>
            </w:r>
          </w:p>
        </w:tc>
        <w:tc>
          <w:tcPr>
            <w:tcW w:w="1420" w:type="dxa"/>
            <w:vAlign w:val="bottom"/>
          </w:tcPr>
          <w:p>
            <w:pPr>
              <w:jc w:val="right"/>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432"/>
        </w:trPr>
        <w:tc>
          <w:tcPr>
            <w:tcW w:w="9780" w:type="dxa"/>
            <w:vAlign w:val="bottom"/>
            <w:gridSpan w:val="2"/>
          </w:tcPr>
          <w:p>
            <w:pPr>
              <w:spacing w:after="0"/>
              <w:rPr>
                <w:sz w:val="20"/>
                <w:szCs w:val="20"/>
                <w:color w:val="auto"/>
              </w:rPr>
            </w:pPr>
            <w:r>
              <w:rPr>
                <w:rFonts w:ascii="Arial" w:cs="Arial" w:eastAsia="Arial" w:hAnsi="Arial"/>
                <w:sz w:val="20"/>
                <w:szCs w:val="20"/>
                <w:color w:val="auto"/>
              </w:rPr>
              <w:t>ARTICLE VI — STOCK</w:t>
            </w:r>
          </w:p>
        </w:tc>
        <w:tc>
          <w:tcPr>
            <w:tcW w:w="1420" w:type="dxa"/>
            <w:vAlign w:val="bottom"/>
          </w:tcPr>
          <w:p>
            <w:pPr>
              <w:jc w:val="right"/>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432"/>
        </w:trPr>
        <w:tc>
          <w:tcPr>
            <w:tcW w:w="1340" w:type="dxa"/>
            <w:vAlign w:val="bottom"/>
          </w:tcPr>
          <w:p>
            <w:pPr>
              <w:ind w:left="700"/>
              <w:spacing w:after="0"/>
              <w:rPr>
                <w:sz w:val="20"/>
                <w:szCs w:val="20"/>
                <w:color w:val="auto"/>
              </w:rPr>
            </w:pPr>
            <w:r>
              <w:rPr>
                <w:rFonts w:ascii="Arial" w:cs="Arial" w:eastAsia="Arial" w:hAnsi="Arial"/>
                <w:sz w:val="20"/>
                <w:szCs w:val="20"/>
                <w:color w:val="auto"/>
              </w:rPr>
              <w:t>6.1</w:t>
            </w:r>
          </w:p>
        </w:tc>
        <w:tc>
          <w:tcPr>
            <w:tcW w:w="844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Stock Certificates; Partly Paid Shares</w:t>
            </w:r>
          </w:p>
        </w:tc>
        <w:tc>
          <w:tcPr>
            <w:tcW w:w="1420" w:type="dxa"/>
            <w:vAlign w:val="bottom"/>
          </w:tcPr>
          <w:p>
            <w:pPr>
              <w:jc w:val="right"/>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283"/>
        </w:trPr>
        <w:tc>
          <w:tcPr>
            <w:tcW w:w="1340" w:type="dxa"/>
            <w:vAlign w:val="bottom"/>
          </w:tcPr>
          <w:p>
            <w:pPr>
              <w:ind w:left="700"/>
              <w:spacing w:after="0"/>
              <w:rPr>
                <w:sz w:val="20"/>
                <w:szCs w:val="20"/>
                <w:color w:val="auto"/>
              </w:rPr>
            </w:pPr>
            <w:r>
              <w:rPr>
                <w:rFonts w:ascii="Arial" w:cs="Arial" w:eastAsia="Arial" w:hAnsi="Arial"/>
                <w:sz w:val="20"/>
                <w:szCs w:val="20"/>
                <w:color w:val="auto"/>
              </w:rPr>
              <w:t>6.2</w:t>
            </w:r>
          </w:p>
        </w:tc>
        <w:tc>
          <w:tcPr>
            <w:tcW w:w="844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Special Designation on Certificates</w:t>
            </w:r>
          </w:p>
        </w:tc>
        <w:tc>
          <w:tcPr>
            <w:tcW w:w="1420" w:type="dxa"/>
            <w:vAlign w:val="bottom"/>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83"/>
        </w:trPr>
        <w:tc>
          <w:tcPr>
            <w:tcW w:w="1340" w:type="dxa"/>
            <w:vAlign w:val="bottom"/>
          </w:tcPr>
          <w:p>
            <w:pPr>
              <w:ind w:left="700"/>
              <w:spacing w:after="0"/>
              <w:rPr>
                <w:sz w:val="20"/>
                <w:szCs w:val="20"/>
                <w:color w:val="auto"/>
              </w:rPr>
            </w:pPr>
            <w:r>
              <w:rPr>
                <w:rFonts w:ascii="Arial" w:cs="Arial" w:eastAsia="Arial" w:hAnsi="Arial"/>
                <w:sz w:val="20"/>
                <w:szCs w:val="20"/>
                <w:color w:val="auto"/>
              </w:rPr>
              <w:t>6.3</w:t>
            </w:r>
          </w:p>
        </w:tc>
        <w:tc>
          <w:tcPr>
            <w:tcW w:w="844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Lost Certificates</w:t>
            </w:r>
          </w:p>
        </w:tc>
        <w:tc>
          <w:tcPr>
            <w:tcW w:w="1420" w:type="dxa"/>
            <w:vAlign w:val="bottom"/>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97"/>
        </w:trPr>
        <w:tc>
          <w:tcPr>
            <w:tcW w:w="1340" w:type="dxa"/>
            <w:vAlign w:val="bottom"/>
          </w:tcPr>
          <w:p>
            <w:pPr>
              <w:ind w:left="700"/>
              <w:spacing w:after="0"/>
              <w:rPr>
                <w:sz w:val="20"/>
                <w:szCs w:val="20"/>
                <w:color w:val="auto"/>
              </w:rPr>
            </w:pPr>
            <w:r>
              <w:rPr>
                <w:rFonts w:ascii="Arial" w:cs="Arial" w:eastAsia="Arial" w:hAnsi="Arial"/>
                <w:sz w:val="20"/>
                <w:szCs w:val="20"/>
                <w:color w:val="auto"/>
              </w:rPr>
              <w:t>6.4</w:t>
            </w:r>
          </w:p>
        </w:tc>
        <w:tc>
          <w:tcPr>
            <w:tcW w:w="844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Dividends</w:t>
            </w:r>
          </w:p>
        </w:tc>
        <w:tc>
          <w:tcPr>
            <w:tcW w:w="1420" w:type="dxa"/>
            <w:vAlign w:val="bottom"/>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83"/>
        </w:trPr>
        <w:tc>
          <w:tcPr>
            <w:tcW w:w="1340" w:type="dxa"/>
            <w:vAlign w:val="bottom"/>
          </w:tcPr>
          <w:p>
            <w:pPr>
              <w:ind w:left="700"/>
              <w:spacing w:after="0"/>
              <w:rPr>
                <w:sz w:val="20"/>
                <w:szCs w:val="20"/>
                <w:color w:val="auto"/>
              </w:rPr>
            </w:pPr>
            <w:r>
              <w:rPr>
                <w:rFonts w:ascii="Arial" w:cs="Arial" w:eastAsia="Arial" w:hAnsi="Arial"/>
                <w:sz w:val="20"/>
                <w:szCs w:val="20"/>
                <w:color w:val="auto"/>
              </w:rPr>
              <w:t>6.5</w:t>
            </w:r>
          </w:p>
        </w:tc>
        <w:tc>
          <w:tcPr>
            <w:tcW w:w="844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Stock Transfer Agreements</w:t>
            </w:r>
          </w:p>
        </w:tc>
        <w:tc>
          <w:tcPr>
            <w:tcW w:w="1420" w:type="dxa"/>
            <w:vAlign w:val="bottom"/>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84"/>
        </w:trPr>
        <w:tc>
          <w:tcPr>
            <w:tcW w:w="1340" w:type="dxa"/>
            <w:vAlign w:val="bottom"/>
          </w:tcPr>
          <w:p>
            <w:pPr>
              <w:ind w:left="700"/>
              <w:spacing w:after="0"/>
              <w:rPr>
                <w:sz w:val="20"/>
                <w:szCs w:val="20"/>
                <w:color w:val="auto"/>
              </w:rPr>
            </w:pPr>
            <w:r>
              <w:rPr>
                <w:rFonts w:ascii="Arial" w:cs="Arial" w:eastAsia="Arial" w:hAnsi="Arial"/>
                <w:sz w:val="20"/>
                <w:szCs w:val="20"/>
                <w:color w:val="auto"/>
              </w:rPr>
              <w:t>6.6</w:t>
            </w:r>
          </w:p>
        </w:tc>
        <w:tc>
          <w:tcPr>
            <w:tcW w:w="844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Registered Stockholders</w:t>
            </w:r>
          </w:p>
        </w:tc>
        <w:tc>
          <w:tcPr>
            <w:tcW w:w="1420" w:type="dxa"/>
            <w:vAlign w:val="bottom"/>
          </w:tcPr>
          <w:p>
            <w:pPr>
              <w:jc w:val="right"/>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83"/>
        </w:trPr>
        <w:tc>
          <w:tcPr>
            <w:tcW w:w="1340" w:type="dxa"/>
            <w:vAlign w:val="bottom"/>
          </w:tcPr>
          <w:p>
            <w:pPr>
              <w:ind w:left="700"/>
              <w:spacing w:after="0"/>
              <w:rPr>
                <w:sz w:val="20"/>
                <w:szCs w:val="20"/>
                <w:color w:val="auto"/>
              </w:rPr>
            </w:pPr>
            <w:r>
              <w:rPr>
                <w:rFonts w:ascii="Arial" w:cs="Arial" w:eastAsia="Arial" w:hAnsi="Arial"/>
                <w:sz w:val="20"/>
                <w:szCs w:val="20"/>
                <w:color w:val="auto"/>
              </w:rPr>
              <w:t>6.7</w:t>
            </w:r>
          </w:p>
        </w:tc>
        <w:tc>
          <w:tcPr>
            <w:tcW w:w="844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Transfers</w:t>
            </w:r>
          </w:p>
        </w:tc>
        <w:tc>
          <w:tcPr>
            <w:tcW w:w="1420" w:type="dxa"/>
            <w:vAlign w:val="bottom"/>
          </w:tcPr>
          <w:p>
            <w:pPr>
              <w:jc w:val="right"/>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432"/>
        </w:trPr>
        <w:tc>
          <w:tcPr>
            <w:tcW w:w="9780" w:type="dxa"/>
            <w:vAlign w:val="bottom"/>
            <w:gridSpan w:val="2"/>
          </w:tcPr>
          <w:p>
            <w:pPr>
              <w:spacing w:after="0"/>
              <w:rPr>
                <w:sz w:val="20"/>
                <w:szCs w:val="20"/>
                <w:color w:val="auto"/>
              </w:rPr>
            </w:pPr>
            <w:r>
              <w:rPr>
                <w:rFonts w:ascii="Arial" w:cs="Arial" w:eastAsia="Arial" w:hAnsi="Arial"/>
                <w:sz w:val="20"/>
                <w:szCs w:val="20"/>
                <w:color w:val="auto"/>
              </w:rPr>
              <w:t>ARTICLE VII — MANNER OF GIVING NOTICE AND WAIVER</w:t>
            </w:r>
          </w:p>
        </w:tc>
        <w:tc>
          <w:tcPr>
            <w:tcW w:w="1420" w:type="dxa"/>
            <w:vAlign w:val="bottom"/>
          </w:tcPr>
          <w:p>
            <w:pPr>
              <w:jc w:val="right"/>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432"/>
        </w:trPr>
        <w:tc>
          <w:tcPr>
            <w:tcW w:w="1340" w:type="dxa"/>
            <w:vAlign w:val="bottom"/>
          </w:tcPr>
          <w:p>
            <w:pPr>
              <w:ind w:left="700"/>
              <w:spacing w:after="0"/>
              <w:rPr>
                <w:sz w:val="20"/>
                <w:szCs w:val="20"/>
                <w:color w:val="auto"/>
              </w:rPr>
            </w:pPr>
            <w:r>
              <w:rPr>
                <w:rFonts w:ascii="Arial" w:cs="Arial" w:eastAsia="Arial" w:hAnsi="Arial"/>
                <w:sz w:val="20"/>
                <w:szCs w:val="20"/>
                <w:color w:val="auto"/>
              </w:rPr>
              <w:t>7.1</w:t>
            </w:r>
          </w:p>
        </w:tc>
        <w:tc>
          <w:tcPr>
            <w:tcW w:w="844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Notice of Stockholder Meetings</w:t>
            </w:r>
          </w:p>
        </w:tc>
        <w:tc>
          <w:tcPr>
            <w:tcW w:w="1420" w:type="dxa"/>
            <w:vAlign w:val="bottom"/>
          </w:tcPr>
          <w:p>
            <w:pPr>
              <w:jc w:val="right"/>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84"/>
        </w:trPr>
        <w:tc>
          <w:tcPr>
            <w:tcW w:w="1340" w:type="dxa"/>
            <w:vAlign w:val="bottom"/>
          </w:tcPr>
          <w:p>
            <w:pPr>
              <w:ind w:left="700"/>
              <w:spacing w:after="0"/>
              <w:rPr>
                <w:sz w:val="20"/>
                <w:szCs w:val="20"/>
                <w:color w:val="auto"/>
              </w:rPr>
            </w:pPr>
            <w:r>
              <w:rPr>
                <w:rFonts w:ascii="Arial" w:cs="Arial" w:eastAsia="Arial" w:hAnsi="Arial"/>
                <w:sz w:val="20"/>
                <w:szCs w:val="20"/>
                <w:color w:val="auto"/>
              </w:rPr>
              <w:t>7.2</w:t>
            </w:r>
          </w:p>
        </w:tc>
        <w:tc>
          <w:tcPr>
            <w:tcW w:w="844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Notice by Electronic Transmission</w:t>
            </w:r>
          </w:p>
        </w:tc>
        <w:tc>
          <w:tcPr>
            <w:tcW w:w="1420" w:type="dxa"/>
            <w:vAlign w:val="bottom"/>
          </w:tcPr>
          <w:p>
            <w:pPr>
              <w:jc w:val="right"/>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83"/>
        </w:trPr>
        <w:tc>
          <w:tcPr>
            <w:tcW w:w="1340" w:type="dxa"/>
            <w:vAlign w:val="bottom"/>
          </w:tcPr>
          <w:p>
            <w:pPr>
              <w:ind w:left="700"/>
              <w:spacing w:after="0"/>
              <w:rPr>
                <w:sz w:val="20"/>
                <w:szCs w:val="20"/>
                <w:color w:val="auto"/>
              </w:rPr>
            </w:pPr>
            <w:r>
              <w:rPr>
                <w:rFonts w:ascii="Arial" w:cs="Arial" w:eastAsia="Arial" w:hAnsi="Arial"/>
                <w:sz w:val="20"/>
                <w:szCs w:val="20"/>
                <w:color w:val="auto"/>
              </w:rPr>
              <w:t>7.3</w:t>
            </w:r>
          </w:p>
        </w:tc>
        <w:tc>
          <w:tcPr>
            <w:tcW w:w="844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Notice to Stockholders Sharing an Address</w:t>
            </w:r>
          </w:p>
        </w:tc>
        <w:tc>
          <w:tcPr>
            <w:tcW w:w="1420" w:type="dxa"/>
            <w:vAlign w:val="bottom"/>
          </w:tcPr>
          <w:p>
            <w:pPr>
              <w:jc w:val="right"/>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83"/>
        </w:trPr>
        <w:tc>
          <w:tcPr>
            <w:tcW w:w="1340" w:type="dxa"/>
            <w:vAlign w:val="bottom"/>
          </w:tcPr>
          <w:p>
            <w:pPr>
              <w:ind w:left="700"/>
              <w:spacing w:after="0"/>
              <w:rPr>
                <w:sz w:val="20"/>
                <w:szCs w:val="20"/>
                <w:color w:val="auto"/>
              </w:rPr>
            </w:pPr>
            <w:r>
              <w:rPr>
                <w:rFonts w:ascii="Arial" w:cs="Arial" w:eastAsia="Arial" w:hAnsi="Arial"/>
                <w:sz w:val="20"/>
                <w:szCs w:val="20"/>
                <w:color w:val="auto"/>
              </w:rPr>
              <w:t>7.4</w:t>
            </w:r>
          </w:p>
        </w:tc>
        <w:tc>
          <w:tcPr>
            <w:tcW w:w="844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Notice to Person with Whom Communication is Unlawful..</w:t>
            </w:r>
          </w:p>
        </w:tc>
        <w:tc>
          <w:tcPr>
            <w:tcW w:w="1420" w:type="dxa"/>
            <w:vAlign w:val="bottom"/>
          </w:tcPr>
          <w:p>
            <w:pPr>
              <w:jc w:val="right"/>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84"/>
        </w:trPr>
        <w:tc>
          <w:tcPr>
            <w:tcW w:w="1340" w:type="dxa"/>
            <w:vAlign w:val="bottom"/>
          </w:tcPr>
          <w:p>
            <w:pPr>
              <w:ind w:left="700"/>
              <w:spacing w:after="0"/>
              <w:rPr>
                <w:sz w:val="20"/>
                <w:szCs w:val="20"/>
                <w:color w:val="auto"/>
              </w:rPr>
            </w:pPr>
            <w:r>
              <w:rPr>
                <w:rFonts w:ascii="Arial" w:cs="Arial" w:eastAsia="Arial" w:hAnsi="Arial"/>
                <w:sz w:val="20"/>
                <w:szCs w:val="20"/>
                <w:color w:val="auto"/>
              </w:rPr>
              <w:t>7.5</w:t>
            </w:r>
          </w:p>
        </w:tc>
        <w:tc>
          <w:tcPr>
            <w:tcW w:w="844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Waiver of Notice</w:t>
            </w:r>
          </w:p>
        </w:tc>
        <w:tc>
          <w:tcPr>
            <w:tcW w:w="1420" w:type="dxa"/>
            <w:vAlign w:val="bottom"/>
          </w:tcPr>
          <w:p>
            <w:pPr>
              <w:jc w:val="right"/>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432"/>
        </w:trPr>
        <w:tc>
          <w:tcPr>
            <w:tcW w:w="9780" w:type="dxa"/>
            <w:vAlign w:val="bottom"/>
            <w:gridSpan w:val="2"/>
          </w:tcPr>
          <w:p>
            <w:pPr>
              <w:spacing w:after="0"/>
              <w:rPr>
                <w:sz w:val="20"/>
                <w:szCs w:val="20"/>
                <w:color w:val="auto"/>
              </w:rPr>
            </w:pPr>
            <w:r>
              <w:rPr>
                <w:rFonts w:ascii="Arial" w:cs="Arial" w:eastAsia="Arial" w:hAnsi="Arial"/>
                <w:sz w:val="20"/>
                <w:szCs w:val="20"/>
                <w:color w:val="auto"/>
              </w:rPr>
              <w:t>ARTICLE VIII — GENERAL MATTERS</w:t>
            </w:r>
          </w:p>
        </w:tc>
        <w:tc>
          <w:tcPr>
            <w:tcW w:w="1420" w:type="dxa"/>
            <w:vAlign w:val="bottom"/>
          </w:tcPr>
          <w:p>
            <w:pPr>
              <w:jc w:val="right"/>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432"/>
        </w:trPr>
        <w:tc>
          <w:tcPr>
            <w:tcW w:w="1340" w:type="dxa"/>
            <w:vAlign w:val="bottom"/>
            <w:vMerge w:val="restart"/>
          </w:tcPr>
          <w:p>
            <w:pPr>
              <w:ind w:left="700"/>
              <w:spacing w:after="0"/>
              <w:rPr>
                <w:sz w:val="20"/>
                <w:szCs w:val="20"/>
                <w:color w:val="auto"/>
              </w:rPr>
            </w:pPr>
            <w:r>
              <w:rPr>
                <w:rFonts w:ascii="Arial" w:cs="Arial" w:eastAsia="Arial" w:hAnsi="Arial"/>
                <w:sz w:val="20"/>
                <w:szCs w:val="20"/>
                <w:color w:val="auto"/>
              </w:rPr>
              <w:t>8.1</w:t>
            </w:r>
          </w:p>
        </w:tc>
        <w:tc>
          <w:tcPr>
            <w:tcW w:w="844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 xml:space="preserve">Fiscal </w:t>
            </w:r>
            <w:r>
              <w:rPr>
                <w:rFonts w:ascii="Arial" w:cs="Arial" w:eastAsia="Arial" w:hAnsi="Arial"/>
                <w:sz w:val="20"/>
                <w:szCs w:val="20"/>
                <w:b w:val="1"/>
                <w:bCs w:val="1"/>
                <w:color w:val="auto"/>
              </w:rPr>
              <w:t>Year</w:t>
            </w:r>
          </w:p>
        </w:tc>
        <w:tc>
          <w:tcPr>
            <w:tcW w:w="1420" w:type="dxa"/>
            <w:vAlign w:val="bottom"/>
            <w:vMerge w:val="restart"/>
          </w:tcPr>
          <w:p>
            <w:pPr>
              <w:jc w:val="right"/>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68"/>
        </w:trPr>
        <w:tc>
          <w:tcPr>
            <w:tcW w:w="1340" w:type="dxa"/>
            <w:vAlign w:val="bottom"/>
            <w:vMerge w:val="continue"/>
          </w:tcPr>
          <w:p>
            <w:pPr>
              <w:spacing w:after="0"/>
              <w:rPr>
                <w:sz w:val="5"/>
                <w:szCs w:val="5"/>
                <w:color w:val="auto"/>
              </w:rPr>
            </w:pPr>
          </w:p>
        </w:tc>
        <w:tc>
          <w:tcPr>
            <w:tcW w:w="8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1340" w:type="dxa"/>
            <w:vAlign w:val="bottom"/>
          </w:tcPr>
          <w:p>
            <w:pPr>
              <w:ind w:left="700"/>
              <w:spacing w:after="0"/>
              <w:rPr>
                <w:sz w:val="20"/>
                <w:szCs w:val="20"/>
                <w:color w:val="auto"/>
              </w:rPr>
            </w:pPr>
            <w:r>
              <w:rPr>
                <w:rFonts w:ascii="Arial" w:cs="Arial" w:eastAsia="Arial" w:hAnsi="Arial"/>
                <w:sz w:val="20"/>
                <w:szCs w:val="20"/>
                <w:color w:val="auto"/>
              </w:rPr>
              <w:t>8.2</w:t>
            </w:r>
          </w:p>
        </w:tc>
        <w:tc>
          <w:tcPr>
            <w:tcW w:w="8440" w:type="dxa"/>
            <w:vAlign w:val="bottom"/>
          </w:tcPr>
          <w:p>
            <w:pPr>
              <w:ind w:left="320"/>
              <w:spacing w:after="0"/>
              <w:rPr>
                <w:sz w:val="20"/>
                <w:szCs w:val="20"/>
                <w:color w:val="auto"/>
              </w:rPr>
            </w:pPr>
            <w:r>
              <w:rPr>
                <w:rFonts w:ascii="Arial" w:cs="Arial" w:eastAsia="Arial" w:hAnsi="Arial"/>
                <w:sz w:val="20"/>
                <w:szCs w:val="20"/>
                <w:b w:val="1"/>
                <w:bCs w:val="1"/>
                <w:color w:val="auto"/>
              </w:rPr>
              <w:t>Seal</w:t>
            </w:r>
          </w:p>
        </w:tc>
        <w:tc>
          <w:tcPr>
            <w:tcW w:w="1420" w:type="dxa"/>
            <w:vAlign w:val="bottom"/>
          </w:tcPr>
          <w:p>
            <w:pPr>
              <w:jc w:val="right"/>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83"/>
        </w:trPr>
        <w:tc>
          <w:tcPr>
            <w:tcW w:w="1340" w:type="dxa"/>
            <w:vAlign w:val="bottom"/>
          </w:tcPr>
          <w:p>
            <w:pPr>
              <w:ind w:left="700"/>
              <w:spacing w:after="0"/>
              <w:rPr>
                <w:sz w:val="20"/>
                <w:szCs w:val="20"/>
                <w:color w:val="auto"/>
              </w:rPr>
            </w:pPr>
            <w:r>
              <w:rPr>
                <w:rFonts w:ascii="Arial" w:cs="Arial" w:eastAsia="Arial" w:hAnsi="Arial"/>
                <w:sz w:val="20"/>
                <w:szCs w:val="20"/>
                <w:color w:val="auto"/>
              </w:rPr>
              <w:t>8.3</w:t>
            </w:r>
          </w:p>
        </w:tc>
        <w:tc>
          <w:tcPr>
            <w:tcW w:w="844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Annual Report</w:t>
            </w:r>
          </w:p>
        </w:tc>
        <w:tc>
          <w:tcPr>
            <w:tcW w:w="1420" w:type="dxa"/>
            <w:vAlign w:val="bottom"/>
          </w:tcPr>
          <w:p>
            <w:pPr>
              <w:jc w:val="right"/>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97"/>
        </w:trPr>
        <w:tc>
          <w:tcPr>
            <w:tcW w:w="1340" w:type="dxa"/>
            <w:vAlign w:val="bottom"/>
          </w:tcPr>
          <w:p>
            <w:pPr>
              <w:ind w:left="700"/>
              <w:spacing w:after="0"/>
              <w:rPr>
                <w:sz w:val="20"/>
                <w:szCs w:val="20"/>
                <w:color w:val="auto"/>
              </w:rPr>
            </w:pPr>
            <w:r>
              <w:rPr>
                <w:rFonts w:ascii="Arial" w:cs="Arial" w:eastAsia="Arial" w:hAnsi="Arial"/>
                <w:sz w:val="20"/>
                <w:szCs w:val="20"/>
                <w:color w:val="auto"/>
              </w:rPr>
              <w:t>8.4</w:t>
            </w:r>
          </w:p>
        </w:tc>
        <w:tc>
          <w:tcPr>
            <w:tcW w:w="8440" w:type="dxa"/>
            <w:vAlign w:val="bottom"/>
          </w:tcPr>
          <w:p>
            <w:pPr>
              <w:ind w:left="320"/>
              <w:spacing w:after="0"/>
              <w:rPr>
                <w:sz w:val="20"/>
                <w:szCs w:val="20"/>
                <w:color w:val="auto"/>
              </w:rPr>
            </w:pPr>
            <w:r>
              <w:rPr>
                <w:rFonts w:ascii="Arial" w:cs="Arial" w:eastAsia="Arial" w:hAnsi="Arial"/>
                <w:sz w:val="20"/>
                <w:szCs w:val="20"/>
                <w:b w:val="1"/>
                <w:bCs w:val="1"/>
                <w:i w:val="1"/>
                <w:iCs w:val="1"/>
                <w:color w:val="auto"/>
              </w:rPr>
              <w:t>Construction; Definitions</w:t>
            </w:r>
          </w:p>
        </w:tc>
        <w:tc>
          <w:tcPr>
            <w:tcW w:w="1420" w:type="dxa"/>
            <w:vAlign w:val="bottom"/>
          </w:tcPr>
          <w:p>
            <w:pPr>
              <w:jc w:val="right"/>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432"/>
        </w:trPr>
        <w:tc>
          <w:tcPr>
            <w:tcW w:w="9780" w:type="dxa"/>
            <w:vAlign w:val="bottom"/>
            <w:gridSpan w:val="2"/>
          </w:tcPr>
          <w:p>
            <w:pPr>
              <w:spacing w:after="0"/>
              <w:rPr>
                <w:sz w:val="20"/>
                <w:szCs w:val="20"/>
                <w:color w:val="auto"/>
              </w:rPr>
            </w:pPr>
            <w:r>
              <w:rPr>
                <w:rFonts w:ascii="Arial" w:cs="Arial" w:eastAsia="Arial" w:hAnsi="Arial"/>
                <w:sz w:val="20"/>
                <w:szCs w:val="20"/>
                <w:color w:val="auto"/>
              </w:rPr>
              <w:t>ARTICLE IX — AMENDMENTS</w:t>
            </w:r>
          </w:p>
        </w:tc>
        <w:tc>
          <w:tcPr>
            <w:tcW w:w="1420" w:type="dxa"/>
            <w:vAlign w:val="bottom"/>
          </w:tcPr>
          <w:p>
            <w:pPr>
              <w:jc w:val="right"/>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4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11200"/>
          </w:cols>
          <w:pgMar w:left="340" w:top="118" w:right="359" w:bottom="1440" w:gutter="0" w:footer="0" w:header="0"/>
          <w:type w:val="continuous"/>
        </w:sectPr>
      </w:pPr>
    </w:p>
    <w:bookmarkStart w:id="240" w:name="page241"/>
    <w:bookmarkEnd w:id="240"/>
    <w:p>
      <w:pPr>
        <w:jc w:val="center"/>
        <w:spacing w:after="0"/>
        <w:rPr>
          <w:sz w:val="20"/>
          <w:szCs w:val="20"/>
          <w:color w:val="auto"/>
        </w:rPr>
      </w:pPr>
      <w:r>
        <w:rPr>
          <w:rFonts w:ascii="Arial" w:cs="Arial" w:eastAsia="Arial" w:hAnsi="Arial"/>
          <w:sz w:val="20"/>
          <w:szCs w:val="20"/>
          <w:b w:val="1"/>
          <w:bCs w:val="1"/>
          <w:color w:val="auto"/>
        </w:rPr>
        <w:t>BYLAWS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 — MEETINGS OF STOCKHOLDERS</w:t>
      </w:r>
    </w:p>
    <w:p>
      <w:pPr>
        <w:spacing w:after="0" w:line="16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b w:val="1"/>
          <w:bCs w:val="1"/>
          <w:i w:val="1"/>
          <w:iCs w:val="1"/>
          <w:color w:val="auto"/>
        </w:rPr>
        <w:t>Place of Meetings</w:t>
      </w:r>
      <w:r>
        <w:rPr>
          <w:rFonts w:ascii="Arial" w:cs="Arial" w:eastAsia="Arial" w:hAnsi="Arial"/>
          <w:sz w:val="19"/>
          <w:szCs w:val="19"/>
          <w:color w:val="auto"/>
        </w:rPr>
        <w:t>. Meetings of stockholders of NerdWallet, Inc. (the “</w:t>
      </w:r>
      <w:r>
        <w:rPr>
          <w:rFonts w:ascii="Arial" w:cs="Arial" w:eastAsia="Arial" w:hAnsi="Arial"/>
          <w:sz w:val="19"/>
          <w:szCs w:val="19"/>
          <w:b w:val="1"/>
          <w:bCs w:val="1"/>
          <w:color w:val="auto"/>
        </w:rPr>
        <w:t>Company</w:t>
      </w:r>
      <w:r>
        <w:rPr>
          <w:rFonts w:ascii="Arial" w:cs="Arial" w:eastAsia="Arial" w:hAnsi="Arial"/>
          <w:sz w:val="19"/>
          <w:szCs w:val="19"/>
          <w:color w:val="auto"/>
        </w:rPr>
        <w:t>”) shall be held at any place, within or outside the State of Delaware, determined by the Company's board of directors (the “</w:t>
      </w:r>
      <w:r>
        <w:rPr>
          <w:rFonts w:ascii="Arial" w:cs="Arial" w:eastAsia="Arial" w:hAnsi="Arial"/>
          <w:sz w:val="19"/>
          <w:szCs w:val="19"/>
          <w:b w:val="1"/>
          <w:bCs w:val="1"/>
          <w:color w:val="auto"/>
        </w:rPr>
        <w:t>Board</w:t>
      </w:r>
      <w:r>
        <w:rPr>
          <w:rFonts w:ascii="Arial" w:cs="Arial" w:eastAsia="Arial" w:hAnsi="Arial"/>
          <w:sz w:val="19"/>
          <w:szCs w:val="19"/>
          <w:color w:val="auto"/>
        </w:rPr>
        <w:t>”). The Board may, in its sole discretion, determine that a meeting of stockholders shall not be held at any place, but may instead be held solely by means of remote communication as authorized by Section 211(a)(2) of the Delaware General Corporation Law (the “</w:t>
      </w:r>
      <w:r>
        <w:rPr>
          <w:rFonts w:ascii="Arial" w:cs="Arial" w:eastAsia="Arial" w:hAnsi="Arial"/>
          <w:sz w:val="19"/>
          <w:szCs w:val="19"/>
          <w:b w:val="1"/>
          <w:bCs w:val="1"/>
          <w:color w:val="auto"/>
        </w:rPr>
        <w:t>DGCL</w:t>
      </w:r>
      <w:r>
        <w:rPr>
          <w:rFonts w:ascii="Arial" w:cs="Arial" w:eastAsia="Arial" w:hAnsi="Arial"/>
          <w:sz w:val="19"/>
          <w:szCs w:val="19"/>
          <w:color w:val="auto"/>
        </w:rPr>
        <w:t>”). In the absence of any such designation or determination, stockholders' meetings shall be held at the Company's principal executive office.</w:t>
      </w:r>
    </w:p>
    <w:p>
      <w:pPr>
        <w:spacing w:after="0" w:line="12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i w:val="1"/>
          <w:iCs w:val="1"/>
          <w:color w:val="auto"/>
        </w:rPr>
        <w:t>Annual Meeting</w:t>
      </w:r>
      <w:r>
        <w:rPr>
          <w:rFonts w:ascii="Arial" w:cs="Arial" w:eastAsia="Arial" w:hAnsi="Arial"/>
          <w:sz w:val="18"/>
          <w:szCs w:val="18"/>
          <w:color w:val="auto"/>
        </w:rPr>
        <w:t xml:space="preserve">. An annual meeting of stockholders shall be held for the election of directors at such date and time as may be designated by resolution of the Board from time to time. Any other proper business may be transacted at the annual meeting. The Company shall not be required to hold an annual meeting of stockholders,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stockholders are permitted to act by written consent under the Company's certificate of incorporation and these bylaws, (ii) the stockholders take action by written consent to elect directors and</w:t>
      </w:r>
    </w:p>
    <w:p>
      <w:pPr>
        <w:spacing w:after="0" w:line="3" w:lineRule="exact"/>
        <w:rPr>
          <w:sz w:val="20"/>
          <w:szCs w:val="20"/>
          <w:color w:val="auto"/>
        </w:rPr>
      </w:pPr>
    </w:p>
    <w:p>
      <w:pPr>
        <w:ind w:firstLine="8"/>
        <w:spacing w:after="0" w:line="269" w:lineRule="auto"/>
        <w:tabs>
          <w:tab w:leader="none" w:pos="346" w:val="left"/>
        </w:tabs>
        <w:numPr>
          <w:ilvl w:val="0"/>
          <w:numId w:val="177"/>
        </w:numPr>
        <w:rPr>
          <w:rFonts w:ascii="Arial" w:cs="Arial" w:eastAsia="Arial" w:hAnsi="Arial"/>
          <w:sz w:val="19"/>
          <w:szCs w:val="19"/>
          <w:color w:val="auto"/>
        </w:rPr>
      </w:pPr>
      <w:r>
        <w:rPr>
          <w:rFonts w:ascii="Arial" w:cs="Arial" w:eastAsia="Arial" w:hAnsi="Arial"/>
          <w:sz w:val="19"/>
          <w:szCs w:val="19"/>
          <w:color w:val="auto"/>
        </w:rPr>
        <w:t>the stockholders unanimously consent to such action or, if such consent is less than unanimous, all of the directorships to which directors could be elected at an annual meeting held at the effective time of such action are vacant and are filled by such action.</w:t>
      </w:r>
    </w:p>
    <w:p>
      <w:pPr>
        <w:spacing w:after="0" w:line="1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1.3 </w:t>
      </w:r>
      <w:r>
        <w:rPr>
          <w:rFonts w:ascii="Arial" w:cs="Arial" w:eastAsia="Arial" w:hAnsi="Arial"/>
          <w:sz w:val="20"/>
          <w:szCs w:val="20"/>
          <w:b w:val="1"/>
          <w:bCs w:val="1"/>
          <w:i w:val="1"/>
          <w:iCs w:val="1"/>
          <w:color w:val="auto"/>
        </w:rPr>
        <w:t>Special Meeting</w:t>
      </w:r>
      <w:r>
        <w:rPr>
          <w:rFonts w:ascii="Arial" w:cs="Arial" w:eastAsia="Arial" w:hAnsi="Arial"/>
          <w:sz w:val="20"/>
          <w:szCs w:val="20"/>
          <w:color w:val="auto"/>
        </w:rPr>
        <w:t>. A special meeting of the stockholders may be called at any time by the Board, Chairperson of the Board, Chief Executive Officer or President (in the absence of a Chief Executive Officer) or by one or more stockholders holding shares in the aggregate entitled to cast not less than 10% of the votes at that meeting.</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any person(s) other than the Board calls a special meeting, the request shall:</w:t>
      </w:r>
    </w:p>
    <w:p>
      <w:pPr>
        <w:spacing w:after="0" w:line="162" w:lineRule="exact"/>
        <w:rPr>
          <w:sz w:val="20"/>
          <w:szCs w:val="20"/>
          <w:color w:val="auto"/>
        </w:rPr>
      </w:pPr>
    </w:p>
    <w:p>
      <w:pPr>
        <w:ind w:left="1680" w:hanging="376"/>
        <w:spacing w:after="0"/>
        <w:tabs>
          <w:tab w:leader="none" w:pos="168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be in writing;</w:t>
      </w:r>
    </w:p>
    <w:p>
      <w:pPr>
        <w:spacing w:after="0" w:line="161" w:lineRule="exact"/>
        <w:rPr>
          <w:rFonts w:ascii="Arial" w:cs="Arial" w:eastAsia="Arial" w:hAnsi="Arial"/>
          <w:sz w:val="20"/>
          <w:szCs w:val="20"/>
          <w:color w:val="auto"/>
        </w:rPr>
      </w:pPr>
    </w:p>
    <w:p>
      <w:pPr>
        <w:ind w:left="1740" w:hanging="436"/>
        <w:spacing w:after="0"/>
        <w:tabs>
          <w:tab w:leader="none" w:pos="174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specify the time of such meeting and the general nature of the business proposed to be transacted; and</w:t>
      </w:r>
    </w:p>
    <w:p>
      <w:pPr>
        <w:spacing w:after="0" w:line="161" w:lineRule="exact"/>
        <w:rPr>
          <w:rFonts w:ascii="Arial" w:cs="Arial" w:eastAsia="Arial" w:hAnsi="Arial"/>
          <w:sz w:val="20"/>
          <w:szCs w:val="20"/>
          <w:color w:val="auto"/>
        </w:rPr>
      </w:pPr>
    </w:p>
    <w:p>
      <w:pPr>
        <w:ind w:firstLine="1304"/>
        <w:spacing w:after="0" w:line="287" w:lineRule="auto"/>
        <w:tabs>
          <w:tab w:leader="none" w:pos="1853" w:val="left"/>
        </w:tabs>
        <w:numPr>
          <w:ilvl w:val="0"/>
          <w:numId w:val="178"/>
        </w:numPr>
        <w:rPr>
          <w:rFonts w:ascii="Arial" w:cs="Arial" w:eastAsia="Arial" w:hAnsi="Arial"/>
          <w:sz w:val="19"/>
          <w:szCs w:val="19"/>
          <w:color w:val="auto"/>
        </w:rPr>
      </w:pPr>
      <w:r>
        <w:rPr>
          <w:rFonts w:ascii="Arial" w:cs="Arial" w:eastAsia="Arial" w:hAnsi="Arial"/>
          <w:sz w:val="19"/>
          <w:szCs w:val="19"/>
          <w:color w:val="auto"/>
        </w:rPr>
        <w:t>be delivered personally or sent by registered mail or by facsimile transmission to the Chairperson of the Board, the Chief Executive Officer, the President (in the absence of a Chief Executive Officer) or the Secretary of the Company.</w:t>
      </w:r>
    </w:p>
    <w:p>
      <w:pPr>
        <w:spacing w:after="0" w:line="9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The officer(s) receiving the request shall cause notice to be promptly given to the stockholders entitled to vote at such meeting, in accordance with these bylaws, that a meeting will be held at the time requested by the person or persons calling the meeting. No business may be transacted at such special meeting other than the business specified in such notice to stockholders. Nothing contained in this paragraph of this </w:t>
      </w:r>
      <w:r>
        <w:rPr>
          <w:rFonts w:ascii="Arial" w:cs="Arial" w:eastAsia="Arial" w:hAnsi="Arial"/>
          <w:sz w:val="20"/>
          <w:szCs w:val="20"/>
          <w:b w:val="1"/>
          <w:bCs w:val="1"/>
          <w:color w:val="auto"/>
        </w:rPr>
        <w:t>section 1.3</w:t>
      </w:r>
      <w:r>
        <w:rPr>
          <w:rFonts w:ascii="Arial" w:cs="Arial" w:eastAsia="Arial" w:hAnsi="Arial"/>
          <w:sz w:val="20"/>
          <w:szCs w:val="20"/>
          <w:color w:val="auto"/>
        </w:rPr>
        <w:t xml:space="preserve"> shall be construed as limiting, fixing, or affecting the time when a meeting of stockholders called by action of the Board may be held.</w:t>
      </w:r>
    </w:p>
    <w:p>
      <w:pPr>
        <w:spacing w:after="0" w:line="14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1.4 </w:t>
      </w:r>
      <w:r>
        <w:rPr>
          <w:rFonts w:ascii="Arial" w:cs="Arial" w:eastAsia="Arial" w:hAnsi="Arial"/>
          <w:sz w:val="20"/>
          <w:szCs w:val="20"/>
          <w:b w:val="1"/>
          <w:bCs w:val="1"/>
          <w:i w:val="1"/>
          <w:iCs w:val="1"/>
          <w:color w:val="auto"/>
        </w:rPr>
        <w:t>Notice of Stockholders’ Meetings</w:t>
      </w:r>
      <w:r>
        <w:rPr>
          <w:rFonts w:ascii="Arial" w:cs="Arial" w:eastAsia="Arial" w:hAnsi="Arial"/>
          <w:sz w:val="20"/>
          <w:szCs w:val="20"/>
          <w:color w:val="auto"/>
        </w:rPr>
        <w:t>. Whenever stockholders are required or permitted to take any action at a meeting, a written notice of the meeting shall be given which shall state the place, if any, date and hour of the meeting, the means of remote communication, if any, by which stockholders and proxy holders may be deemed to be present in person and vote at such meeting, and, in the case of a special meeting, the purpose or purposes for which the meeting is called. Except as otherwise provided in the DGCL, the certificate of incorporation or these bylaws, the written notice of any meeting of</w:t>
      </w:r>
    </w:p>
    <w:p>
      <w:pPr>
        <w:sectPr>
          <w:pgSz w:w="11900" w:h="16838" w:orient="portrait"/>
          <w:cols w:equalWidth="0" w:num="1">
            <w:col w:w="11240"/>
          </w:cols>
          <w:pgMar w:left="320" w:top="1413" w:right="339" w:bottom="1440" w:gutter="0" w:footer="0" w:header="0"/>
        </w:sectPr>
      </w:pPr>
    </w:p>
    <w:bookmarkStart w:id="241" w:name="page242"/>
    <w:bookmarkEnd w:id="241"/>
    <w:p>
      <w:pPr>
        <w:jc w:val="both"/>
        <w:ind w:right="20"/>
        <w:spacing w:after="0" w:line="260" w:lineRule="auto"/>
        <w:rPr>
          <w:sz w:val="20"/>
          <w:szCs w:val="20"/>
          <w:color w:val="auto"/>
        </w:rPr>
      </w:pPr>
      <w:r>
        <w:rPr>
          <w:rFonts w:ascii="Arial" w:cs="Arial" w:eastAsia="Arial" w:hAnsi="Arial"/>
          <w:sz w:val="20"/>
          <w:szCs w:val="20"/>
          <w:color w:val="auto"/>
        </w:rPr>
        <w:t>stockholders shall be given not less than 10 nor more than 60 days before the date of the meeting to each stockholder entitled to vote at such meeting.</w:t>
      </w:r>
    </w:p>
    <w:p>
      <w:pPr>
        <w:spacing w:after="0" w:line="1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1.5 </w:t>
      </w:r>
      <w:r>
        <w:rPr>
          <w:rFonts w:ascii="Arial" w:cs="Arial" w:eastAsia="Arial" w:hAnsi="Arial"/>
          <w:sz w:val="19"/>
          <w:szCs w:val="19"/>
          <w:b w:val="1"/>
          <w:bCs w:val="1"/>
          <w:i w:val="1"/>
          <w:iCs w:val="1"/>
          <w:color w:val="auto"/>
        </w:rPr>
        <w:t>Quorum</w:t>
      </w:r>
      <w:r>
        <w:rPr>
          <w:rFonts w:ascii="Arial" w:cs="Arial" w:eastAsia="Arial" w:hAnsi="Arial"/>
          <w:sz w:val="19"/>
          <w:szCs w:val="19"/>
          <w:color w:val="auto"/>
        </w:rPr>
        <w:t>. Except as otherwise provided by law, the certificate of incorporation or these bylaws, at each meeting of stockholders the presence in person or by proxy of the holders of shares of stock having a majority of the votes which could be cast by the holders of all outstanding shares of stock entitled to vote at the meeting shall be necessary and sufficient to constitute a quorum. Where a separate vote by a class or series or classes or series is required, a majority of the outstanding shares of such class or series or classes or series, present in person or represented by proxy, shall constitute a quorum entitled to take action with respect to that vote on that matter, except as otherwise provided by law, the certificate of incorporation or these bylaws.</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If, however, such quorum is not present or represented at any meeting of the stockholders, then either (i) the chairperson of the meeting, or (ii) the stockholders entitled to vote at the meeting, present in person or represented by proxy, shall have the power to adjourn the meeting from time to time, in the manner provided in </w:t>
      </w:r>
      <w:r>
        <w:rPr>
          <w:rFonts w:ascii="Arial" w:cs="Arial" w:eastAsia="Arial" w:hAnsi="Arial"/>
          <w:sz w:val="19"/>
          <w:szCs w:val="19"/>
          <w:b w:val="1"/>
          <w:bCs w:val="1"/>
          <w:color w:val="auto"/>
        </w:rPr>
        <w:t>section 1.6</w:t>
      </w:r>
      <w:r>
        <w:rPr>
          <w:rFonts w:ascii="Arial" w:cs="Arial" w:eastAsia="Arial" w:hAnsi="Arial"/>
          <w:sz w:val="19"/>
          <w:szCs w:val="19"/>
          <w:color w:val="auto"/>
        </w:rPr>
        <w:t>, until a quorum is present or represented.</w:t>
      </w:r>
    </w:p>
    <w:p>
      <w:pPr>
        <w:spacing w:after="0" w:line="1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1.6 </w:t>
      </w:r>
      <w:r>
        <w:rPr>
          <w:rFonts w:ascii="Arial" w:cs="Arial" w:eastAsia="Arial" w:hAnsi="Arial"/>
          <w:sz w:val="20"/>
          <w:szCs w:val="20"/>
          <w:b w:val="1"/>
          <w:bCs w:val="1"/>
          <w:i w:val="1"/>
          <w:iCs w:val="1"/>
          <w:color w:val="auto"/>
        </w:rPr>
        <w:t>Adjourned Meeting; Notice</w:t>
      </w:r>
      <w:r>
        <w:rPr>
          <w:rFonts w:ascii="Arial" w:cs="Arial" w:eastAsia="Arial" w:hAnsi="Arial"/>
          <w:sz w:val="20"/>
          <w:szCs w:val="20"/>
          <w:color w:val="auto"/>
        </w:rPr>
        <w:t>. Any meeting of stockholders, annual or special, may adjourn from time to time to reconvene at the same or some other place, and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Company may transact any business which might have been transacted at the original meeting. If the adjournment is for more than 30 days, or if after the adjournment a new record date is fixed for the adjourned meeting, a notice of the adjourned meeting shall be given to each stockholder of record entitled to vote at the meeting.</w:t>
      </w:r>
    </w:p>
    <w:p>
      <w:pPr>
        <w:spacing w:after="0" w:line="13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b w:val="1"/>
          <w:bCs w:val="1"/>
          <w:i w:val="1"/>
          <w:iCs w:val="1"/>
          <w:color w:val="auto"/>
        </w:rPr>
        <w:t>Conduct of Business.</w:t>
      </w:r>
      <w:r>
        <w:rPr>
          <w:rFonts w:ascii="Arial" w:cs="Arial" w:eastAsia="Arial" w:hAnsi="Arial"/>
          <w:sz w:val="18"/>
          <w:szCs w:val="18"/>
          <w:color w:val="auto"/>
        </w:rPr>
        <w:t xml:space="preserve"> Meetings of stockholders shall be presided over by the Chairperson of the Board, if any, or in his or her absence by the Vice Chairperson of the Board, if any, or in the absence of the foregoing persons by the Chief Executive Officer, or in the absence of the foregoing persons by the President, or in the absence of the foregoing persons by a Vice President, or in the absence of the foregoing persons by a chairperson designated by the Board, or in the absence of such designation by a chairperson chosen at the meeting. The Secretary shall act as secretary of the meeting, but in his or her absence the chairperson of the meeting may appoint any person to act as secretary of the meeting. The chairperson of any meeting of stockholders shall determine the order of business and the procedure at the meeting, including such regulation of the manner of voting and the conduct of business.</w:t>
      </w:r>
    </w:p>
    <w:p>
      <w:pPr>
        <w:spacing w:after="0" w:line="1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1.8 </w:t>
      </w:r>
      <w:r>
        <w:rPr>
          <w:rFonts w:ascii="Arial" w:cs="Arial" w:eastAsia="Arial" w:hAnsi="Arial"/>
          <w:sz w:val="20"/>
          <w:szCs w:val="20"/>
          <w:b w:val="1"/>
          <w:bCs w:val="1"/>
          <w:i w:val="1"/>
          <w:iCs w:val="1"/>
          <w:color w:val="auto"/>
        </w:rPr>
        <w:t>Voting</w:t>
      </w:r>
      <w:r>
        <w:rPr>
          <w:rFonts w:ascii="Arial" w:cs="Arial" w:eastAsia="Arial" w:hAnsi="Arial"/>
          <w:sz w:val="20"/>
          <w:szCs w:val="20"/>
          <w:color w:val="auto"/>
        </w:rPr>
        <w:t xml:space="preserve">. The stockholders entitled to vote at any meeting of stockholders shall be determined in accordance with the provisions of </w:t>
      </w:r>
      <w:r>
        <w:rPr>
          <w:rFonts w:ascii="Arial" w:cs="Arial" w:eastAsia="Arial" w:hAnsi="Arial"/>
          <w:sz w:val="20"/>
          <w:szCs w:val="20"/>
          <w:b w:val="1"/>
          <w:bCs w:val="1"/>
          <w:color w:val="auto"/>
        </w:rPr>
        <w:t>section 1.10</w:t>
      </w:r>
      <w:r>
        <w:rPr>
          <w:rFonts w:ascii="Arial" w:cs="Arial" w:eastAsia="Arial" w:hAnsi="Arial"/>
          <w:sz w:val="20"/>
          <w:szCs w:val="20"/>
          <w:color w:val="auto"/>
        </w:rPr>
        <w:t xml:space="preserve"> of these bylaws, subject to Section 217 (relating to voting rights of fiduciaries, pledgors and joint owners of stock) and Section 218 (relating to voting trusts and other voting agreements) of the DGCL.</w:t>
      </w:r>
    </w:p>
    <w:p>
      <w:pPr>
        <w:spacing w:after="0" w:line="13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Except as may be otherwise provided in the certificate of incorporation, each stockholder entitled to vote at any meeting of stockholders shall be entitled to one vote for each share of capital stock held by such stockholder which has voting power upon the matter in question. Voting at meetings of stockholders need not be by written ballot and, unless otherwise required by law, need not be conducted by inspectors of election unless so determined by the holders of shares of stock having a majority of the votes which could be cast by the holders of all outstanding shares of stock entitled to vote thereon which are present in person or by proxy at such meeting. If authorized by the Board, such requirement of a written ballot shall be satisfied by a ballot submitted by electronic transmission (as defined in </w:t>
      </w:r>
      <w:r>
        <w:rPr>
          <w:rFonts w:ascii="Arial" w:cs="Arial" w:eastAsia="Arial" w:hAnsi="Arial"/>
          <w:sz w:val="18"/>
          <w:szCs w:val="18"/>
          <w:b w:val="1"/>
          <w:bCs w:val="1"/>
          <w:color w:val="auto"/>
        </w:rPr>
        <w:t>section 7.2</w:t>
      </w:r>
      <w:r>
        <w:rPr>
          <w:rFonts w:ascii="Arial" w:cs="Arial" w:eastAsia="Arial" w:hAnsi="Arial"/>
          <w:sz w:val="18"/>
          <w:szCs w:val="18"/>
          <w:color w:val="auto"/>
        </w:rPr>
        <w:t xml:space="preserve"> of these bylaws),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electronic transmission must either set forth or be submitted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- 2 -</w:t>
      </w:r>
    </w:p>
    <w:p>
      <w:pPr>
        <w:sectPr>
          <w:pgSz w:w="11900" w:h="16838" w:orient="portrait"/>
          <w:cols w:equalWidth="0" w:num="1">
            <w:col w:w="11240"/>
          </w:cols>
          <w:pgMar w:left="320" w:top="1419" w:right="339" w:bottom="1440" w:gutter="0" w:footer="0" w:header="0"/>
        </w:sectPr>
      </w:pPr>
    </w:p>
    <w:bookmarkStart w:id="242" w:name="page243"/>
    <w:bookmarkEnd w:id="242"/>
    <w:p>
      <w:pPr>
        <w:spacing w:after="0"/>
        <w:rPr>
          <w:sz w:val="20"/>
          <w:szCs w:val="20"/>
          <w:color w:val="auto"/>
        </w:rPr>
      </w:pPr>
      <w:r>
        <w:rPr>
          <w:rFonts w:ascii="Arial" w:cs="Arial" w:eastAsia="Arial" w:hAnsi="Arial"/>
          <w:sz w:val="20"/>
          <w:szCs w:val="20"/>
          <w:color w:val="auto"/>
        </w:rPr>
        <w:t>information from which it can be determined that the electronic transmission was authorized by the stockholder or proxy holder.</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Except as otherwise required by law, the certificate of incorporation or these bylaws,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certificate of incorporation or these bylaws, directors shall be elected by a plurality of the voting power of the shares present in person or represented by proxy at the meeting and entitled to vote on the election of directors. Where a separate vote by a class or series or classes or series is required, in all matters other than the election of directors, the affirmative vote of the majority of shares of such class or series or classes or series present in person or represented by proxy at the meeting shall be the act of such class or series or classes or series, except as otherwise provided by law, the certificate of incorporation or these bylaws.</w:t>
      </w:r>
    </w:p>
    <w:p>
      <w:pPr>
        <w:spacing w:after="0" w:line="12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1.9 </w:t>
      </w:r>
      <w:r>
        <w:rPr>
          <w:rFonts w:ascii="Arial" w:cs="Arial" w:eastAsia="Arial" w:hAnsi="Arial"/>
          <w:sz w:val="20"/>
          <w:szCs w:val="20"/>
          <w:b w:val="1"/>
          <w:bCs w:val="1"/>
          <w:i w:val="1"/>
          <w:iCs w:val="1"/>
          <w:color w:val="auto"/>
        </w:rPr>
        <w:t>Stockholder Action by Written Consent Without a Meeting</w:t>
      </w:r>
      <w:r>
        <w:rPr>
          <w:rFonts w:ascii="Arial" w:cs="Arial" w:eastAsia="Arial" w:hAnsi="Arial"/>
          <w:sz w:val="20"/>
          <w:szCs w:val="20"/>
          <w:color w:val="auto"/>
        </w:rPr>
        <w:t>. Unless otherwise provided in the certificate of incorporation, any action required by the DGCL to be taken at any annual or special meeting of stockholders of a corporation, or any action which may be taken at any annual or special meeting of such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w:t>
      </w:r>
    </w:p>
    <w:p>
      <w:pPr>
        <w:spacing w:after="0" w:line="13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 xml:space="preserve">An electronic transmission (as defined in </w:t>
      </w:r>
      <w:r>
        <w:rPr>
          <w:rFonts w:ascii="Arial" w:cs="Arial" w:eastAsia="Arial" w:hAnsi="Arial"/>
          <w:sz w:val="20"/>
          <w:szCs w:val="20"/>
          <w:b w:val="1"/>
          <w:bCs w:val="1"/>
          <w:color w:val="auto"/>
        </w:rPr>
        <w:t>section 7.2</w:t>
      </w:r>
      <w:r>
        <w:rPr>
          <w:rFonts w:ascii="Arial" w:cs="Arial" w:eastAsia="Arial" w:hAnsi="Arial"/>
          <w:sz w:val="20"/>
          <w:szCs w:val="20"/>
          <w:color w:val="auto"/>
        </w:rPr>
        <w:t xml:space="preserve">) consenting to an action to be taken and transmitted by a stockholder or proxy holder, or by a person or persons authorized to act for a stockholder or proxy holder, shall be deemed to be written, signed and dated for purposes of this section,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any such electronic transmission sets forth or is delivered with information from which the Company can determine (i) that the electronic transmission was transmitted by the stockholder or proxy holder or by a person or persons authorized to act for the stockholder or proxy holder and (ii) the date on which such stockholder or proxy holder or authorized person or persons transmitted such electronic transmission.</w:t>
      </w:r>
    </w:p>
    <w:p>
      <w:pPr>
        <w:spacing w:after="0" w:line="13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the event that the Board shall have instructed the officers of the Company to solicit the vote or written consent of the stockholders of the Company, an electronic transmission of a stockholder written consent given pursuant to such solicitation may be delivered to the Secretary or the President of the Company or to a person designated by the Secretary or the President. The Secretary or the President of the Company or a designee of the Secretary or the President shall cause any such written consent by electronic transmission to be reproduced in paper form and inserted into the corporate records.</w:t>
      </w:r>
    </w:p>
    <w:p>
      <w:pPr>
        <w:spacing w:after="0" w:line="14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Prompt notice of the taking of the corporate action without a meeting by less than unanimous written consent shall be given to those stockholders who have not consented in writing and who, if the action had been taken at a meeting, would have been entitled to notice of the meeting if the record date for such meeting had been the date that written consents signed by a sufficient number of holders to take the action were delivered to the Company as provided in Section 228 of the DGCL. In the event that the action which is consented to is such as would have required the filing of a certificate under any provision of the DGCL, if such action had been voted on by stockholders at a meeting thereof, the certificate filed under such provision shall state, in lieu of any statement required by such provision concerning any vote of stockholders, that written consent has been given in accordance with Section 228 of the DGCL.</w:t>
      </w:r>
    </w:p>
    <w:p>
      <w:pPr>
        <w:spacing w:after="0" w:line="1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1.10 </w:t>
      </w:r>
      <w:r>
        <w:rPr>
          <w:rFonts w:ascii="Arial" w:cs="Arial" w:eastAsia="Arial" w:hAnsi="Arial"/>
          <w:sz w:val="20"/>
          <w:szCs w:val="20"/>
          <w:b w:val="1"/>
          <w:bCs w:val="1"/>
          <w:i w:val="1"/>
          <w:iCs w:val="1"/>
          <w:color w:val="auto"/>
        </w:rPr>
        <w:t>Record Date for Stockholder Notice; Voting; Giving Consents</w:t>
      </w:r>
      <w:r>
        <w:rPr>
          <w:rFonts w:ascii="Arial" w:cs="Arial" w:eastAsia="Arial" w:hAnsi="Arial"/>
          <w:sz w:val="20"/>
          <w:szCs w:val="20"/>
          <w:color w:val="auto"/>
        </w:rPr>
        <w:t>. In order that the Company may determine the stockholders entitled to notice of or to vote at any meeting of stockholders or any adjournment thereof, or entitled to express consent to corporate action in writing without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- 3 -</w:t>
      </w:r>
    </w:p>
    <w:p>
      <w:pPr>
        <w:sectPr>
          <w:pgSz w:w="11900" w:h="16838" w:orient="portrait"/>
          <w:cols w:equalWidth="0" w:num="1">
            <w:col w:w="11240"/>
          </w:cols>
          <w:pgMar w:left="320" w:top="1419" w:right="339" w:bottom="1440" w:gutter="0" w:footer="0" w:header="0"/>
        </w:sectPr>
      </w:pPr>
    </w:p>
    <w:bookmarkStart w:id="243" w:name="page244"/>
    <w:bookmarkEnd w:id="243"/>
    <w:p>
      <w:pPr>
        <w:jc w:val="both"/>
        <w:spacing w:after="0" w:line="291" w:lineRule="auto"/>
        <w:rPr>
          <w:sz w:val="20"/>
          <w:szCs w:val="20"/>
          <w:color w:val="auto"/>
        </w:rPr>
      </w:pPr>
      <w:r>
        <w:rPr>
          <w:rFonts w:ascii="Arial" w:cs="Arial" w:eastAsia="Arial" w:hAnsi="Arial"/>
          <w:sz w:val="18"/>
          <w:szCs w:val="18"/>
          <w:color w:val="auto"/>
        </w:rPr>
        <w:t>meeting, or entitled to receive payment of any dividend or other distribution or allotment of any rights, or entitled to exercise any rights in respect of any change, conversion or exchange of stock or for the purpose of any other lawful action, the Board may fix a record date, which record date shall not precede the date upon which the resolution fixing the record date is adopted by the Board and which record date:</w:t>
      </w:r>
    </w:p>
    <w:p>
      <w:pPr>
        <w:spacing w:after="0" w:line="98" w:lineRule="exact"/>
        <w:rPr>
          <w:sz w:val="20"/>
          <w:szCs w:val="20"/>
          <w:color w:val="auto"/>
        </w:rPr>
      </w:pPr>
    </w:p>
    <w:p>
      <w:pPr>
        <w:ind w:right="20" w:firstLine="1304"/>
        <w:spacing w:after="0" w:line="316" w:lineRule="auto"/>
        <w:tabs>
          <w:tab w:leader="none" w:pos="184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in the case of determination of stockholders entitled to notice of or to vote at any meeting of stockholders or adjournment thereof, shall, unless otherwise required by law, not be more than sixty nor less than ten days before the date of such meeting;</w:t>
      </w:r>
    </w:p>
    <w:p>
      <w:pPr>
        <w:spacing w:after="0" w:line="75" w:lineRule="exact"/>
        <w:rPr>
          <w:rFonts w:ascii="Arial" w:cs="Arial" w:eastAsia="Arial" w:hAnsi="Arial"/>
          <w:sz w:val="18"/>
          <w:szCs w:val="18"/>
          <w:color w:val="auto"/>
        </w:rPr>
      </w:pPr>
    </w:p>
    <w:p>
      <w:pPr>
        <w:ind w:firstLine="1304"/>
        <w:spacing w:after="0" w:line="287" w:lineRule="auto"/>
        <w:tabs>
          <w:tab w:leader="none" w:pos="1736" w:val="left"/>
        </w:tabs>
        <w:numPr>
          <w:ilvl w:val="0"/>
          <w:numId w:val="179"/>
        </w:numPr>
        <w:rPr>
          <w:rFonts w:ascii="Arial" w:cs="Arial" w:eastAsia="Arial" w:hAnsi="Arial"/>
          <w:sz w:val="19"/>
          <w:szCs w:val="19"/>
          <w:color w:val="auto"/>
        </w:rPr>
      </w:pPr>
      <w:r>
        <w:rPr>
          <w:rFonts w:ascii="Arial" w:cs="Arial" w:eastAsia="Arial" w:hAnsi="Arial"/>
          <w:sz w:val="19"/>
          <w:szCs w:val="19"/>
          <w:color w:val="auto"/>
        </w:rPr>
        <w:t>in the case of determination of stockholders entitled to express consent to corporate action in writing without a meeting, shall not be more than ten days after the date upon which the resolution fixing the record date is adopted by the Board; and</w:t>
      </w:r>
    </w:p>
    <w:p>
      <w:pPr>
        <w:spacing w:after="0" w:line="98" w:lineRule="exact"/>
        <w:rPr>
          <w:rFonts w:ascii="Arial" w:cs="Arial" w:eastAsia="Arial" w:hAnsi="Arial"/>
          <w:sz w:val="19"/>
          <w:szCs w:val="19"/>
          <w:color w:val="auto"/>
        </w:rPr>
      </w:pPr>
    </w:p>
    <w:p>
      <w:pPr>
        <w:ind w:left="1860" w:hanging="556"/>
        <w:spacing w:after="0"/>
        <w:tabs>
          <w:tab w:leader="none" w:pos="18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in the case of determination of stockholders for any other action, shall not be more than 60 days prior to such other</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action.</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no record date is fixed by the Board:</w:t>
      </w:r>
    </w:p>
    <w:p>
      <w:pPr>
        <w:spacing w:after="0" w:line="162" w:lineRule="exact"/>
        <w:rPr>
          <w:sz w:val="20"/>
          <w:szCs w:val="20"/>
          <w:color w:val="auto"/>
        </w:rPr>
      </w:pPr>
    </w:p>
    <w:p>
      <w:pPr>
        <w:jc w:val="both"/>
        <w:ind w:firstLine="1304"/>
        <w:spacing w:after="0" w:line="250" w:lineRule="auto"/>
        <w:tabs>
          <w:tab w:leader="none" w:pos="1708" w:val="left"/>
        </w:tabs>
        <w:numPr>
          <w:ilvl w:val="0"/>
          <w:numId w:val="180"/>
        </w:numPr>
        <w:rPr>
          <w:rFonts w:ascii="Arial" w:cs="Arial" w:eastAsia="Arial" w:hAnsi="Arial"/>
          <w:sz w:val="20"/>
          <w:szCs w:val="20"/>
          <w:color w:val="auto"/>
        </w:rPr>
      </w:pPr>
      <w:r>
        <w:rPr>
          <w:rFonts w:ascii="Arial" w:cs="Arial" w:eastAsia="Arial" w:hAnsi="Arial"/>
          <w:sz w:val="20"/>
          <w:szCs w:val="20"/>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31" w:lineRule="exact"/>
        <w:rPr>
          <w:rFonts w:ascii="Arial" w:cs="Arial" w:eastAsia="Arial" w:hAnsi="Arial"/>
          <w:sz w:val="20"/>
          <w:szCs w:val="20"/>
          <w:color w:val="auto"/>
        </w:rPr>
      </w:pPr>
    </w:p>
    <w:p>
      <w:pPr>
        <w:jc w:val="both"/>
        <w:ind w:firstLine="1304"/>
        <w:spacing w:after="0" w:line="263" w:lineRule="auto"/>
        <w:tabs>
          <w:tab w:leader="none" w:pos="1736" w:val="left"/>
        </w:tabs>
        <w:numPr>
          <w:ilvl w:val="0"/>
          <w:numId w:val="180"/>
        </w:numPr>
        <w:rPr>
          <w:rFonts w:ascii="Arial" w:cs="Arial" w:eastAsia="Arial" w:hAnsi="Arial"/>
          <w:sz w:val="19"/>
          <w:szCs w:val="19"/>
          <w:color w:val="auto"/>
        </w:rPr>
      </w:pPr>
      <w:r>
        <w:rPr>
          <w:rFonts w:ascii="Arial" w:cs="Arial" w:eastAsia="Arial" w:hAnsi="Arial"/>
          <w:sz w:val="19"/>
          <w:szCs w:val="19"/>
          <w:color w:val="auto"/>
        </w:rPr>
        <w:t>the record date for determining stockholders entitled to express consent to corporate action in writing without a meeting when no prior action of the Board is required by law, shall be the first date on which a signed written consent setting forth the action taken or proposed to be taken is delivered to the Company in accordance with applicable law, or, if prior action by the Board is required by law, shall be at the close of business on the day on which the Board adopts the resolution taking such prior action; and</w:t>
      </w:r>
    </w:p>
    <w:p>
      <w:pPr>
        <w:spacing w:after="0" w:line="122" w:lineRule="exact"/>
        <w:rPr>
          <w:rFonts w:ascii="Arial" w:cs="Arial" w:eastAsia="Arial" w:hAnsi="Arial"/>
          <w:sz w:val="19"/>
          <w:szCs w:val="19"/>
          <w:color w:val="auto"/>
        </w:rPr>
      </w:pPr>
    </w:p>
    <w:p>
      <w:pPr>
        <w:ind w:firstLine="1304"/>
        <w:spacing w:after="0" w:line="260" w:lineRule="auto"/>
        <w:tabs>
          <w:tab w:leader="none" w:pos="1875" w:val="left"/>
        </w:tabs>
        <w:numPr>
          <w:ilvl w:val="0"/>
          <w:numId w:val="180"/>
        </w:numPr>
        <w:rPr>
          <w:rFonts w:ascii="Arial" w:cs="Arial" w:eastAsia="Arial" w:hAnsi="Arial"/>
          <w:sz w:val="20"/>
          <w:szCs w:val="20"/>
          <w:color w:val="auto"/>
        </w:rPr>
      </w:pPr>
      <w:r>
        <w:rPr>
          <w:rFonts w:ascii="Arial" w:cs="Arial" w:eastAsia="Arial" w:hAnsi="Arial"/>
          <w:sz w:val="20"/>
          <w:szCs w:val="20"/>
          <w:color w:val="auto"/>
        </w:rPr>
        <w:t>the record date for determining stockholders for any other purpose shall be at the close of business on the day on which the Board adopts the resolution relating thereto.</w:t>
      </w:r>
    </w:p>
    <w:p>
      <w:pPr>
        <w:spacing w:after="0" w:line="12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A determination of stockholders of record entitled to notice of or to vote at a meeting of stockholders shall apply to any adjournment of the meeting,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Board may fix a new record date for the adjourned meeting.</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b w:val="1"/>
          <w:bCs w:val="1"/>
          <w:i w:val="1"/>
          <w:iCs w:val="1"/>
          <w:color w:val="auto"/>
        </w:rPr>
        <w:t>Proxies</w:t>
      </w:r>
      <w:r>
        <w:rPr>
          <w:rFonts w:ascii="Arial" w:cs="Arial" w:eastAsia="Arial" w:hAnsi="Arial"/>
          <w:sz w:val="19"/>
          <w:szCs w:val="19"/>
          <w:color w:val="auto"/>
        </w:rPr>
        <w:t>. Each stockholder entitled to vote at a meeting of stockholders or to express consent or dissent to corporate action in writing without a meeting may authorize another person or persons to act for such stockholder by proxy authorized by an instrument in writing or by a transmission permitted by law filed in accordance with the procedure established for the meeting, but no such proxy shall be voted or acted upon after three years from its date, unless the proxy provides for a longer period. The revocability of a proxy that states on its face that it is irrevocable shall be governed by the provisions of Section 212 of the DGCL.</w:t>
      </w:r>
    </w:p>
    <w:p>
      <w:pPr>
        <w:spacing w:after="0" w:line="12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1.12 </w:t>
      </w:r>
      <w:r>
        <w:rPr>
          <w:rFonts w:ascii="Arial" w:cs="Arial" w:eastAsia="Arial" w:hAnsi="Arial"/>
          <w:sz w:val="20"/>
          <w:szCs w:val="20"/>
          <w:b w:val="1"/>
          <w:bCs w:val="1"/>
          <w:i w:val="1"/>
          <w:iCs w:val="1"/>
          <w:color w:val="auto"/>
        </w:rPr>
        <w:t>List of Stockholders Entitled to Vote</w:t>
      </w:r>
      <w:r>
        <w:rPr>
          <w:rFonts w:ascii="Arial" w:cs="Arial" w:eastAsia="Arial" w:hAnsi="Arial"/>
          <w:sz w:val="20"/>
          <w:szCs w:val="20"/>
          <w:color w:val="auto"/>
        </w:rPr>
        <w:t>. The officer who has charge of the stock ledger of the Company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The Company shall not be required to include electronic mail addresses or other electronic contact information on such list. Such list shall be open to the examination of any stockholder, for any purpose germane to the meeting for a period of at least ten days prior to the meeting: (i) on a reasonably accessible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- 4 -</w:t>
      </w:r>
    </w:p>
    <w:p>
      <w:pPr>
        <w:sectPr>
          <w:pgSz w:w="11900" w:h="16838" w:orient="portrait"/>
          <w:cols w:equalWidth="0" w:num="1">
            <w:col w:w="11240"/>
          </w:cols>
          <w:pgMar w:left="320" w:top="1419" w:right="339" w:bottom="1440" w:gutter="0" w:footer="0" w:header="0"/>
        </w:sectPr>
      </w:pPr>
    </w:p>
    <w:bookmarkStart w:id="244" w:name="page245"/>
    <w:bookmarkEnd w:id="244"/>
    <w:p>
      <w:pPr>
        <w:jc w:val="both"/>
        <w:spacing w:after="0" w:line="274" w:lineRule="auto"/>
        <w:rPr>
          <w:sz w:val="20"/>
          <w:szCs w:val="20"/>
          <w:color w:val="auto"/>
        </w:rPr>
      </w:pPr>
      <w:r>
        <w:rPr>
          <w:rFonts w:ascii="Arial" w:cs="Arial" w:eastAsia="Arial" w:hAnsi="Arial"/>
          <w:sz w:val="18"/>
          <w:szCs w:val="18"/>
          <w:color w:val="auto"/>
        </w:rPr>
        <w:t xml:space="preserve">electronic network,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information required to gain access to such list is provided with the notice of the meeting, or (ii) during ordinary business hours, at the Company's principal place of business. In the event that the Company determines to make the list available on an electronic network, the Company may take reasonable steps to ensure that such information is available only to stockholders of the Company. If the meeting is to be held at a place, then the list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 — DIRECTORS</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b w:val="1"/>
          <w:bCs w:val="1"/>
          <w:i w:val="1"/>
          <w:iCs w:val="1"/>
          <w:color w:val="auto"/>
        </w:rPr>
        <w:t>Powers</w:t>
      </w:r>
      <w:r>
        <w:rPr>
          <w:rFonts w:ascii="Arial" w:cs="Arial" w:eastAsia="Arial" w:hAnsi="Arial"/>
          <w:sz w:val="20"/>
          <w:szCs w:val="20"/>
          <w:color w:val="auto"/>
        </w:rPr>
        <w:t>. The business and affairs of the Company shall be managed by or under the direction of the Board, except as may be otherwise provided in the DGCL or the certificate of incorporation.</w:t>
      </w:r>
    </w:p>
    <w:p>
      <w:pPr>
        <w:spacing w:after="0" w:line="1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b w:val="1"/>
          <w:bCs w:val="1"/>
          <w:i w:val="1"/>
          <w:iCs w:val="1"/>
          <w:color w:val="auto"/>
        </w:rPr>
        <w:t>Number of Directors</w:t>
      </w:r>
      <w:r>
        <w:rPr>
          <w:rFonts w:ascii="Arial" w:cs="Arial" w:eastAsia="Arial" w:hAnsi="Arial"/>
          <w:sz w:val="20"/>
          <w:szCs w:val="20"/>
          <w:color w:val="auto"/>
        </w:rPr>
        <w:t>. The Board shall consist of one or more members, each of whom shall be a natural person. Unless the certificate of incorporation fixes the number of directors, the number of directors shall be determined from time to time by resolution of the Board. No reduction of the authorized number of directors shall have the effect of removing any director before that director's term of office expires .</w:t>
      </w:r>
    </w:p>
    <w:p>
      <w:pPr>
        <w:spacing w:after="0" w:line="13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2.3 </w:t>
      </w:r>
      <w:r>
        <w:rPr>
          <w:rFonts w:ascii="Arial" w:cs="Arial" w:eastAsia="Arial" w:hAnsi="Arial"/>
          <w:sz w:val="20"/>
          <w:szCs w:val="20"/>
          <w:b w:val="1"/>
          <w:bCs w:val="1"/>
          <w:i w:val="1"/>
          <w:iCs w:val="1"/>
          <w:color w:val="auto"/>
        </w:rPr>
        <w:t>Election, Qualification and Term of Office of Directors</w:t>
      </w:r>
      <w:r>
        <w:rPr>
          <w:rFonts w:ascii="Arial" w:cs="Arial" w:eastAsia="Arial" w:hAnsi="Arial"/>
          <w:sz w:val="20"/>
          <w:szCs w:val="20"/>
          <w:color w:val="auto"/>
        </w:rPr>
        <w:t xml:space="preserve">. Except as provided in </w:t>
      </w:r>
      <w:r>
        <w:rPr>
          <w:rFonts w:ascii="Arial" w:cs="Arial" w:eastAsia="Arial" w:hAnsi="Arial"/>
          <w:sz w:val="20"/>
          <w:szCs w:val="20"/>
          <w:b w:val="1"/>
          <w:bCs w:val="1"/>
          <w:color w:val="auto"/>
        </w:rPr>
        <w:t>section 2.4</w:t>
      </w:r>
      <w:r>
        <w:rPr>
          <w:rFonts w:ascii="Arial" w:cs="Arial" w:eastAsia="Arial" w:hAnsi="Arial"/>
          <w:sz w:val="20"/>
          <w:szCs w:val="20"/>
          <w:color w:val="auto"/>
        </w:rPr>
        <w:t xml:space="preserve"> of these bylaws, and subject to </w:t>
      </w:r>
      <w:r>
        <w:rPr>
          <w:rFonts w:ascii="Arial" w:cs="Arial" w:eastAsia="Arial" w:hAnsi="Arial"/>
          <w:sz w:val="20"/>
          <w:szCs w:val="20"/>
          <w:b w:val="1"/>
          <w:bCs w:val="1"/>
          <w:color w:val="auto"/>
        </w:rPr>
        <w:t xml:space="preserve">sections 1.2 </w:t>
      </w:r>
      <w:r>
        <w:rPr>
          <w:rFonts w:ascii="Arial" w:cs="Arial" w:eastAsia="Arial" w:hAnsi="Arial"/>
          <w:sz w:val="20"/>
          <w:szCs w:val="20"/>
          <w:color w:val="auto"/>
        </w:rPr>
        <w:t>and</w:t>
      </w:r>
      <w:r>
        <w:rPr>
          <w:rFonts w:ascii="Arial" w:cs="Arial" w:eastAsia="Arial" w:hAnsi="Arial"/>
          <w:sz w:val="20"/>
          <w:szCs w:val="20"/>
          <w:b w:val="1"/>
          <w:bCs w:val="1"/>
          <w:color w:val="auto"/>
        </w:rPr>
        <w:t xml:space="preserve"> 1.9 </w:t>
      </w:r>
      <w:r>
        <w:rPr>
          <w:rFonts w:ascii="Arial" w:cs="Arial" w:eastAsia="Arial" w:hAnsi="Arial"/>
          <w:sz w:val="20"/>
          <w:szCs w:val="20"/>
          <w:color w:val="auto"/>
        </w:rPr>
        <w:t>of these bylaws, directors shall be elected at each annual meeting of stockholders. Directors need not be stockholders</w:t>
      </w:r>
      <w:r>
        <w:rPr>
          <w:rFonts w:ascii="Arial" w:cs="Arial" w:eastAsia="Arial" w:hAnsi="Arial"/>
          <w:sz w:val="20"/>
          <w:szCs w:val="20"/>
          <w:b w:val="1"/>
          <w:bCs w:val="1"/>
          <w:color w:val="auto"/>
        </w:rPr>
        <w:t xml:space="preserve"> </w:t>
      </w:r>
      <w:r>
        <w:rPr>
          <w:rFonts w:ascii="Arial" w:cs="Arial" w:eastAsia="Arial" w:hAnsi="Arial"/>
          <w:sz w:val="20"/>
          <w:szCs w:val="20"/>
          <w:color w:val="auto"/>
        </w:rPr>
        <w:t>unless so required by the certificate of incorporation or these bylaws. The certificate of incorporation or these bylaws may prescribe other qualifications for directors. Each director shall hold office until such director's successor is elected and qualified or until such director's earlier death, resignation or removal.</w:t>
      </w:r>
    </w:p>
    <w:p>
      <w:pPr>
        <w:spacing w:after="0" w:line="1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b w:val="1"/>
          <w:bCs w:val="1"/>
          <w:i w:val="1"/>
          <w:iCs w:val="1"/>
          <w:color w:val="auto"/>
        </w:rPr>
        <w:t>Resignation and Vacancies</w:t>
      </w:r>
      <w:r>
        <w:rPr>
          <w:rFonts w:ascii="Arial" w:cs="Arial" w:eastAsia="Arial" w:hAnsi="Arial"/>
          <w:sz w:val="19"/>
          <w:szCs w:val="19"/>
          <w:color w:val="auto"/>
        </w:rPr>
        <w:t>. Any director may resign at any time upon notice given in writing or by electronic transmission to the Company.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Unless otherwise provided in the certificate of incorporation or these bylaws:</w:t>
      </w:r>
    </w:p>
    <w:p>
      <w:pPr>
        <w:spacing w:after="0" w:line="162" w:lineRule="exact"/>
        <w:rPr>
          <w:sz w:val="20"/>
          <w:szCs w:val="20"/>
          <w:color w:val="auto"/>
        </w:rPr>
      </w:pPr>
    </w:p>
    <w:p>
      <w:pPr>
        <w:jc w:val="both"/>
        <w:ind w:firstLine="1304"/>
        <w:spacing w:after="0" w:line="250" w:lineRule="auto"/>
        <w:tabs>
          <w:tab w:leader="none" w:pos="1699" w:val="left"/>
        </w:tabs>
        <w:numPr>
          <w:ilvl w:val="0"/>
          <w:numId w:val="181"/>
        </w:numPr>
        <w:rPr>
          <w:rFonts w:ascii="Arial" w:cs="Arial" w:eastAsia="Arial" w:hAnsi="Arial"/>
          <w:sz w:val="20"/>
          <w:szCs w:val="20"/>
          <w:color w:val="auto"/>
        </w:rPr>
      </w:pPr>
      <w:r>
        <w:rPr>
          <w:rFonts w:ascii="Arial" w:cs="Arial" w:eastAsia="Arial" w:hAnsi="Arial"/>
          <w:sz w:val="20"/>
          <w:szCs w:val="20"/>
          <w:color w:val="auto"/>
        </w:rPr>
        <w:t>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w:t>
      </w:r>
    </w:p>
    <w:p>
      <w:pPr>
        <w:spacing w:after="0" w:line="131" w:lineRule="exact"/>
        <w:rPr>
          <w:rFonts w:ascii="Arial" w:cs="Arial" w:eastAsia="Arial" w:hAnsi="Arial"/>
          <w:sz w:val="20"/>
          <w:szCs w:val="20"/>
          <w:color w:val="auto"/>
        </w:rPr>
      </w:pPr>
    </w:p>
    <w:p>
      <w:pPr>
        <w:jc w:val="both"/>
        <w:ind w:firstLine="1304"/>
        <w:spacing w:after="0" w:line="291" w:lineRule="auto"/>
        <w:tabs>
          <w:tab w:leader="none" w:pos="174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Whenever the holders of any class or classes of stock or series thereof are entitled to elect one or more directors by the provisions of the certificate of incorporation, vacancies and newly created directorships of such class or classes or series may be filled by a majority of the directors elected by such class or classes or series thereof then in office, or by a sole remaining director so elected.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4" w:lineRule="exact"/>
        <w:rPr>
          <w:rFonts w:ascii="Arial" w:cs="Arial" w:eastAsia="Arial" w:hAnsi="Arial"/>
          <w:sz w:val="18"/>
          <w:szCs w:val="18"/>
          <w:color w:val="auto"/>
        </w:rPr>
      </w:pPr>
    </w:p>
    <w:p>
      <w:pPr>
        <w:ind w:left="5580" w:hanging="121"/>
        <w:spacing w:after="0"/>
        <w:tabs>
          <w:tab w:leader="none" w:pos="5580" w:val="left"/>
        </w:tabs>
        <w:numPr>
          <w:ilvl w:val="1"/>
          <w:numId w:val="181"/>
        </w:numPr>
        <w:rPr>
          <w:rFonts w:ascii="Arial" w:cs="Arial" w:eastAsia="Arial" w:hAnsi="Arial"/>
          <w:sz w:val="20"/>
          <w:szCs w:val="20"/>
          <w:color w:val="auto"/>
        </w:rPr>
      </w:pPr>
      <w:r>
        <w:rPr>
          <w:rFonts w:ascii="Arial" w:cs="Arial" w:eastAsia="Arial" w:hAnsi="Arial"/>
          <w:sz w:val="20"/>
          <w:szCs w:val="20"/>
          <w:color w:val="auto"/>
        </w:rPr>
        <w:t>5 -</w:t>
      </w:r>
    </w:p>
    <w:p>
      <w:pPr>
        <w:sectPr>
          <w:pgSz w:w="11900" w:h="16838" w:orient="portrait"/>
          <w:cols w:equalWidth="0" w:num="1">
            <w:col w:w="11240"/>
          </w:cols>
          <w:pgMar w:left="320" w:top="1419" w:right="339" w:bottom="1440" w:gutter="0" w:footer="0" w:header="0"/>
        </w:sectPr>
      </w:pPr>
    </w:p>
    <w:bookmarkStart w:id="245" w:name="page246"/>
    <w:bookmarkEnd w:id="245"/>
    <w:p>
      <w:pPr>
        <w:jc w:val="both"/>
        <w:ind w:firstLine="648"/>
        <w:spacing w:after="0" w:line="244" w:lineRule="auto"/>
        <w:rPr>
          <w:sz w:val="20"/>
          <w:szCs w:val="20"/>
          <w:color w:val="auto"/>
        </w:rPr>
      </w:pPr>
      <w:r>
        <w:rPr>
          <w:rFonts w:ascii="Arial" w:cs="Arial" w:eastAsia="Arial" w:hAnsi="Arial"/>
          <w:sz w:val="20"/>
          <w:szCs w:val="20"/>
          <w:color w:val="auto"/>
        </w:rPr>
        <w:t>If at any time, by reason of death or resignation or other cause, the Company should have no directors in office, then any officer or any stockholder or an executor, administrator, trustee or guardian of a stockholder, or other fiduciary entrusted with like responsibility for the person or estate of a stockholder, may call a special meeting of stockholders in accordance with the provisions of the certificate of incorporation or these bylaws, or may apply to the Court of Chancery for a decree summarily ordering an election as provided in Section 211 of the DGCL.</w:t>
      </w:r>
    </w:p>
    <w:p>
      <w:pPr>
        <w:spacing w:after="0" w:line="14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If, at the time of filling any vacancy or any newly created directorship, the directors then in office constitute less than a majority of the whole Board (as constituted immediately prior to any such increase), the Court of Chancery may, upon application of any stockholder or stockholders holding at least 10% of the voting stock at the time outstanding having the right to vote for such directors, summarily order an election to be held to fill any such vacancies or newly created directorships, or to replace the directors chosen by the directors then in office as aforesaid, which election shall be governed by the provisions of Section 211 of the DGCL as far as applicable.</w:t>
      </w:r>
    </w:p>
    <w:p>
      <w:pPr>
        <w:spacing w:after="0" w:line="11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 director elected to fill a vacancy shall be elected for the unexpired term of his or her predecessor in office and until such director's successor is elected and qualified, or until such director's earlier death, resignation or removal.</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2.5 </w:t>
      </w:r>
      <w:r>
        <w:rPr>
          <w:rFonts w:ascii="Arial" w:cs="Arial" w:eastAsia="Arial" w:hAnsi="Arial"/>
          <w:sz w:val="20"/>
          <w:szCs w:val="20"/>
          <w:b w:val="1"/>
          <w:bCs w:val="1"/>
          <w:i w:val="1"/>
          <w:iCs w:val="1"/>
          <w:color w:val="auto"/>
        </w:rPr>
        <w:t>Place of Meetings; Meetings by Telephone</w:t>
      </w:r>
      <w:r>
        <w:rPr>
          <w:rFonts w:ascii="Arial" w:cs="Arial" w:eastAsia="Arial" w:hAnsi="Arial"/>
          <w:sz w:val="20"/>
          <w:szCs w:val="20"/>
          <w:color w:val="auto"/>
        </w:rPr>
        <w:t>. The Board may hold meetings, both regular and special, either within or outside the State of Delaware.</w:t>
      </w:r>
    </w:p>
    <w:p>
      <w:pPr>
        <w:spacing w:after="0" w:line="1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shall constitute presence in person at the meeting.</w:t>
      </w:r>
    </w:p>
    <w:p>
      <w:pPr>
        <w:spacing w:after="0" w:line="1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b w:val="1"/>
          <w:bCs w:val="1"/>
          <w:i w:val="1"/>
          <w:iCs w:val="1"/>
          <w:color w:val="auto"/>
        </w:rPr>
        <w:t>Conduct of Business</w:t>
      </w:r>
      <w:r>
        <w:rPr>
          <w:rFonts w:ascii="Arial" w:cs="Arial" w:eastAsia="Arial" w:hAnsi="Arial"/>
          <w:sz w:val="19"/>
          <w:szCs w:val="19"/>
          <w:color w:val="auto"/>
        </w:rPr>
        <w:t>. Meetings of the Board shall be presided over by the Chairperson of the Board, if any, or in his or her absence by the Vice Chairperson of the Board, if any, or in the absence of the foregoing persons by a chairperson designated by the Board, or. in the absence of such designation by a chairperson chosen at the meeting. The Secretary shall act as secretary of the meeting, but in his or her absence the chairperson of the meeting may appoint any person to act as secretary of the meeting.</w:t>
      </w:r>
    </w:p>
    <w:p>
      <w:pPr>
        <w:spacing w:after="0" w:line="12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2.7 </w:t>
      </w:r>
      <w:r>
        <w:rPr>
          <w:rFonts w:ascii="Arial" w:cs="Arial" w:eastAsia="Arial" w:hAnsi="Arial"/>
          <w:sz w:val="20"/>
          <w:szCs w:val="20"/>
          <w:b w:val="1"/>
          <w:bCs w:val="1"/>
          <w:i w:val="1"/>
          <w:iCs w:val="1"/>
          <w:color w:val="auto"/>
        </w:rPr>
        <w:t>Regular Meetings</w:t>
      </w:r>
      <w:r>
        <w:rPr>
          <w:rFonts w:ascii="Arial" w:cs="Arial" w:eastAsia="Arial" w:hAnsi="Arial"/>
          <w:sz w:val="20"/>
          <w:szCs w:val="20"/>
          <w:color w:val="auto"/>
        </w:rPr>
        <w:t>. Regular meetings of the Board may be held without notice at such time and at such place as shall from time to time be determined by the Board.</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2.8 </w:t>
      </w:r>
      <w:r>
        <w:rPr>
          <w:rFonts w:ascii="Arial" w:cs="Arial" w:eastAsia="Arial" w:hAnsi="Arial"/>
          <w:sz w:val="20"/>
          <w:szCs w:val="20"/>
          <w:b w:val="1"/>
          <w:bCs w:val="1"/>
          <w:i w:val="1"/>
          <w:iCs w:val="1"/>
          <w:color w:val="auto"/>
        </w:rPr>
        <w:t>Special Meetings; Notice</w:t>
      </w:r>
      <w:r>
        <w:rPr>
          <w:rFonts w:ascii="Arial" w:cs="Arial" w:eastAsia="Arial" w:hAnsi="Arial"/>
          <w:sz w:val="20"/>
          <w:szCs w:val="20"/>
          <w:color w:val="auto"/>
        </w:rPr>
        <w:t>. Special meetings of the Board for any purpose or purposes may be called at any time by the Chairperson of the Board, the Chief Executive Officer, the President, the Secretary or any two directors.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Notice of the time and place of special meetings shall be:</w:t>
      </w:r>
    </w:p>
    <w:p>
      <w:pPr>
        <w:spacing w:after="0" w:line="162" w:lineRule="exact"/>
        <w:rPr>
          <w:sz w:val="20"/>
          <w:szCs w:val="20"/>
          <w:color w:val="auto"/>
        </w:rPr>
      </w:pPr>
    </w:p>
    <w:p>
      <w:pPr>
        <w:ind w:left="1680" w:hanging="376"/>
        <w:spacing w:after="0"/>
        <w:tabs>
          <w:tab w:leader="none" w:pos="168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delivered personally by hand, by courier or by telephone;</w:t>
      </w:r>
    </w:p>
    <w:p>
      <w:pPr>
        <w:spacing w:after="0" w:line="161" w:lineRule="exact"/>
        <w:rPr>
          <w:rFonts w:ascii="Arial" w:cs="Arial" w:eastAsia="Arial" w:hAnsi="Arial"/>
          <w:sz w:val="20"/>
          <w:szCs w:val="20"/>
          <w:color w:val="auto"/>
        </w:rPr>
      </w:pPr>
    </w:p>
    <w:p>
      <w:pPr>
        <w:ind w:left="1740" w:hanging="436"/>
        <w:spacing w:after="0"/>
        <w:tabs>
          <w:tab w:leader="none" w:pos="174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sent by United States first-class mail, postage prepaid;</w:t>
      </w:r>
    </w:p>
    <w:p>
      <w:pPr>
        <w:spacing w:after="0" w:line="161" w:lineRule="exact"/>
        <w:rPr>
          <w:rFonts w:ascii="Arial" w:cs="Arial" w:eastAsia="Arial" w:hAnsi="Arial"/>
          <w:sz w:val="20"/>
          <w:szCs w:val="20"/>
          <w:color w:val="auto"/>
        </w:rPr>
      </w:pPr>
    </w:p>
    <w:p>
      <w:pPr>
        <w:ind w:left="1800" w:hanging="496"/>
        <w:spacing w:after="0"/>
        <w:tabs>
          <w:tab w:leader="none" w:pos="180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sent by facsimile; or</w:t>
      </w:r>
    </w:p>
    <w:p>
      <w:pPr>
        <w:spacing w:after="0" w:line="161" w:lineRule="exact"/>
        <w:rPr>
          <w:rFonts w:ascii="Arial" w:cs="Arial" w:eastAsia="Arial" w:hAnsi="Arial"/>
          <w:sz w:val="20"/>
          <w:szCs w:val="20"/>
          <w:color w:val="auto"/>
        </w:rPr>
      </w:pPr>
    </w:p>
    <w:p>
      <w:pPr>
        <w:ind w:left="1780" w:hanging="476"/>
        <w:spacing w:after="0"/>
        <w:tabs>
          <w:tab w:leader="none" w:pos="178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sent by electronic mail,</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8" w:lineRule="exact"/>
        <w:rPr>
          <w:rFonts w:ascii="Arial" w:cs="Arial" w:eastAsia="Arial" w:hAnsi="Arial"/>
          <w:sz w:val="20"/>
          <w:szCs w:val="20"/>
          <w:color w:val="auto"/>
        </w:rPr>
      </w:pPr>
    </w:p>
    <w:p>
      <w:pPr>
        <w:ind w:left="5580" w:hanging="121"/>
        <w:spacing w:after="0"/>
        <w:tabs>
          <w:tab w:leader="none" w:pos="5580" w:val="left"/>
        </w:tabs>
        <w:numPr>
          <w:ilvl w:val="1"/>
          <w:numId w:val="182"/>
        </w:numPr>
        <w:rPr>
          <w:rFonts w:ascii="Arial" w:cs="Arial" w:eastAsia="Arial" w:hAnsi="Arial"/>
          <w:sz w:val="20"/>
          <w:szCs w:val="20"/>
          <w:color w:val="auto"/>
        </w:rPr>
      </w:pPr>
      <w:r>
        <w:rPr>
          <w:rFonts w:ascii="Arial" w:cs="Arial" w:eastAsia="Arial" w:hAnsi="Arial"/>
          <w:sz w:val="20"/>
          <w:szCs w:val="20"/>
          <w:color w:val="auto"/>
        </w:rPr>
        <w:t>6 -</w:t>
      </w:r>
    </w:p>
    <w:p>
      <w:pPr>
        <w:sectPr>
          <w:pgSz w:w="11900" w:h="16838" w:orient="portrait"/>
          <w:cols w:equalWidth="0" w:num="1">
            <w:col w:w="11240"/>
          </w:cols>
          <w:pgMar w:left="320" w:top="1419" w:right="339" w:bottom="1440" w:gutter="0" w:footer="0" w:header="0"/>
        </w:sectPr>
      </w:pPr>
    </w:p>
    <w:bookmarkStart w:id="246" w:name="page247"/>
    <w:bookmarkEnd w:id="246"/>
    <w:p>
      <w:pPr>
        <w:jc w:val="both"/>
        <w:ind w:right="20"/>
        <w:spacing w:after="0" w:line="260" w:lineRule="auto"/>
        <w:rPr>
          <w:sz w:val="20"/>
          <w:szCs w:val="20"/>
          <w:color w:val="auto"/>
        </w:rPr>
      </w:pPr>
      <w:r>
        <w:rPr>
          <w:rFonts w:ascii="Arial" w:cs="Arial" w:eastAsia="Arial" w:hAnsi="Arial"/>
          <w:sz w:val="20"/>
          <w:szCs w:val="20"/>
          <w:color w:val="auto"/>
        </w:rPr>
        <w:t>directed to each director at that director's address, telephone number, facsimile number or electronic mail address, as the case may be, as shown on the Company's records.</w:t>
      </w:r>
    </w:p>
    <w:p>
      <w:pPr>
        <w:spacing w:after="0" w:line="12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If the notice is (i) delivered personally by hand, by courier or by telephone, (ii) sent by facsimile or (iii) sent by electronic mail, it shall be delivered or sent at least 24 hours before the time of the holding of the meeting. If the notice is sent by United States mail, it shall be deposited in the United States mail at least four days before the time of the holding of the meeting. Any oral notice may be communicated to the director. The notice need not specify the place of the meeting (if the meeting is to be held at the Company's principal executive office) nor the purpose of the meeting.</w:t>
      </w:r>
    </w:p>
    <w:p>
      <w:pPr>
        <w:spacing w:after="0" w:line="14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2.9 </w:t>
      </w:r>
      <w:r>
        <w:rPr>
          <w:rFonts w:ascii="Arial" w:cs="Arial" w:eastAsia="Arial" w:hAnsi="Arial"/>
          <w:sz w:val="20"/>
          <w:szCs w:val="20"/>
          <w:b w:val="1"/>
          <w:bCs w:val="1"/>
          <w:i w:val="1"/>
          <w:iCs w:val="1"/>
          <w:color w:val="auto"/>
        </w:rPr>
        <w:t>Quorum; Voting</w:t>
      </w:r>
      <w:r>
        <w:rPr>
          <w:rFonts w:ascii="Arial" w:cs="Arial" w:eastAsia="Arial" w:hAnsi="Arial"/>
          <w:sz w:val="20"/>
          <w:szCs w:val="20"/>
          <w:color w:val="auto"/>
        </w:rPr>
        <w:t>. At all meetings of the Board, a majority of the total authorized number of directors shall constitute a quorum for the transaction of business. If a quorum is not present at any meeting of the Board, then the directors present thereat may adjourn the meeting from time to time, without notice other than announcement at the meeting, until a quorum is present. A meeting at which a quorum is initially present may continue to transact business notwithstanding the withdrawal of directors, if any action taken is approved by at least a majority of the required quorum for that meeting.</w:t>
      </w:r>
    </w:p>
    <w:p>
      <w:pPr>
        <w:spacing w:after="0" w:line="14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vote of a majority of the directors present at any meeting at which a quorum is present shall be the act of the Board, except as may be otherwise specifically provided by statute, the certificate of incorporation or these bylaws.</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If the certificate of incorporation provides that one or more directors shall have more or less than one vote per director on any matter, every reference in these bylaws to a majority or other proportion of the directors shall refer to a majority or other proportion of the votes of the directors.</w:t>
      </w:r>
    </w:p>
    <w:p>
      <w:pPr>
        <w:spacing w:after="0" w:line="13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2.10 </w:t>
      </w:r>
      <w:r>
        <w:rPr>
          <w:rFonts w:ascii="Arial" w:cs="Arial" w:eastAsia="Arial" w:hAnsi="Arial"/>
          <w:sz w:val="20"/>
          <w:szCs w:val="20"/>
          <w:b w:val="1"/>
          <w:bCs w:val="1"/>
          <w:i w:val="1"/>
          <w:iCs w:val="1"/>
          <w:color w:val="auto"/>
        </w:rPr>
        <w:t>Board Action by Written Consent Without a Meeting</w:t>
      </w:r>
      <w:r>
        <w:rPr>
          <w:rFonts w:ascii="Arial" w:cs="Arial" w:eastAsia="Arial" w:hAnsi="Arial"/>
          <w:sz w:val="20"/>
          <w:szCs w:val="20"/>
          <w:color w:val="auto"/>
        </w:rPr>
        <w:t>. 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4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2.11 </w:t>
      </w:r>
      <w:r>
        <w:rPr>
          <w:rFonts w:ascii="Arial" w:cs="Arial" w:eastAsia="Arial" w:hAnsi="Arial"/>
          <w:sz w:val="20"/>
          <w:szCs w:val="20"/>
          <w:b w:val="1"/>
          <w:bCs w:val="1"/>
          <w:i w:val="1"/>
          <w:iCs w:val="1"/>
          <w:color w:val="auto"/>
        </w:rPr>
        <w:t>Fees and Compensation of Directors</w:t>
      </w:r>
      <w:r>
        <w:rPr>
          <w:rFonts w:ascii="Arial" w:cs="Arial" w:eastAsia="Arial" w:hAnsi="Arial"/>
          <w:sz w:val="20"/>
          <w:szCs w:val="20"/>
          <w:color w:val="auto"/>
        </w:rPr>
        <w:t>. Unless otherwise restricted by the certificate of incorporation or these bylaws, the Board shall have the authority to fix the compensation of directors.</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2.12 </w:t>
      </w:r>
      <w:r>
        <w:rPr>
          <w:rFonts w:ascii="Arial" w:cs="Arial" w:eastAsia="Arial" w:hAnsi="Arial"/>
          <w:sz w:val="20"/>
          <w:szCs w:val="20"/>
          <w:b w:val="1"/>
          <w:bCs w:val="1"/>
          <w:i w:val="1"/>
          <w:iCs w:val="1"/>
          <w:color w:val="auto"/>
        </w:rPr>
        <w:t>Removal of Directors</w:t>
      </w:r>
      <w:r>
        <w:rPr>
          <w:rFonts w:ascii="Arial" w:cs="Arial" w:eastAsia="Arial" w:hAnsi="Arial"/>
          <w:sz w:val="20"/>
          <w:szCs w:val="20"/>
          <w:color w:val="auto"/>
        </w:rPr>
        <w:t>. Unless otherwise restricted by statute, the certificate of incorporation or these bylaws, any director or the entire Board may be removed, with or without cause, by the holders of a majority of the shares then entitled to vote at an election of directors.</w:t>
      </w:r>
    </w:p>
    <w:p>
      <w:pPr>
        <w:spacing w:after="0" w:line="13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No reduction of the authorized number of directors shall have the effect of removing any director prior to the expiration of such director's term of office.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 — COMMITTEES</w:t>
      </w:r>
    </w:p>
    <w:p>
      <w:pPr>
        <w:spacing w:after="0" w:line="16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b w:val="1"/>
          <w:bCs w:val="1"/>
          <w:i w:val="1"/>
          <w:iCs w:val="1"/>
          <w:color w:val="auto"/>
        </w:rPr>
        <w:t>Committees of Directors</w:t>
      </w:r>
      <w:r>
        <w:rPr>
          <w:rFonts w:ascii="Arial" w:cs="Arial" w:eastAsia="Arial" w:hAnsi="Arial"/>
          <w:sz w:val="20"/>
          <w:szCs w:val="20"/>
          <w:color w:val="auto"/>
        </w:rPr>
        <w:t>. The Board may designate one or more committees, each committee to consist of one or more of the directors of the Company. The Board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- 7 -</w:t>
      </w:r>
    </w:p>
    <w:p>
      <w:pPr>
        <w:sectPr>
          <w:pgSz w:w="11900" w:h="16838" w:orient="portrait"/>
          <w:cols w:equalWidth="0" w:num="1">
            <w:col w:w="11240"/>
          </w:cols>
          <w:pgMar w:left="320" w:top="1419" w:right="339" w:bottom="1440" w:gutter="0" w:footer="0" w:header="0"/>
        </w:sectPr>
      </w:pPr>
    </w:p>
    <w:bookmarkStart w:id="247" w:name="page248"/>
    <w:bookmarkEnd w:id="247"/>
    <w:p>
      <w:pPr>
        <w:jc w:val="both"/>
        <w:spacing w:after="0" w:line="243" w:lineRule="auto"/>
        <w:rPr>
          <w:sz w:val="20"/>
          <w:szCs w:val="20"/>
          <w:color w:val="auto"/>
        </w:rPr>
      </w:pPr>
      <w:r>
        <w:rPr>
          <w:rFonts w:ascii="Arial" w:cs="Arial" w:eastAsia="Arial" w:hAnsi="Arial"/>
          <w:sz w:val="20"/>
          <w:szCs w:val="20"/>
          <w:color w:val="auto"/>
        </w:rPr>
        <w:t>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Company, and may authorize the seal of the Company to be affixed to all papers that may require it; but no such committee shall have the power or authority to (i) approve or adopt, or recommend to the stockholders, any action or matter (other than the election or removal of directors) expressly required by the DGCL to be submitted to stockholders for approval, or (ii) adopt, amend or repeal any bylaw of the Company.</w:t>
      </w:r>
    </w:p>
    <w:p>
      <w:pPr>
        <w:spacing w:after="0" w:line="14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3.2 </w:t>
      </w:r>
      <w:r>
        <w:rPr>
          <w:rFonts w:ascii="Arial" w:cs="Arial" w:eastAsia="Arial" w:hAnsi="Arial"/>
          <w:sz w:val="20"/>
          <w:szCs w:val="20"/>
          <w:b w:val="1"/>
          <w:bCs w:val="1"/>
          <w:i w:val="1"/>
          <w:iCs w:val="1"/>
          <w:color w:val="auto"/>
        </w:rPr>
        <w:t>Committee Minutes</w:t>
      </w:r>
      <w:r>
        <w:rPr>
          <w:rFonts w:ascii="Arial" w:cs="Arial" w:eastAsia="Arial" w:hAnsi="Arial"/>
          <w:sz w:val="20"/>
          <w:szCs w:val="20"/>
          <w:color w:val="auto"/>
        </w:rPr>
        <w:t>. Each committee shall keep regular minutes of its meetings and report the same to the Board when required.</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3.3 </w:t>
      </w:r>
      <w:r>
        <w:rPr>
          <w:rFonts w:ascii="Arial" w:cs="Arial" w:eastAsia="Arial" w:hAnsi="Arial"/>
          <w:sz w:val="20"/>
          <w:szCs w:val="20"/>
          <w:b w:val="1"/>
          <w:bCs w:val="1"/>
          <w:i w:val="1"/>
          <w:iCs w:val="1"/>
          <w:color w:val="auto"/>
        </w:rPr>
        <w:t>Meetings and Actions of Committees</w:t>
      </w:r>
      <w:r>
        <w:rPr>
          <w:rFonts w:ascii="Arial" w:cs="Arial" w:eastAsia="Arial" w:hAnsi="Arial"/>
          <w:sz w:val="20"/>
          <w:szCs w:val="20"/>
          <w:color w:val="auto"/>
        </w:rPr>
        <w:t>. Meetings and actions of committees shall be governed by, and held and taken in accordance with, the provisions of:</w:t>
      </w:r>
    </w:p>
    <w:p>
      <w:pPr>
        <w:spacing w:after="0" w:line="117" w:lineRule="exact"/>
        <w:rPr>
          <w:sz w:val="20"/>
          <w:szCs w:val="20"/>
          <w:color w:val="auto"/>
        </w:rPr>
      </w:pPr>
    </w:p>
    <w:p>
      <w:pPr>
        <w:ind w:left="1680" w:hanging="376"/>
        <w:spacing w:after="0"/>
        <w:tabs>
          <w:tab w:leader="none" w:pos="1680" w:val="left"/>
        </w:tabs>
        <w:numPr>
          <w:ilvl w:val="0"/>
          <w:numId w:val="183"/>
        </w:numPr>
        <w:rPr>
          <w:rFonts w:ascii="Arial" w:cs="Arial" w:eastAsia="Arial" w:hAnsi="Arial"/>
          <w:sz w:val="20"/>
          <w:szCs w:val="20"/>
          <w:color w:val="auto"/>
        </w:rPr>
      </w:pPr>
      <w:r>
        <w:rPr>
          <w:rFonts w:ascii="Arial" w:cs="Arial" w:eastAsia="Arial" w:hAnsi="Arial"/>
          <w:sz w:val="20"/>
          <w:szCs w:val="20"/>
          <w:b w:val="1"/>
          <w:bCs w:val="1"/>
          <w:color w:val="auto"/>
        </w:rPr>
        <w:t xml:space="preserve">section 2.5 </w:t>
      </w:r>
      <w:r>
        <w:rPr>
          <w:rFonts w:ascii="Arial" w:cs="Arial" w:eastAsia="Arial" w:hAnsi="Arial"/>
          <w:sz w:val="20"/>
          <w:szCs w:val="20"/>
          <w:color w:val="auto"/>
        </w:rPr>
        <w:t>(Place of Meetings; Meetings by Telephone);</w:t>
      </w:r>
    </w:p>
    <w:p>
      <w:pPr>
        <w:spacing w:after="0" w:line="161" w:lineRule="exact"/>
        <w:rPr>
          <w:rFonts w:ascii="Arial" w:cs="Arial" w:eastAsia="Arial" w:hAnsi="Arial"/>
          <w:sz w:val="20"/>
          <w:szCs w:val="20"/>
          <w:color w:val="auto"/>
        </w:rPr>
      </w:pPr>
    </w:p>
    <w:p>
      <w:pPr>
        <w:ind w:left="1740" w:hanging="436"/>
        <w:spacing w:after="0"/>
        <w:tabs>
          <w:tab w:leader="none" w:pos="1740" w:val="left"/>
        </w:tabs>
        <w:numPr>
          <w:ilvl w:val="0"/>
          <w:numId w:val="183"/>
        </w:numPr>
        <w:rPr>
          <w:rFonts w:ascii="Arial" w:cs="Arial" w:eastAsia="Arial" w:hAnsi="Arial"/>
          <w:sz w:val="20"/>
          <w:szCs w:val="20"/>
          <w:color w:val="auto"/>
        </w:rPr>
      </w:pPr>
      <w:r>
        <w:rPr>
          <w:rFonts w:ascii="Arial" w:cs="Arial" w:eastAsia="Arial" w:hAnsi="Arial"/>
          <w:sz w:val="20"/>
          <w:szCs w:val="20"/>
          <w:b w:val="1"/>
          <w:bCs w:val="1"/>
          <w:color w:val="auto"/>
        </w:rPr>
        <w:t xml:space="preserve">section 2.7 </w:t>
      </w:r>
      <w:r>
        <w:rPr>
          <w:rFonts w:ascii="Arial" w:cs="Arial" w:eastAsia="Arial" w:hAnsi="Arial"/>
          <w:sz w:val="20"/>
          <w:szCs w:val="20"/>
          <w:color w:val="auto"/>
        </w:rPr>
        <w:t>(Regular Meetings);</w:t>
      </w:r>
    </w:p>
    <w:p>
      <w:pPr>
        <w:spacing w:after="0" w:line="161" w:lineRule="exact"/>
        <w:rPr>
          <w:rFonts w:ascii="Arial" w:cs="Arial" w:eastAsia="Arial" w:hAnsi="Arial"/>
          <w:sz w:val="20"/>
          <w:szCs w:val="20"/>
          <w:color w:val="auto"/>
        </w:rPr>
      </w:pPr>
    </w:p>
    <w:p>
      <w:pPr>
        <w:ind w:left="1800" w:hanging="496"/>
        <w:spacing w:after="0"/>
        <w:tabs>
          <w:tab w:leader="none" w:pos="1800" w:val="left"/>
        </w:tabs>
        <w:numPr>
          <w:ilvl w:val="0"/>
          <w:numId w:val="183"/>
        </w:numPr>
        <w:rPr>
          <w:rFonts w:ascii="Arial" w:cs="Arial" w:eastAsia="Arial" w:hAnsi="Arial"/>
          <w:sz w:val="20"/>
          <w:szCs w:val="20"/>
          <w:color w:val="auto"/>
        </w:rPr>
      </w:pPr>
      <w:r>
        <w:rPr>
          <w:rFonts w:ascii="Arial" w:cs="Arial" w:eastAsia="Arial" w:hAnsi="Arial"/>
          <w:sz w:val="20"/>
          <w:szCs w:val="20"/>
          <w:b w:val="1"/>
          <w:bCs w:val="1"/>
          <w:color w:val="auto"/>
        </w:rPr>
        <w:t xml:space="preserve">section 2.8 </w:t>
      </w:r>
      <w:r>
        <w:rPr>
          <w:rFonts w:ascii="Arial" w:cs="Arial" w:eastAsia="Arial" w:hAnsi="Arial"/>
          <w:sz w:val="20"/>
          <w:szCs w:val="20"/>
          <w:color w:val="auto"/>
        </w:rPr>
        <w:t>(Special Meetings; Notice);</w:t>
      </w:r>
    </w:p>
    <w:p>
      <w:pPr>
        <w:spacing w:after="0" w:line="161" w:lineRule="exact"/>
        <w:rPr>
          <w:rFonts w:ascii="Arial" w:cs="Arial" w:eastAsia="Arial" w:hAnsi="Arial"/>
          <w:sz w:val="20"/>
          <w:szCs w:val="20"/>
          <w:color w:val="auto"/>
        </w:rPr>
      </w:pPr>
    </w:p>
    <w:p>
      <w:pPr>
        <w:ind w:left="1780" w:hanging="476"/>
        <w:spacing w:after="0"/>
        <w:tabs>
          <w:tab w:leader="none" w:pos="1780" w:val="left"/>
        </w:tabs>
        <w:numPr>
          <w:ilvl w:val="0"/>
          <w:numId w:val="183"/>
        </w:numPr>
        <w:rPr>
          <w:rFonts w:ascii="Arial" w:cs="Arial" w:eastAsia="Arial" w:hAnsi="Arial"/>
          <w:sz w:val="20"/>
          <w:szCs w:val="20"/>
          <w:color w:val="auto"/>
        </w:rPr>
      </w:pPr>
      <w:r>
        <w:rPr>
          <w:rFonts w:ascii="Arial" w:cs="Arial" w:eastAsia="Arial" w:hAnsi="Arial"/>
          <w:sz w:val="20"/>
          <w:szCs w:val="20"/>
          <w:b w:val="1"/>
          <w:bCs w:val="1"/>
          <w:color w:val="auto"/>
        </w:rPr>
        <w:t xml:space="preserve">section 2.9 </w:t>
      </w:r>
      <w:r>
        <w:rPr>
          <w:rFonts w:ascii="Arial" w:cs="Arial" w:eastAsia="Arial" w:hAnsi="Arial"/>
          <w:sz w:val="20"/>
          <w:szCs w:val="20"/>
          <w:color w:val="auto"/>
        </w:rPr>
        <w:t>(Quorum; Voting);</w:t>
      </w:r>
    </w:p>
    <w:p>
      <w:pPr>
        <w:spacing w:after="0" w:line="161" w:lineRule="exact"/>
        <w:rPr>
          <w:rFonts w:ascii="Arial" w:cs="Arial" w:eastAsia="Arial" w:hAnsi="Arial"/>
          <w:sz w:val="20"/>
          <w:szCs w:val="20"/>
          <w:color w:val="auto"/>
        </w:rPr>
      </w:pPr>
    </w:p>
    <w:p>
      <w:pPr>
        <w:ind w:left="1740" w:hanging="436"/>
        <w:spacing w:after="0"/>
        <w:tabs>
          <w:tab w:leader="none" w:pos="1740" w:val="left"/>
        </w:tabs>
        <w:numPr>
          <w:ilvl w:val="0"/>
          <w:numId w:val="183"/>
        </w:numPr>
        <w:rPr>
          <w:rFonts w:ascii="Arial" w:cs="Arial" w:eastAsia="Arial" w:hAnsi="Arial"/>
          <w:sz w:val="20"/>
          <w:szCs w:val="20"/>
          <w:color w:val="auto"/>
        </w:rPr>
      </w:pPr>
      <w:r>
        <w:rPr>
          <w:rFonts w:ascii="Arial" w:cs="Arial" w:eastAsia="Arial" w:hAnsi="Arial"/>
          <w:sz w:val="20"/>
          <w:szCs w:val="20"/>
          <w:b w:val="1"/>
          <w:bCs w:val="1"/>
          <w:color w:val="auto"/>
        </w:rPr>
        <w:t xml:space="preserve">section 2.10 </w:t>
      </w:r>
      <w:r>
        <w:rPr>
          <w:rFonts w:ascii="Arial" w:cs="Arial" w:eastAsia="Arial" w:hAnsi="Arial"/>
          <w:sz w:val="20"/>
          <w:szCs w:val="20"/>
          <w:color w:val="auto"/>
        </w:rPr>
        <w:t>(Board Action by Written Consent Without a Meeting); and</w:t>
      </w:r>
    </w:p>
    <w:p>
      <w:pPr>
        <w:spacing w:after="0" w:line="161" w:lineRule="exact"/>
        <w:rPr>
          <w:rFonts w:ascii="Arial" w:cs="Arial" w:eastAsia="Arial" w:hAnsi="Arial"/>
          <w:sz w:val="20"/>
          <w:szCs w:val="20"/>
          <w:color w:val="auto"/>
        </w:rPr>
      </w:pPr>
    </w:p>
    <w:p>
      <w:pPr>
        <w:ind w:left="1780" w:hanging="476"/>
        <w:spacing w:after="0"/>
        <w:tabs>
          <w:tab w:leader="none" w:pos="1780" w:val="left"/>
        </w:tabs>
        <w:numPr>
          <w:ilvl w:val="0"/>
          <w:numId w:val="183"/>
        </w:numPr>
        <w:rPr>
          <w:rFonts w:ascii="Arial" w:cs="Arial" w:eastAsia="Arial" w:hAnsi="Arial"/>
          <w:sz w:val="20"/>
          <w:szCs w:val="20"/>
          <w:color w:val="auto"/>
        </w:rPr>
      </w:pPr>
      <w:r>
        <w:rPr>
          <w:rFonts w:ascii="Arial" w:cs="Arial" w:eastAsia="Arial" w:hAnsi="Arial"/>
          <w:sz w:val="20"/>
          <w:szCs w:val="20"/>
          <w:b w:val="1"/>
          <w:bCs w:val="1"/>
          <w:color w:val="auto"/>
        </w:rPr>
        <w:t xml:space="preserve">section 7.5 </w:t>
      </w:r>
      <w:r>
        <w:rPr>
          <w:rFonts w:ascii="Arial" w:cs="Arial" w:eastAsia="Arial" w:hAnsi="Arial"/>
          <w:sz w:val="20"/>
          <w:szCs w:val="20"/>
          <w:color w:val="auto"/>
        </w:rPr>
        <w:t>(Waiver of Notice)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with such changes in the context of those bylaws as are necessary to substitute the committee and its members for the Board and its members.</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However</w:t>
      </w:r>
      <w:r>
        <w:rPr>
          <w:rFonts w:ascii="Arial" w:cs="Arial" w:eastAsia="Arial" w:hAnsi="Arial"/>
          <w:sz w:val="20"/>
          <w:szCs w:val="20"/>
          <w:color w:val="auto"/>
        </w:rPr>
        <w:t>:</w:t>
      </w:r>
    </w:p>
    <w:p>
      <w:pPr>
        <w:spacing w:after="0" w:line="146" w:lineRule="exact"/>
        <w:rPr>
          <w:sz w:val="20"/>
          <w:szCs w:val="20"/>
          <w:color w:val="auto"/>
        </w:rPr>
      </w:pPr>
    </w:p>
    <w:p>
      <w:pPr>
        <w:ind w:left="1720" w:hanging="416"/>
        <w:spacing w:after="0"/>
        <w:tabs>
          <w:tab w:leader="none" w:pos="17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time of regular meetings of committees may be determined either by resolution of the Board or by resolution of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committee;</w:t>
      </w:r>
    </w:p>
    <w:p>
      <w:pPr>
        <w:spacing w:after="0" w:line="146" w:lineRule="exact"/>
        <w:rPr>
          <w:sz w:val="20"/>
          <w:szCs w:val="20"/>
          <w:color w:val="auto"/>
        </w:rPr>
      </w:pPr>
    </w:p>
    <w:p>
      <w:pPr>
        <w:ind w:left="1740" w:hanging="436"/>
        <w:spacing w:after="0"/>
        <w:tabs>
          <w:tab w:leader="none" w:pos="174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special meetings of committees may also be called by resolution of the Board; and</w:t>
      </w:r>
    </w:p>
    <w:p>
      <w:pPr>
        <w:spacing w:after="0" w:line="161" w:lineRule="exact"/>
        <w:rPr>
          <w:rFonts w:ascii="Arial" w:cs="Arial" w:eastAsia="Arial" w:hAnsi="Arial"/>
          <w:sz w:val="20"/>
          <w:szCs w:val="20"/>
          <w:color w:val="auto"/>
        </w:rPr>
      </w:pPr>
    </w:p>
    <w:p>
      <w:pPr>
        <w:jc w:val="both"/>
        <w:ind w:firstLine="1304"/>
        <w:spacing w:after="0" w:line="250" w:lineRule="auto"/>
        <w:tabs>
          <w:tab w:leader="none" w:pos="1881" w:val="left"/>
        </w:tabs>
        <w:numPr>
          <w:ilvl w:val="0"/>
          <w:numId w:val="185"/>
        </w:numPr>
        <w:rPr>
          <w:rFonts w:ascii="Arial" w:cs="Arial" w:eastAsia="Arial" w:hAnsi="Arial"/>
          <w:sz w:val="20"/>
          <w:szCs w:val="20"/>
          <w:color w:val="auto"/>
        </w:rPr>
      </w:pPr>
      <w:r>
        <w:rPr>
          <w:rFonts w:ascii="Arial" w:cs="Arial" w:eastAsia="Arial" w:hAnsi="Arial"/>
          <w:sz w:val="20"/>
          <w:szCs w:val="20"/>
          <w:color w:val="auto"/>
        </w:rPr>
        <w:t>notice of special meetings of committees shall also be given to all alternate members, who shall have the right to attend all meetings of the committee. The Board may adopt rules for the government of any committee not inconsistent with the provisions of these bylaws.</w:t>
      </w:r>
    </w:p>
    <w:p>
      <w:pPr>
        <w:spacing w:after="0" w:line="13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Any provision in the certificate of incorporation providing that one or more directors shall have more or less than one vote per director on any matter shall apply to voting in any committee or subcommittee, unless otherwise provided in the certificate of incorporation or these bylaws.</w:t>
      </w:r>
    </w:p>
    <w:p>
      <w:pPr>
        <w:spacing w:after="0" w:line="13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3.4 </w:t>
      </w:r>
      <w:r>
        <w:rPr>
          <w:rFonts w:ascii="Arial" w:cs="Arial" w:eastAsia="Arial" w:hAnsi="Arial"/>
          <w:sz w:val="20"/>
          <w:szCs w:val="20"/>
          <w:b w:val="1"/>
          <w:bCs w:val="1"/>
          <w:i w:val="1"/>
          <w:iCs w:val="1"/>
          <w:color w:val="auto"/>
        </w:rPr>
        <w:t>Subcommittees</w:t>
      </w:r>
      <w:r>
        <w:rPr>
          <w:rFonts w:ascii="Arial" w:cs="Arial" w:eastAsia="Arial" w:hAnsi="Arial"/>
          <w:sz w:val="20"/>
          <w:szCs w:val="20"/>
          <w:color w:val="auto"/>
        </w:rPr>
        <w:t>. Unless otherwise provided in the certificate of incorporation, these bylaws or the resolutions of the Board designating the committee, a committee may create one or more subcommittees, each subcommittee to consist of one or more members of the committee, and delegate to a subcommittee any or all of the powers and authority of the committee.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 — OFFICERS</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b w:val="1"/>
          <w:bCs w:val="1"/>
          <w:i w:val="1"/>
          <w:iCs w:val="1"/>
          <w:color w:val="auto"/>
        </w:rPr>
        <w:t>Officers.</w:t>
      </w:r>
      <w:r>
        <w:rPr>
          <w:rFonts w:ascii="Arial" w:cs="Arial" w:eastAsia="Arial" w:hAnsi="Arial"/>
          <w:sz w:val="20"/>
          <w:szCs w:val="20"/>
          <w:color w:val="auto"/>
        </w:rPr>
        <w:t xml:space="preserve"> The officers of the Company shall be a President and a Secretary. The Company may also have, at the discretion of the Board, a Chairperson of the Board, a Vice Chairperson of the Board, a Chief Executive Officer, one or more Vice Presidents, a Chief Financial Officer,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- 8 -</w:t>
      </w:r>
    </w:p>
    <w:p>
      <w:pPr>
        <w:sectPr>
          <w:pgSz w:w="11900" w:h="16838" w:orient="portrait"/>
          <w:cols w:equalWidth="0" w:num="1">
            <w:col w:w="11240"/>
          </w:cols>
          <w:pgMar w:left="320" w:top="1419" w:right="339" w:bottom="1440" w:gutter="0" w:footer="0" w:header="0"/>
        </w:sectPr>
      </w:pPr>
    </w:p>
    <w:bookmarkStart w:id="248" w:name="page249"/>
    <w:bookmarkEnd w:id="248"/>
    <w:p>
      <w:pPr>
        <w:jc w:val="both"/>
        <w:spacing w:after="0" w:line="260" w:lineRule="auto"/>
        <w:rPr>
          <w:sz w:val="20"/>
          <w:szCs w:val="20"/>
          <w:color w:val="auto"/>
        </w:rPr>
      </w:pPr>
      <w:r>
        <w:rPr>
          <w:rFonts w:ascii="Arial" w:cs="Arial" w:eastAsia="Arial" w:hAnsi="Arial"/>
          <w:sz w:val="20"/>
          <w:szCs w:val="20"/>
          <w:color w:val="auto"/>
        </w:rPr>
        <w:t>Treasurer, one or more Assistant Treasurers, one or more Assistant Secretaries, and any such other officers as may be appointed in accordance with the provisions of these bylaws. Any number of offices may be held by the same person.</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b w:val="1"/>
          <w:bCs w:val="1"/>
          <w:i w:val="1"/>
          <w:iCs w:val="1"/>
          <w:color w:val="auto"/>
        </w:rPr>
        <w:t>Appointment of Officers</w:t>
      </w:r>
      <w:r>
        <w:rPr>
          <w:rFonts w:ascii="Arial" w:cs="Arial" w:eastAsia="Arial" w:hAnsi="Arial"/>
          <w:sz w:val="20"/>
          <w:szCs w:val="20"/>
          <w:color w:val="auto"/>
        </w:rPr>
        <w:t xml:space="preserve">. The Board shall appoint the officers of the Company, except such officers as may be appointed in accordance with the provisions of </w:t>
      </w:r>
      <w:r>
        <w:rPr>
          <w:rFonts w:ascii="Arial" w:cs="Arial" w:eastAsia="Arial" w:hAnsi="Arial"/>
          <w:sz w:val="20"/>
          <w:szCs w:val="20"/>
          <w:b w:val="1"/>
          <w:bCs w:val="1"/>
          <w:color w:val="auto"/>
        </w:rPr>
        <w:t>section 4.3</w:t>
      </w:r>
      <w:r>
        <w:rPr>
          <w:rFonts w:ascii="Arial" w:cs="Arial" w:eastAsia="Arial" w:hAnsi="Arial"/>
          <w:sz w:val="20"/>
          <w:szCs w:val="20"/>
          <w:color w:val="auto"/>
        </w:rPr>
        <w:t xml:space="preserve"> of these bylaws.</w:t>
      </w:r>
    </w:p>
    <w:p>
      <w:pPr>
        <w:spacing w:after="0" w:line="1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b w:val="1"/>
          <w:bCs w:val="1"/>
          <w:i w:val="1"/>
          <w:iCs w:val="1"/>
          <w:color w:val="auto"/>
        </w:rPr>
        <w:t>Subordinate Officers</w:t>
      </w:r>
      <w:r>
        <w:rPr>
          <w:rFonts w:ascii="Arial" w:cs="Arial" w:eastAsia="Arial" w:hAnsi="Arial"/>
          <w:sz w:val="20"/>
          <w:szCs w:val="20"/>
          <w:color w:val="auto"/>
        </w:rPr>
        <w:t>. The Board may appoint, or empower the Chief Executive Officer or, in the absence of a Chief Executive Officer, the President, to appoint, such other officers and agents as the business of the Company may require. Each of such officers and agents shall hold office for such period, have such authority, and perform such duties as are provided in these bylaws or as the Board may from time to time determine.</w:t>
      </w:r>
    </w:p>
    <w:p>
      <w:pPr>
        <w:spacing w:after="0" w:line="137"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 xml:space="preserve">4.4 </w:t>
      </w:r>
      <w:r>
        <w:rPr>
          <w:rFonts w:ascii="Arial" w:cs="Arial" w:eastAsia="Arial" w:hAnsi="Arial"/>
          <w:sz w:val="20"/>
          <w:szCs w:val="20"/>
          <w:b w:val="1"/>
          <w:bCs w:val="1"/>
          <w:i w:val="1"/>
          <w:iCs w:val="1"/>
          <w:color w:val="auto"/>
        </w:rPr>
        <w:t>Removal and Resignation of Officers</w:t>
      </w:r>
      <w:r>
        <w:rPr>
          <w:rFonts w:ascii="Arial" w:cs="Arial" w:eastAsia="Arial" w:hAnsi="Arial"/>
          <w:sz w:val="20"/>
          <w:szCs w:val="20"/>
          <w:color w:val="auto"/>
        </w:rPr>
        <w:t>. Any officer may be removed, either with or without cause, by an affirmative vote of the majority of the Board at any regular or special meeting of the Board or, except in the case of an officer chosen by the Board, by any officer upon whom such power of removal may be conferred by the Board.</w:t>
      </w:r>
    </w:p>
    <w:p>
      <w:pPr>
        <w:spacing w:after="0" w:line="13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Any officer may resign at any time by giving written notice to the Company.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Company under any contract to which the officer is a party.</w:t>
      </w:r>
    </w:p>
    <w:p>
      <w:pPr>
        <w:spacing w:after="0" w:line="13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4.5 </w:t>
      </w:r>
      <w:r>
        <w:rPr>
          <w:rFonts w:ascii="Arial" w:cs="Arial" w:eastAsia="Arial" w:hAnsi="Arial"/>
          <w:sz w:val="20"/>
          <w:szCs w:val="20"/>
          <w:b w:val="1"/>
          <w:bCs w:val="1"/>
          <w:i w:val="1"/>
          <w:iCs w:val="1"/>
          <w:color w:val="auto"/>
        </w:rPr>
        <w:t>Vacancies in Offices</w:t>
      </w:r>
      <w:r>
        <w:rPr>
          <w:rFonts w:ascii="Arial" w:cs="Arial" w:eastAsia="Arial" w:hAnsi="Arial"/>
          <w:sz w:val="20"/>
          <w:szCs w:val="20"/>
          <w:color w:val="auto"/>
        </w:rPr>
        <w:t xml:space="preserve">. Any vacancy occurring in any office of the Company shall be filled by the Board or as provided in </w:t>
      </w:r>
      <w:r>
        <w:rPr>
          <w:rFonts w:ascii="Arial" w:cs="Arial" w:eastAsia="Arial" w:hAnsi="Arial"/>
          <w:sz w:val="20"/>
          <w:szCs w:val="20"/>
          <w:b w:val="1"/>
          <w:bCs w:val="1"/>
          <w:color w:val="auto"/>
        </w:rPr>
        <w:t>section 4.3</w:t>
      </w:r>
      <w:r>
        <w:rPr>
          <w:rFonts w:ascii="Arial" w:cs="Arial" w:eastAsia="Arial" w:hAnsi="Arial"/>
          <w:sz w:val="20"/>
          <w:szCs w:val="20"/>
          <w:color w:val="auto"/>
        </w:rPr>
        <w:t>.</w:t>
      </w:r>
    </w:p>
    <w:p>
      <w:pPr>
        <w:spacing w:after="0" w:line="12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4.6 </w:t>
      </w:r>
      <w:r>
        <w:rPr>
          <w:rFonts w:ascii="Arial" w:cs="Arial" w:eastAsia="Arial" w:hAnsi="Arial"/>
          <w:sz w:val="20"/>
          <w:szCs w:val="20"/>
          <w:b w:val="1"/>
          <w:bCs w:val="1"/>
          <w:i w:val="1"/>
          <w:iCs w:val="1"/>
          <w:color w:val="auto"/>
        </w:rPr>
        <w:t>Representation of Shares of Other Corporations</w:t>
      </w:r>
      <w:r>
        <w:rPr>
          <w:rFonts w:ascii="Arial" w:cs="Arial" w:eastAsia="Arial" w:hAnsi="Arial"/>
          <w:sz w:val="20"/>
          <w:szCs w:val="20"/>
          <w:color w:val="auto"/>
        </w:rPr>
        <w:t>. Unless otherwise directed by the Board, the President or any other person authorized by the Board or the President is authorized to vote, represent and exercise on behalf of the Company all rights incident to any and all shares of any other corporation or corporations standing in the name of the Company. The authority granted herein may be exercised either by such person directly or by any other person authorized to do so by proxy or power of attorney duly executed by such person having the authority.</w:t>
      </w:r>
    </w:p>
    <w:p>
      <w:pPr>
        <w:spacing w:after="0" w:line="14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4.7 </w:t>
      </w:r>
      <w:r>
        <w:rPr>
          <w:rFonts w:ascii="Arial" w:cs="Arial" w:eastAsia="Arial" w:hAnsi="Arial"/>
          <w:sz w:val="20"/>
          <w:szCs w:val="20"/>
          <w:b w:val="1"/>
          <w:bCs w:val="1"/>
          <w:i w:val="1"/>
          <w:iCs w:val="1"/>
          <w:color w:val="auto"/>
        </w:rPr>
        <w:t>Authority and Duties of Officers</w:t>
      </w:r>
      <w:r>
        <w:rPr>
          <w:rFonts w:ascii="Arial" w:cs="Arial" w:eastAsia="Arial" w:hAnsi="Arial"/>
          <w:sz w:val="20"/>
          <w:szCs w:val="20"/>
          <w:color w:val="auto"/>
        </w:rPr>
        <w:t>. Except as otherwise provided in these bylaws, the officers of the Company shall have such powers and duties in the management of the Company as may be designated from time to time by the Board and, to the extent not so provided, as generally pertain to their respective offices, subject to the control of the Board.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 — INDEMNIFICATION</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i w:val="1"/>
          <w:iCs w:val="1"/>
          <w:color w:val="auto"/>
        </w:rPr>
        <w:t>Indemnification of Directors and Officers in Third Party Proceedings</w:t>
      </w:r>
      <w:r>
        <w:rPr>
          <w:rFonts w:ascii="Arial" w:cs="Arial" w:eastAsia="Arial" w:hAnsi="Arial"/>
          <w:sz w:val="18"/>
          <w:szCs w:val="18"/>
          <w:color w:val="auto"/>
        </w:rPr>
        <w:t xml:space="preserve">. Subject to the other provisions of this </w:t>
      </w:r>
      <w:r>
        <w:rPr>
          <w:rFonts w:ascii="Arial" w:cs="Arial" w:eastAsia="Arial" w:hAnsi="Arial"/>
          <w:sz w:val="18"/>
          <w:szCs w:val="18"/>
          <w:b w:val="1"/>
          <w:bCs w:val="1"/>
          <w:color w:val="auto"/>
        </w:rPr>
        <w:t>Article V</w:t>
      </w:r>
      <w:r>
        <w:rPr>
          <w:rFonts w:ascii="Arial" w:cs="Arial" w:eastAsia="Arial" w:hAnsi="Arial"/>
          <w:sz w:val="18"/>
          <w:szCs w:val="18"/>
          <w:color w:val="auto"/>
        </w:rPr>
        <w:t>, the Company may indemnify, to the fullest extent permitted by the DGCL, as now or hereinafter in effect, any person who was or is a party or is threatened to be made a party to any threatened, pending or completed action, suit or proceeding, whether civil, criminal, administrative or investigative ( a “</w:t>
      </w:r>
      <w:r>
        <w:rPr>
          <w:rFonts w:ascii="Arial" w:cs="Arial" w:eastAsia="Arial" w:hAnsi="Arial"/>
          <w:sz w:val="18"/>
          <w:szCs w:val="18"/>
          <w:b w:val="1"/>
          <w:bCs w:val="1"/>
          <w:color w:val="auto"/>
        </w:rPr>
        <w:t>Proceeding</w:t>
      </w:r>
      <w:r>
        <w:rPr>
          <w:rFonts w:ascii="Arial" w:cs="Arial" w:eastAsia="Arial" w:hAnsi="Arial"/>
          <w:sz w:val="18"/>
          <w:szCs w:val="18"/>
          <w:color w:val="auto"/>
        </w:rPr>
        <w:t>”) (other than an action by or in the right of the Company) by reason of the fact that such person is or was a director or officer of the Company, or is or was a director or officer of the Company serving at the request of the Company as a director, officer, employee or agent of another corporation, partnership,joint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- 9 -</w:t>
      </w:r>
    </w:p>
    <w:p>
      <w:pPr>
        <w:sectPr>
          <w:pgSz w:w="11900" w:h="16838" w:orient="portrait"/>
          <w:cols w:equalWidth="0" w:num="1">
            <w:col w:w="11240"/>
          </w:cols>
          <w:pgMar w:left="320" w:top="1419" w:right="339" w:bottom="1440" w:gutter="0" w:footer="0" w:header="0"/>
        </w:sectPr>
      </w:pPr>
    </w:p>
    <w:bookmarkStart w:id="249" w:name="page250"/>
    <w:bookmarkEnd w:id="249"/>
    <w:p>
      <w:pPr>
        <w:jc w:val="both"/>
        <w:spacing w:after="0" w:line="244" w:lineRule="auto"/>
        <w:rPr>
          <w:sz w:val="20"/>
          <w:szCs w:val="20"/>
          <w:color w:val="auto"/>
        </w:rPr>
      </w:pPr>
      <w:r>
        <w:rPr>
          <w:rFonts w:ascii="Arial" w:cs="Arial" w:eastAsia="Arial" w:hAnsi="Arial"/>
          <w:sz w:val="20"/>
          <w:szCs w:val="20"/>
          <w:color w:val="auto"/>
        </w:rPr>
        <w:t xml:space="preserve">Company, and, with respect to any criminal action or proceeding, had no reasonable cause to believe such person's conduct was unlawful. The termination of any Proceeding by judgment, order, settlement, conviction, or upon a plea of </w:t>
      </w:r>
      <w:r>
        <w:rPr>
          <w:rFonts w:ascii="Arial" w:cs="Arial" w:eastAsia="Arial" w:hAnsi="Arial"/>
          <w:sz w:val="20"/>
          <w:szCs w:val="20"/>
          <w:i w:val="1"/>
          <w:iCs w:val="1"/>
          <w:color w:val="auto"/>
        </w:rPr>
        <w:t>nolo contendere</w:t>
      </w:r>
      <w:r>
        <w:rPr>
          <w:rFonts w:ascii="Arial" w:cs="Arial" w:eastAsia="Arial" w:hAnsi="Arial"/>
          <w:sz w:val="20"/>
          <w:szCs w:val="20"/>
          <w:color w:val="auto"/>
        </w:rPr>
        <w:t xml:space="preserv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w:t>
      </w:r>
    </w:p>
    <w:p>
      <w:pPr>
        <w:spacing w:after="0" w:line="14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b w:val="1"/>
          <w:bCs w:val="1"/>
          <w:i w:val="1"/>
          <w:iCs w:val="1"/>
          <w:color w:val="auto"/>
        </w:rPr>
        <w:t>Indemnification of Directors and Officers in Actions by or in the Right of the Company.</w:t>
      </w:r>
      <w:r>
        <w:rPr>
          <w:rFonts w:ascii="Arial" w:cs="Arial" w:eastAsia="Arial" w:hAnsi="Arial"/>
          <w:sz w:val="19"/>
          <w:szCs w:val="19"/>
          <w:color w:val="auto"/>
        </w:rPr>
        <w:t xml:space="preserve"> Subject to the other provisions of this </w:t>
      </w:r>
      <w:r>
        <w:rPr>
          <w:rFonts w:ascii="Arial" w:cs="Arial" w:eastAsia="Arial" w:hAnsi="Arial"/>
          <w:sz w:val="19"/>
          <w:szCs w:val="19"/>
          <w:b w:val="1"/>
          <w:bCs w:val="1"/>
          <w:color w:val="auto"/>
        </w:rPr>
        <w:t>Article V</w:t>
      </w:r>
      <w:r>
        <w:rPr>
          <w:rFonts w:ascii="Arial" w:cs="Arial" w:eastAsia="Arial" w:hAnsi="Arial"/>
          <w:sz w:val="19"/>
          <w:szCs w:val="19"/>
          <w:color w:val="auto"/>
        </w:rPr>
        <w:t>, the Company may indemnify, to the fullest extent permitted by the DGCL, as now or hereinafter in effect, any person who was or is a party or is threatened to be made a party to any threatened, pending or completed action or suit by or in the right of the Company to procure a judgment in its favor by reason of the fact that such person is or was a director or officer of the Company, or is or was a director or officer of the Company serving at the request of the Company as a director, officer, employee or agent of another corporation, partnership,joint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Company; except that no indemnification shall be made in respect of any claim, issue or matter as to which such person shall have been adjudged to be liable to the Company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3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b w:val="1"/>
          <w:bCs w:val="1"/>
          <w:i w:val="1"/>
          <w:iCs w:val="1"/>
          <w:color w:val="auto"/>
        </w:rPr>
        <w:t>Successful Defense</w:t>
      </w:r>
      <w:r>
        <w:rPr>
          <w:rFonts w:ascii="Arial" w:cs="Arial" w:eastAsia="Arial" w:hAnsi="Arial"/>
          <w:sz w:val="20"/>
          <w:szCs w:val="20"/>
          <w:color w:val="auto"/>
        </w:rPr>
        <w:t xml:space="preserve">. To the extent that a present or former director or officer of the Company has been successful on the merits or otherwise in defense of any action, suit or proceeding described in </w:t>
      </w:r>
      <w:r>
        <w:rPr>
          <w:rFonts w:ascii="Arial" w:cs="Arial" w:eastAsia="Arial" w:hAnsi="Arial"/>
          <w:sz w:val="20"/>
          <w:szCs w:val="20"/>
          <w:b w:val="1"/>
          <w:bCs w:val="1"/>
          <w:color w:val="auto"/>
        </w:rPr>
        <w:t>section 5.1</w:t>
      </w:r>
      <w:r>
        <w:rPr>
          <w:rFonts w:ascii="Arial" w:cs="Arial" w:eastAsia="Arial" w:hAnsi="Arial"/>
          <w:sz w:val="20"/>
          <w:szCs w:val="20"/>
          <w:color w:val="auto"/>
        </w:rPr>
        <w:t xml:space="preserve"> or </w:t>
      </w:r>
      <w:r>
        <w:rPr>
          <w:rFonts w:ascii="Arial" w:cs="Arial" w:eastAsia="Arial" w:hAnsi="Arial"/>
          <w:sz w:val="20"/>
          <w:szCs w:val="20"/>
          <w:b w:val="1"/>
          <w:bCs w:val="1"/>
          <w:color w:val="auto"/>
        </w:rPr>
        <w:t>section 5.2</w:t>
      </w:r>
      <w:r>
        <w:rPr>
          <w:rFonts w:ascii="Arial" w:cs="Arial" w:eastAsia="Arial" w:hAnsi="Arial"/>
          <w:sz w:val="20"/>
          <w:szCs w:val="20"/>
          <w:color w:val="auto"/>
        </w:rPr>
        <w:t>, or in defense of any claim, issue or matter therein, such person shall be indemnified against expenses (including attorneys' fees) actually and reasonably incurred by such person in connection therewith.</w:t>
      </w:r>
    </w:p>
    <w:p>
      <w:pPr>
        <w:spacing w:after="0" w:line="1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5.4 </w:t>
      </w:r>
      <w:r>
        <w:rPr>
          <w:rFonts w:ascii="Arial" w:cs="Arial" w:eastAsia="Arial" w:hAnsi="Arial"/>
          <w:sz w:val="20"/>
          <w:szCs w:val="20"/>
          <w:b w:val="1"/>
          <w:bCs w:val="1"/>
          <w:i w:val="1"/>
          <w:iCs w:val="1"/>
          <w:color w:val="auto"/>
        </w:rPr>
        <w:t>Indemnification of Others</w:t>
      </w:r>
      <w:r>
        <w:rPr>
          <w:rFonts w:ascii="Arial" w:cs="Arial" w:eastAsia="Arial" w:hAnsi="Arial"/>
          <w:sz w:val="20"/>
          <w:szCs w:val="20"/>
          <w:color w:val="auto"/>
        </w:rPr>
        <w:t xml:space="preserve">. Subject to the other provisions of this </w:t>
      </w:r>
      <w:r>
        <w:rPr>
          <w:rFonts w:ascii="Arial" w:cs="Arial" w:eastAsia="Arial" w:hAnsi="Arial"/>
          <w:sz w:val="20"/>
          <w:szCs w:val="20"/>
          <w:b w:val="1"/>
          <w:bCs w:val="1"/>
          <w:color w:val="auto"/>
        </w:rPr>
        <w:t>Article V</w:t>
      </w:r>
      <w:r>
        <w:rPr>
          <w:rFonts w:ascii="Arial" w:cs="Arial" w:eastAsia="Arial" w:hAnsi="Arial"/>
          <w:sz w:val="20"/>
          <w:szCs w:val="20"/>
          <w:color w:val="auto"/>
        </w:rPr>
        <w:t>, the Company shall have power to indemnify its employees and agents to the extent not prohibited by the DGCL or other applicable law. The Board shall have the power to delegate to such person or persons the determination of whether employees or agents shall be indemnified.</w:t>
      </w:r>
    </w:p>
    <w:p>
      <w:pPr>
        <w:spacing w:after="0" w:line="1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b w:val="1"/>
          <w:bCs w:val="1"/>
          <w:i w:val="1"/>
          <w:iCs w:val="1"/>
          <w:color w:val="auto"/>
        </w:rPr>
        <w:t>Advanced Payment of Expenses</w:t>
      </w:r>
      <w:r>
        <w:rPr>
          <w:rFonts w:ascii="Arial" w:cs="Arial" w:eastAsia="Arial" w:hAnsi="Arial"/>
          <w:sz w:val="18"/>
          <w:szCs w:val="18"/>
          <w:color w:val="auto"/>
        </w:rPr>
        <w:t xml:space="preserve">. Expenses (including attorneys' fees) incurred by an officer or director of the Company in defending any Proceeding shall be paid by the Company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w:t>
      </w:r>
      <w:r>
        <w:rPr>
          <w:rFonts w:ascii="Arial" w:cs="Arial" w:eastAsia="Arial" w:hAnsi="Arial"/>
          <w:sz w:val="18"/>
          <w:szCs w:val="18"/>
          <w:b w:val="1"/>
          <w:bCs w:val="1"/>
          <w:color w:val="auto"/>
        </w:rPr>
        <w:t>Article V</w:t>
      </w:r>
      <w:r>
        <w:rPr>
          <w:rFonts w:ascii="Arial" w:cs="Arial" w:eastAsia="Arial" w:hAnsi="Arial"/>
          <w:sz w:val="18"/>
          <w:szCs w:val="18"/>
          <w:color w:val="auto"/>
        </w:rPr>
        <w:t xml:space="preserve"> or the DGCL. Such expenses (including attorneys' fees) incurred by former directors and officers or other employees and agents may be so paid upon such terms and conditions, if any, as the Company deems appropriate. The right to advancement of expenses shall not apply to any Proceeding for which indemnity is excluded pursuant to these bylaws, but shall apply to any Proceeding referenced in </w:t>
      </w:r>
      <w:r>
        <w:rPr>
          <w:rFonts w:ascii="Arial" w:cs="Arial" w:eastAsia="Arial" w:hAnsi="Arial"/>
          <w:sz w:val="18"/>
          <w:szCs w:val="18"/>
          <w:b w:val="1"/>
          <w:bCs w:val="1"/>
          <w:color w:val="auto"/>
        </w:rPr>
        <w:t>section 5.6(ii)</w:t>
      </w:r>
      <w:r>
        <w:rPr>
          <w:rFonts w:ascii="Arial" w:cs="Arial" w:eastAsia="Arial" w:hAnsi="Arial"/>
          <w:sz w:val="18"/>
          <w:szCs w:val="18"/>
          <w:color w:val="auto"/>
        </w:rPr>
        <w:t xml:space="preserve"> or </w:t>
      </w:r>
      <w:r>
        <w:rPr>
          <w:rFonts w:ascii="Arial" w:cs="Arial" w:eastAsia="Arial" w:hAnsi="Arial"/>
          <w:sz w:val="18"/>
          <w:szCs w:val="18"/>
          <w:b w:val="1"/>
          <w:bCs w:val="1"/>
          <w:color w:val="auto"/>
        </w:rPr>
        <w:t>5.6(iii)</w:t>
      </w:r>
      <w:r>
        <w:rPr>
          <w:rFonts w:ascii="Arial" w:cs="Arial" w:eastAsia="Arial" w:hAnsi="Arial"/>
          <w:sz w:val="18"/>
          <w:szCs w:val="18"/>
          <w:color w:val="auto"/>
        </w:rPr>
        <w:t xml:space="preserve"> prior to a determination that the person is not entitled to be indemnified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- 10 -</w:t>
      </w:r>
    </w:p>
    <w:p>
      <w:pPr>
        <w:sectPr>
          <w:pgSz w:w="11900" w:h="16838" w:orient="portrait"/>
          <w:cols w:equalWidth="0" w:num="1">
            <w:col w:w="11240"/>
          </w:cols>
          <w:pgMar w:left="320" w:top="1419" w:right="339" w:bottom="1440" w:gutter="0" w:footer="0" w:header="0"/>
        </w:sectPr>
      </w:pPr>
    </w:p>
    <w:bookmarkStart w:id="250" w:name="page251"/>
    <w:bookmarkEnd w:id="250"/>
    <w:p>
      <w:pPr>
        <w:ind w:right="20" w:firstLine="648"/>
        <w:spacing w:after="0" w:line="293" w:lineRule="auto"/>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b w:val="1"/>
          <w:bCs w:val="1"/>
          <w:i w:val="1"/>
          <w:iCs w:val="1"/>
          <w:color w:val="auto"/>
        </w:rPr>
        <w:t>Limitation on Indemnification</w:t>
      </w:r>
      <w:r>
        <w:rPr>
          <w:rFonts w:ascii="Arial" w:cs="Arial" w:eastAsia="Arial" w:hAnsi="Arial"/>
          <w:sz w:val="19"/>
          <w:szCs w:val="19"/>
          <w:color w:val="auto"/>
        </w:rPr>
        <w:t xml:space="preserve">. Subject to the requirements in </w:t>
      </w:r>
      <w:r>
        <w:rPr>
          <w:rFonts w:ascii="Arial" w:cs="Arial" w:eastAsia="Arial" w:hAnsi="Arial"/>
          <w:sz w:val="19"/>
          <w:szCs w:val="19"/>
          <w:b w:val="1"/>
          <w:bCs w:val="1"/>
          <w:color w:val="auto"/>
        </w:rPr>
        <w:t>section 5.3</w:t>
      </w:r>
      <w:r>
        <w:rPr>
          <w:rFonts w:ascii="Arial" w:cs="Arial" w:eastAsia="Arial" w:hAnsi="Arial"/>
          <w:sz w:val="19"/>
          <w:szCs w:val="19"/>
          <w:color w:val="auto"/>
        </w:rPr>
        <w:t xml:space="preserve"> and the DGCL, the Company shall not be obligated to indemnify any person pursuant to this </w:t>
      </w:r>
      <w:r>
        <w:rPr>
          <w:rFonts w:ascii="Arial" w:cs="Arial" w:eastAsia="Arial" w:hAnsi="Arial"/>
          <w:sz w:val="19"/>
          <w:szCs w:val="19"/>
          <w:b w:val="1"/>
          <w:bCs w:val="1"/>
          <w:color w:val="auto"/>
        </w:rPr>
        <w:t>Article V</w:t>
      </w:r>
      <w:r>
        <w:rPr>
          <w:rFonts w:ascii="Arial" w:cs="Arial" w:eastAsia="Arial" w:hAnsi="Arial"/>
          <w:sz w:val="19"/>
          <w:szCs w:val="19"/>
          <w:color w:val="auto"/>
        </w:rPr>
        <w:t xml:space="preserve"> in connection with any Proceeding (or any part of any Proceeding):</w:t>
      </w:r>
    </w:p>
    <w:p>
      <w:pPr>
        <w:spacing w:after="0" w:line="94" w:lineRule="exact"/>
        <w:rPr>
          <w:sz w:val="20"/>
          <w:szCs w:val="20"/>
          <w:color w:val="auto"/>
        </w:rPr>
      </w:pPr>
    </w:p>
    <w:p>
      <w:pPr>
        <w:ind w:right="20" w:firstLine="1304"/>
        <w:spacing w:after="0" w:line="260" w:lineRule="auto"/>
        <w:tabs>
          <w:tab w:leader="none" w:pos="1688" w:val="left"/>
        </w:tabs>
        <w:numPr>
          <w:ilvl w:val="0"/>
          <w:numId w:val="186"/>
        </w:numPr>
        <w:rPr>
          <w:rFonts w:ascii="Arial" w:cs="Arial" w:eastAsia="Arial" w:hAnsi="Arial"/>
          <w:sz w:val="20"/>
          <w:szCs w:val="20"/>
          <w:color w:val="auto"/>
        </w:rPr>
      </w:pPr>
      <w:r>
        <w:rPr>
          <w:rFonts w:ascii="Arial" w:cs="Arial" w:eastAsia="Arial" w:hAnsi="Arial"/>
          <w:sz w:val="20"/>
          <w:szCs w:val="20"/>
          <w:color w:val="auto"/>
        </w:rPr>
        <w:t>for which payment has actually been made to or on behalf of such person under any statute, insurance policy, indemnity provision, vote or otherwise, except with respect to any excess beyond the amount paid;</w:t>
      </w:r>
    </w:p>
    <w:p>
      <w:pPr>
        <w:spacing w:after="0" w:line="122" w:lineRule="exact"/>
        <w:rPr>
          <w:rFonts w:ascii="Arial" w:cs="Arial" w:eastAsia="Arial" w:hAnsi="Arial"/>
          <w:sz w:val="20"/>
          <w:szCs w:val="20"/>
          <w:color w:val="auto"/>
        </w:rPr>
      </w:pPr>
    </w:p>
    <w:p>
      <w:pPr>
        <w:jc w:val="both"/>
        <w:ind w:firstLine="1304"/>
        <w:spacing w:after="0" w:line="250" w:lineRule="auto"/>
        <w:tabs>
          <w:tab w:leader="none" w:pos="1822" w:val="left"/>
        </w:tabs>
        <w:numPr>
          <w:ilvl w:val="0"/>
          <w:numId w:val="186"/>
        </w:numPr>
        <w:rPr>
          <w:rFonts w:ascii="Arial" w:cs="Arial" w:eastAsia="Arial" w:hAnsi="Arial"/>
          <w:sz w:val="20"/>
          <w:szCs w:val="20"/>
          <w:color w:val="auto"/>
        </w:rPr>
      </w:pPr>
      <w:r>
        <w:rPr>
          <w:rFonts w:ascii="Arial" w:cs="Arial" w:eastAsia="Arial" w:hAnsi="Arial"/>
          <w:sz w:val="20"/>
          <w:szCs w:val="20"/>
          <w:color w:val="auto"/>
        </w:rPr>
        <w:t>for an accounting or disgorgement of profits pursuant to Section 16(b) of the Securities Exchange Act of 1934, as amended, or similar provisions of federal, state or local statutory law or common law, if such person is held liable therefor (including pursuant to any settlement arrangements);</w:t>
      </w:r>
    </w:p>
    <w:p>
      <w:pPr>
        <w:spacing w:after="0" w:line="131" w:lineRule="exact"/>
        <w:rPr>
          <w:rFonts w:ascii="Arial" w:cs="Arial" w:eastAsia="Arial" w:hAnsi="Arial"/>
          <w:sz w:val="20"/>
          <w:szCs w:val="20"/>
          <w:color w:val="auto"/>
        </w:rPr>
      </w:pPr>
    </w:p>
    <w:p>
      <w:pPr>
        <w:jc w:val="both"/>
        <w:ind w:firstLine="1304"/>
        <w:spacing w:after="0" w:line="259" w:lineRule="auto"/>
        <w:tabs>
          <w:tab w:leader="none" w:pos="1942" w:val="left"/>
        </w:tabs>
        <w:numPr>
          <w:ilvl w:val="0"/>
          <w:numId w:val="186"/>
        </w:numPr>
        <w:rPr>
          <w:rFonts w:ascii="Arial" w:cs="Arial" w:eastAsia="Arial" w:hAnsi="Arial"/>
          <w:sz w:val="19"/>
          <w:szCs w:val="19"/>
          <w:color w:val="auto"/>
        </w:rPr>
      </w:pPr>
      <w:r>
        <w:rPr>
          <w:rFonts w:ascii="Arial" w:cs="Arial" w:eastAsia="Arial" w:hAnsi="Arial"/>
          <w:sz w:val="19"/>
          <w:szCs w:val="19"/>
          <w:color w:val="auto"/>
        </w:rPr>
        <w:t>for any reimbursement of the Company by such person of any bonus or other incentive-based or equity-based compensation or of any profits realized by such person from the sale of securities of the Company, as required in each case under the Securities Exchange Act of 1934, as amended (including any such reimbursements that arise from an accounting restatement of the Company pursuant to Section 304 of the Sarbanes-Oxley Act of2002 (the “</w:t>
      </w:r>
      <w:r>
        <w:rPr>
          <w:rFonts w:ascii="Arial" w:cs="Arial" w:eastAsia="Arial" w:hAnsi="Arial"/>
          <w:sz w:val="19"/>
          <w:szCs w:val="19"/>
          <w:b w:val="1"/>
          <w:bCs w:val="1"/>
          <w:color w:val="auto"/>
        </w:rPr>
        <w:t>Sarbanes-Oxley Act</w:t>
      </w:r>
      <w:r>
        <w:rPr>
          <w:rFonts w:ascii="Arial" w:cs="Arial" w:eastAsia="Arial" w:hAnsi="Arial"/>
          <w:sz w:val="19"/>
          <w:szCs w:val="19"/>
          <w:color w:val="auto"/>
        </w:rPr>
        <w:t>”), or the payment to the Company of profits arising from the purchase and sale by such person of securities in violation of Section 306 of the Sarbanes-Oxley Act), if such person is held liable therefor (including pursuant to any settlement arrangements);</w:t>
      </w:r>
    </w:p>
    <w:p>
      <w:pPr>
        <w:spacing w:after="0" w:line="124" w:lineRule="exact"/>
        <w:rPr>
          <w:rFonts w:ascii="Arial" w:cs="Arial" w:eastAsia="Arial" w:hAnsi="Arial"/>
          <w:sz w:val="19"/>
          <w:szCs w:val="19"/>
          <w:color w:val="auto"/>
        </w:rPr>
      </w:pPr>
    </w:p>
    <w:p>
      <w:pPr>
        <w:jc w:val="both"/>
        <w:ind w:firstLine="1304"/>
        <w:spacing w:after="0" w:line="244" w:lineRule="auto"/>
        <w:tabs>
          <w:tab w:leader="none" w:pos="1792" w:val="left"/>
        </w:tabs>
        <w:numPr>
          <w:ilvl w:val="0"/>
          <w:numId w:val="186"/>
        </w:numPr>
        <w:rPr>
          <w:rFonts w:ascii="Arial" w:cs="Arial" w:eastAsia="Arial" w:hAnsi="Arial"/>
          <w:sz w:val="20"/>
          <w:szCs w:val="20"/>
          <w:color w:val="auto"/>
        </w:rPr>
      </w:pPr>
      <w:r>
        <w:rPr>
          <w:rFonts w:ascii="Arial" w:cs="Arial" w:eastAsia="Arial" w:hAnsi="Arial"/>
          <w:sz w:val="20"/>
          <w:szCs w:val="20"/>
          <w:color w:val="auto"/>
        </w:rPr>
        <w:t xml:space="preserve">initiated by such person, including any Proceeding (or any part of any Proceeding) initiated by such person against the Company or its directors, officers, employees, agents or other indemnitees, unless (a) the Board authorized the Proceeding (or the relevant part of the Proceeding) prior to its initiation, (b) the Company provides the indemnification, in its sole discretion, pursuant to the powers vested in the Company under applicable law, (c) otherwise required to be made under </w:t>
      </w:r>
      <w:r>
        <w:rPr>
          <w:rFonts w:ascii="Arial" w:cs="Arial" w:eastAsia="Arial" w:hAnsi="Arial"/>
          <w:sz w:val="20"/>
          <w:szCs w:val="20"/>
          <w:b w:val="1"/>
          <w:bCs w:val="1"/>
          <w:color w:val="auto"/>
        </w:rPr>
        <w:t>section 5.7</w:t>
      </w:r>
      <w:r>
        <w:rPr>
          <w:rFonts w:ascii="Arial" w:cs="Arial" w:eastAsia="Arial" w:hAnsi="Arial"/>
          <w:sz w:val="20"/>
          <w:szCs w:val="20"/>
          <w:color w:val="auto"/>
        </w:rPr>
        <w:t xml:space="preserve"> or (d) otherwise required by applicable law; or</w:t>
      </w:r>
    </w:p>
    <w:p>
      <w:pPr>
        <w:spacing w:after="0" w:line="140" w:lineRule="exact"/>
        <w:rPr>
          <w:rFonts w:ascii="Arial" w:cs="Arial" w:eastAsia="Arial" w:hAnsi="Arial"/>
          <w:sz w:val="20"/>
          <w:szCs w:val="20"/>
          <w:color w:val="auto"/>
        </w:rPr>
      </w:pPr>
    </w:p>
    <w:p>
      <w:pPr>
        <w:ind w:left="1740" w:hanging="436"/>
        <w:spacing w:after="0"/>
        <w:tabs>
          <w:tab w:leader="none" w:pos="1740" w:val="left"/>
        </w:tabs>
        <w:numPr>
          <w:ilvl w:val="0"/>
          <w:numId w:val="186"/>
        </w:numPr>
        <w:rPr>
          <w:rFonts w:ascii="Arial" w:cs="Arial" w:eastAsia="Arial" w:hAnsi="Arial"/>
          <w:sz w:val="20"/>
          <w:szCs w:val="20"/>
          <w:color w:val="auto"/>
        </w:rPr>
      </w:pPr>
      <w:r>
        <w:rPr>
          <w:rFonts w:ascii="Arial" w:cs="Arial" w:eastAsia="Arial" w:hAnsi="Arial"/>
          <w:sz w:val="20"/>
          <w:szCs w:val="20"/>
          <w:color w:val="auto"/>
        </w:rPr>
        <w:t>if prohibited by applicable law.</w:t>
      </w:r>
    </w:p>
    <w:p>
      <w:pPr>
        <w:spacing w:after="0" w:line="15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5.7 </w:t>
      </w:r>
      <w:r>
        <w:rPr>
          <w:rFonts w:ascii="Arial" w:cs="Arial" w:eastAsia="Arial" w:hAnsi="Arial"/>
          <w:sz w:val="19"/>
          <w:szCs w:val="19"/>
          <w:b w:val="1"/>
          <w:bCs w:val="1"/>
          <w:i w:val="1"/>
          <w:iCs w:val="1"/>
          <w:color w:val="auto"/>
        </w:rPr>
        <w:t>Determination; Claim</w:t>
      </w:r>
      <w:r>
        <w:rPr>
          <w:rFonts w:ascii="Arial" w:cs="Arial" w:eastAsia="Arial" w:hAnsi="Arial"/>
          <w:sz w:val="19"/>
          <w:szCs w:val="19"/>
          <w:color w:val="auto"/>
        </w:rPr>
        <w:t xml:space="preserve">. If a claim for indemnification or advancement of expenses under this </w:t>
      </w:r>
      <w:r>
        <w:rPr>
          <w:rFonts w:ascii="Arial" w:cs="Arial" w:eastAsia="Arial" w:hAnsi="Arial"/>
          <w:sz w:val="19"/>
          <w:szCs w:val="19"/>
          <w:b w:val="1"/>
          <w:bCs w:val="1"/>
          <w:color w:val="auto"/>
        </w:rPr>
        <w:t>Article V</w:t>
      </w:r>
      <w:r>
        <w:rPr>
          <w:rFonts w:ascii="Arial" w:cs="Arial" w:eastAsia="Arial" w:hAnsi="Arial"/>
          <w:sz w:val="19"/>
          <w:szCs w:val="19"/>
          <w:color w:val="auto"/>
        </w:rPr>
        <w:t xml:space="preserve"> is not paid by the Company or on its behalf within 90 days after receipt by the Company of a written request therefor, the claimant shall be entitled to an adjudication by a court of competent jurisdiction of his or her entitlement to such indemnification or advancement of expenses. To the extent not prohibited by law, the Company shall indemnify such person against all expenses actually and reasonably incurred by such person in connection with any action for indemnification or advancement of expenses from the Company under this </w:t>
      </w:r>
      <w:r>
        <w:rPr>
          <w:rFonts w:ascii="Arial" w:cs="Arial" w:eastAsia="Arial" w:hAnsi="Arial"/>
          <w:sz w:val="19"/>
          <w:szCs w:val="19"/>
          <w:b w:val="1"/>
          <w:bCs w:val="1"/>
          <w:color w:val="auto"/>
        </w:rPr>
        <w:t>Article V</w:t>
      </w:r>
      <w:r>
        <w:rPr>
          <w:rFonts w:ascii="Arial" w:cs="Arial" w:eastAsia="Arial" w:hAnsi="Arial"/>
          <w:sz w:val="19"/>
          <w:szCs w:val="19"/>
          <w:color w:val="auto"/>
        </w:rPr>
        <w:t>, to the extent such person is successful in such action, and, if requested by such person, shall advance such expenses to such person, subject to the provisions of Section 5.5. In any such suit, the Company shall, to the fullest extent not prohibited by law, have the burden of proving that the claimant is not entitled to the requested indemnification or advancement of expenses.</w:t>
      </w:r>
    </w:p>
    <w:p>
      <w:pPr>
        <w:spacing w:after="0" w:line="11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5.8 </w:t>
      </w:r>
      <w:r>
        <w:rPr>
          <w:rFonts w:ascii="Arial" w:cs="Arial" w:eastAsia="Arial" w:hAnsi="Arial"/>
          <w:sz w:val="19"/>
          <w:szCs w:val="19"/>
          <w:b w:val="1"/>
          <w:bCs w:val="1"/>
          <w:i w:val="1"/>
          <w:iCs w:val="1"/>
          <w:color w:val="auto"/>
        </w:rPr>
        <w:t>Non-Exclusivity of Rights</w:t>
      </w:r>
      <w:r>
        <w:rPr>
          <w:rFonts w:ascii="Arial" w:cs="Arial" w:eastAsia="Arial" w:hAnsi="Arial"/>
          <w:sz w:val="19"/>
          <w:szCs w:val="19"/>
          <w:color w:val="auto"/>
        </w:rPr>
        <w:t xml:space="preserve">. The indemnification and advancement of expenses provided by, or granted pursuant to, this </w:t>
      </w:r>
      <w:r>
        <w:rPr>
          <w:rFonts w:ascii="Arial" w:cs="Arial" w:eastAsia="Arial" w:hAnsi="Arial"/>
          <w:sz w:val="19"/>
          <w:szCs w:val="19"/>
          <w:b w:val="1"/>
          <w:bCs w:val="1"/>
          <w:color w:val="auto"/>
        </w:rPr>
        <w:t>Article</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V </w:t>
      </w:r>
      <w:r>
        <w:rPr>
          <w:rFonts w:ascii="Arial" w:cs="Arial" w:eastAsia="Arial" w:hAnsi="Arial"/>
          <w:sz w:val="19"/>
          <w:szCs w:val="19"/>
          <w:color w:val="auto"/>
        </w:rPr>
        <w:t>shall not be deemed exclusive of any other rights to which those seeking indemnification or advancement of expenses may be entitled</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the certificate of incorporation or any statute, bylaw, agreement, vote of stockholders or disinterested directors or otherwise, both as to action in such person's official capacity and as to action in another capacity while holding such office. The Company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- 11 -</w:t>
      </w:r>
    </w:p>
    <w:p>
      <w:pPr>
        <w:sectPr>
          <w:pgSz w:w="11900" w:h="16838" w:orient="portrait"/>
          <w:cols w:equalWidth="0" w:num="1">
            <w:col w:w="11240"/>
          </w:cols>
          <w:pgMar w:left="320" w:top="1413" w:right="339" w:bottom="1440" w:gutter="0" w:footer="0" w:header="0"/>
        </w:sectPr>
      </w:pPr>
    </w:p>
    <w:bookmarkStart w:id="251" w:name="page252"/>
    <w:bookmarkEnd w:id="251"/>
    <w:p>
      <w:pPr>
        <w:jc w:val="both"/>
        <w:ind w:firstLine="648"/>
        <w:spacing w:after="0" w:line="244" w:lineRule="auto"/>
        <w:rPr>
          <w:sz w:val="20"/>
          <w:szCs w:val="20"/>
          <w:color w:val="auto"/>
        </w:rPr>
      </w:pPr>
      <w:r>
        <w:rPr>
          <w:rFonts w:ascii="Arial" w:cs="Arial" w:eastAsia="Arial" w:hAnsi="Arial"/>
          <w:sz w:val="20"/>
          <w:szCs w:val="20"/>
          <w:color w:val="auto"/>
        </w:rPr>
        <w:t xml:space="preserve">5.9 </w:t>
      </w:r>
      <w:r>
        <w:rPr>
          <w:rFonts w:ascii="Arial" w:cs="Arial" w:eastAsia="Arial" w:hAnsi="Arial"/>
          <w:sz w:val="20"/>
          <w:szCs w:val="20"/>
          <w:b w:val="1"/>
          <w:bCs w:val="1"/>
          <w:i w:val="1"/>
          <w:iCs w:val="1"/>
          <w:color w:val="auto"/>
        </w:rPr>
        <w:t>Insurance</w:t>
      </w:r>
      <w:r>
        <w:rPr>
          <w:rFonts w:ascii="Arial" w:cs="Arial" w:eastAsia="Arial" w:hAnsi="Arial"/>
          <w:sz w:val="20"/>
          <w:szCs w:val="20"/>
          <w:color w:val="auto"/>
        </w:rPr>
        <w:t>. The Company may purchase and maintain insurance on behalf of any person who is or was a director, officer, employee or agent of the Company, or is or was serving at the request of the Company as a director, officer, employee or agent of another corporation, partnership,joint venture, trust or other enterprise against any liability asserted against such person and incurred by such person in any such capacity, or arising out of such person's status as such, whether or not the Company would have the power to indemnify such person against such liability under the provisions of the DGCL.</w:t>
      </w:r>
    </w:p>
    <w:p>
      <w:pPr>
        <w:spacing w:after="0" w:line="13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5.10 </w:t>
      </w:r>
      <w:r>
        <w:rPr>
          <w:rFonts w:ascii="Arial" w:cs="Arial" w:eastAsia="Arial" w:hAnsi="Arial"/>
          <w:sz w:val="20"/>
          <w:szCs w:val="20"/>
          <w:b w:val="1"/>
          <w:bCs w:val="1"/>
          <w:i w:val="1"/>
          <w:iCs w:val="1"/>
          <w:color w:val="auto"/>
        </w:rPr>
        <w:t>Survival</w:t>
      </w:r>
      <w:r>
        <w:rPr>
          <w:rFonts w:ascii="Arial" w:cs="Arial" w:eastAsia="Arial" w:hAnsi="Arial"/>
          <w:sz w:val="20"/>
          <w:szCs w:val="20"/>
          <w:color w:val="auto"/>
        </w:rPr>
        <w:t xml:space="preserve">. The rights to indemnification and advancement of expenses conferred by this </w:t>
      </w:r>
      <w:r>
        <w:rPr>
          <w:rFonts w:ascii="Arial" w:cs="Arial" w:eastAsia="Arial" w:hAnsi="Arial"/>
          <w:sz w:val="20"/>
          <w:szCs w:val="20"/>
          <w:b w:val="1"/>
          <w:bCs w:val="1"/>
          <w:color w:val="auto"/>
        </w:rPr>
        <w:t>Article V</w:t>
      </w:r>
      <w:r>
        <w:rPr>
          <w:rFonts w:ascii="Arial" w:cs="Arial" w:eastAsia="Arial" w:hAnsi="Arial"/>
          <w:sz w:val="20"/>
          <w:szCs w:val="20"/>
          <w:color w:val="auto"/>
        </w:rPr>
        <w:t xml:space="preserve"> shall continue as to a person who has ceased to be a director, officer, employee or agent and shall inure to the benefit of the heirs, executors and administrators of such a person.</w:t>
      </w:r>
    </w:p>
    <w:p>
      <w:pPr>
        <w:spacing w:after="0" w:line="12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 xml:space="preserve">5.11 </w:t>
      </w:r>
      <w:r>
        <w:rPr>
          <w:rFonts w:ascii="Arial" w:cs="Arial" w:eastAsia="Arial" w:hAnsi="Arial"/>
          <w:sz w:val="19"/>
          <w:szCs w:val="19"/>
          <w:b w:val="1"/>
          <w:bCs w:val="1"/>
          <w:i w:val="1"/>
          <w:iCs w:val="1"/>
          <w:color w:val="auto"/>
        </w:rPr>
        <w:t>Effect of Repeal or Modification</w:t>
      </w:r>
      <w:r>
        <w:rPr>
          <w:rFonts w:ascii="Arial" w:cs="Arial" w:eastAsia="Arial" w:hAnsi="Arial"/>
          <w:sz w:val="19"/>
          <w:szCs w:val="19"/>
          <w:color w:val="auto"/>
        </w:rPr>
        <w:t xml:space="preserve">. Any amendment, alteration or repeal of this </w:t>
      </w:r>
      <w:r>
        <w:rPr>
          <w:rFonts w:ascii="Arial" w:cs="Arial" w:eastAsia="Arial" w:hAnsi="Arial"/>
          <w:sz w:val="19"/>
          <w:szCs w:val="19"/>
          <w:b w:val="1"/>
          <w:bCs w:val="1"/>
          <w:color w:val="auto"/>
        </w:rPr>
        <w:t>Article V</w:t>
      </w:r>
      <w:r>
        <w:rPr>
          <w:rFonts w:ascii="Arial" w:cs="Arial" w:eastAsia="Arial" w:hAnsi="Arial"/>
          <w:sz w:val="19"/>
          <w:szCs w:val="19"/>
          <w:color w:val="auto"/>
        </w:rPr>
        <w:t xml:space="preserve"> shall not adversely affect any right or protection hereunder of any person in respect of any act or omission occurring prior to such amendment, alteration or repeal.</w:t>
      </w:r>
    </w:p>
    <w:p>
      <w:pPr>
        <w:spacing w:after="0" w:line="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b w:val="1"/>
          <w:bCs w:val="1"/>
          <w:i w:val="1"/>
          <w:iCs w:val="1"/>
          <w:color w:val="auto"/>
        </w:rPr>
        <w:t>Certain Definitions</w:t>
      </w:r>
      <w:r>
        <w:rPr>
          <w:rFonts w:ascii="Arial" w:cs="Arial" w:eastAsia="Arial" w:hAnsi="Arial"/>
          <w:sz w:val="18"/>
          <w:szCs w:val="18"/>
          <w:color w:val="auto"/>
        </w:rPr>
        <w:t xml:space="preserve">. For purposes of this </w:t>
      </w:r>
      <w:r>
        <w:rPr>
          <w:rFonts w:ascii="Arial" w:cs="Arial" w:eastAsia="Arial" w:hAnsi="Arial"/>
          <w:sz w:val="18"/>
          <w:szCs w:val="18"/>
          <w:b w:val="1"/>
          <w:bCs w:val="1"/>
          <w:color w:val="auto"/>
        </w:rPr>
        <w:t>Article V</w:t>
      </w:r>
      <w:r>
        <w:rPr>
          <w:rFonts w:ascii="Arial" w:cs="Arial" w:eastAsia="Arial" w:hAnsi="Arial"/>
          <w:sz w:val="18"/>
          <w:szCs w:val="18"/>
          <w:color w:val="auto"/>
        </w:rPr>
        <w:t>, references to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w:t>
      </w:r>
      <w:r>
        <w:rPr>
          <w:rFonts w:ascii="Arial" w:cs="Arial" w:eastAsia="Arial" w:hAnsi="Arial"/>
          <w:sz w:val="18"/>
          <w:szCs w:val="18"/>
          <w:b w:val="1"/>
          <w:bCs w:val="1"/>
          <w:color w:val="auto"/>
        </w:rPr>
        <w:t>Article V</w:t>
      </w:r>
      <w:r>
        <w:rPr>
          <w:rFonts w:ascii="Arial" w:cs="Arial" w:eastAsia="Arial" w:hAnsi="Arial"/>
          <w:sz w:val="18"/>
          <w:szCs w:val="18"/>
          <w:color w:val="auto"/>
        </w:rPr>
        <w:t xml:space="preserve"> with respect to the resulting or surviving corporation as such person would have with respect to such constituent corporation if its separate existence had continued. For purposes of this </w:t>
      </w:r>
      <w:r>
        <w:rPr>
          <w:rFonts w:ascii="Arial" w:cs="Arial" w:eastAsia="Arial" w:hAnsi="Arial"/>
          <w:sz w:val="18"/>
          <w:szCs w:val="18"/>
          <w:b w:val="1"/>
          <w:bCs w:val="1"/>
          <w:color w:val="auto"/>
        </w:rPr>
        <w:t>Article V</w:t>
      </w:r>
      <w:r>
        <w:rPr>
          <w:rFonts w:ascii="Arial" w:cs="Arial" w:eastAsia="Arial" w:hAnsi="Arial"/>
          <w:sz w:val="18"/>
          <w:szCs w:val="18"/>
          <w:color w:val="auto"/>
        </w:rPr>
        <w:t>, references to “</w:t>
      </w:r>
      <w:r>
        <w:rPr>
          <w:rFonts w:ascii="Arial" w:cs="Arial" w:eastAsia="Arial" w:hAnsi="Arial"/>
          <w:sz w:val="18"/>
          <w:szCs w:val="18"/>
          <w:b w:val="1"/>
          <w:bCs w:val="1"/>
          <w:color w:val="auto"/>
        </w:rPr>
        <w:t>other enterprises</w:t>
      </w:r>
      <w:r>
        <w:rPr>
          <w:rFonts w:ascii="Arial" w:cs="Arial" w:eastAsia="Arial" w:hAnsi="Arial"/>
          <w:sz w:val="18"/>
          <w:szCs w:val="18"/>
          <w:color w:val="auto"/>
        </w:rPr>
        <w:t>” shall include employee benefit plans; references to “</w:t>
      </w:r>
      <w:r>
        <w:rPr>
          <w:rFonts w:ascii="Arial" w:cs="Arial" w:eastAsia="Arial" w:hAnsi="Arial"/>
          <w:sz w:val="18"/>
          <w:szCs w:val="18"/>
          <w:b w:val="1"/>
          <w:bCs w:val="1"/>
          <w:color w:val="auto"/>
        </w:rPr>
        <w:t>fines</w:t>
      </w:r>
      <w:r>
        <w:rPr>
          <w:rFonts w:ascii="Arial" w:cs="Arial" w:eastAsia="Arial" w:hAnsi="Arial"/>
          <w:sz w:val="18"/>
          <w:szCs w:val="18"/>
          <w:color w:val="auto"/>
        </w:rPr>
        <w:t>” shall include any excise taxes assessed on a person with respect to an employee benefit plan; and references to “</w:t>
      </w:r>
      <w:r>
        <w:rPr>
          <w:rFonts w:ascii="Arial" w:cs="Arial" w:eastAsia="Arial" w:hAnsi="Arial"/>
          <w:sz w:val="18"/>
          <w:szCs w:val="18"/>
          <w:b w:val="1"/>
          <w:bCs w:val="1"/>
          <w:color w:val="auto"/>
        </w:rPr>
        <w:t>serving at the request of the Company</w:t>
      </w:r>
      <w:r>
        <w:rPr>
          <w:rFonts w:ascii="Arial" w:cs="Arial" w:eastAsia="Arial" w:hAnsi="Arial"/>
          <w:sz w:val="18"/>
          <w:szCs w:val="18"/>
          <w:color w:val="auto"/>
        </w:rPr>
        <w:t>”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Arial" w:cs="Arial" w:eastAsia="Arial" w:hAnsi="Arial"/>
          <w:sz w:val="18"/>
          <w:szCs w:val="18"/>
          <w:b w:val="1"/>
          <w:bCs w:val="1"/>
          <w:color w:val="auto"/>
        </w:rPr>
        <w:t>not opposed to the best interests of the Company</w:t>
      </w:r>
      <w:r>
        <w:rPr>
          <w:rFonts w:ascii="Arial" w:cs="Arial" w:eastAsia="Arial" w:hAnsi="Arial"/>
          <w:sz w:val="18"/>
          <w:szCs w:val="18"/>
          <w:color w:val="auto"/>
        </w:rPr>
        <w:t xml:space="preserve">” as referred to in this </w:t>
      </w:r>
      <w:r>
        <w:rPr>
          <w:rFonts w:ascii="Arial" w:cs="Arial" w:eastAsia="Arial" w:hAnsi="Arial"/>
          <w:sz w:val="18"/>
          <w:szCs w:val="18"/>
          <w:b w:val="1"/>
          <w:bCs w:val="1"/>
          <w:color w:val="auto"/>
        </w:rPr>
        <w:t>Article V</w:t>
      </w:r>
      <w:r>
        <w:rPr>
          <w:rFonts w:ascii="Arial" w:cs="Arial" w:eastAsia="Arial" w:hAnsi="Arial"/>
          <w:sz w:val="18"/>
          <w:szCs w:val="18"/>
          <w:color w:val="auto"/>
        </w:rPr>
        <w: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 — STOCK</w:t>
      </w:r>
    </w:p>
    <w:p>
      <w:pPr>
        <w:spacing w:after="0" w:line="16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b w:val="1"/>
          <w:bCs w:val="1"/>
          <w:i w:val="1"/>
          <w:iCs w:val="1"/>
          <w:color w:val="auto"/>
        </w:rPr>
        <w:t>Stock Certificates; Partly Paid Shares</w:t>
      </w:r>
      <w:r>
        <w:rPr>
          <w:rFonts w:ascii="Arial" w:cs="Arial" w:eastAsia="Arial" w:hAnsi="Arial"/>
          <w:sz w:val="19"/>
          <w:szCs w:val="19"/>
          <w:color w:val="auto"/>
        </w:rPr>
        <w:t xml:space="preserve">. The shares of the Company shall be represented by certificates,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Board may provide by resolution or resolutions that some or all of any or all classes or series of its stock shall be uncertificated shares. Any such resolution shall not apply to shares represented by a certificate until such certificate is surrendered to the Company. Every holder of stock represented by certificates shall be entitled to have a certificate signed by, or in the name of the Company by the Chairperson of the Board or Vice-Chairperson of the Board, or the President or a Vice-President, and by the Treasurer or an Assistant Treasurer, or the Secretary or an Assistant Secretary of the Company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Company with the same effect as if such person were such officer, transfer agent or registrar at the date of issue. The Company shall not have power to issue a certificate in bearer form.</w:t>
      </w:r>
    </w:p>
    <w:p>
      <w:pPr>
        <w:spacing w:after="0" w:line="13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Company may issue the whole or any part of its shares as partly paid and subject to call for the remainder of the consideration to be paid therefor. Upon the face or back of each stock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- 12 -</w:t>
      </w:r>
    </w:p>
    <w:p>
      <w:pPr>
        <w:sectPr>
          <w:pgSz w:w="11900" w:h="16838" w:orient="portrait"/>
          <w:cols w:equalWidth="0" w:num="1">
            <w:col w:w="11240"/>
          </w:cols>
          <w:pgMar w:left="320" w:top="1419" w:right="339" w:bottom="1440" w:gutter="0" w:footer="0" w:header="0"/>
        </w:sectPr>
      </w:pPr>
    </w:p>
    <w:bookmarkStart w:id="252" w:name="page253"/>
    <w:bookmarkEnd w:id="252"/>
    <w:p>
      <w:pPr>
        <w:jc w:val="both"/>
        <w:spacing w:after="0" w:line="246" w:lineRule="auto"/>
        <w:rPr>
          <w:sz w:val="20"/>
          <w:szCs w:val="20"/>
          <w:color w:val="auto"/>
        </w:rPr>
      </w:pPr>
      <w:r>
        <w:rPr>
          <w:rFonts w:ascii="Arial" w:cs="Arial" w:eastAsia="Arial" w:hAnsi="Arial"/>
          <w:sz w:val="20"/>
          <w:szCs w:val="20"/>
          <w:color w:val="auto"/>
        </w:rPr>
        <w:t>issued to represent any such partly paid shares, or upon the books and records of the Company in the case of uncertificated partly paid shares, the total amount of the consideration to be paid therefor and the amount paid thereon shall be stated. Upon the declaration of any dividend on fully paid shares, the Company shall declare a dividend upon partly paid shares of the same class, but only upon the basis of the percentage of the consideration actually paid thereon.</w:t>
      </w:r>
    </w:p>
    <w:p>
      <w:pPr>
        <w:spacing w:after="0" w:line="13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i w:val="1"/>
          <w:iCs w:val="1"/>
          <w:color w:val="auto"/>
        </w:rPr>
        <w:t>Special Designation on Certificates</w:t>
      </w:r>
      <w:r>
        <w:rPr>
          <w:rFonts w:ascii="Arial" w:cs="Arial" w:eastAsia="Arial" w:hAnsi="Arial"/>
          <w:sz w:val="18"/>
          <w:szCs w:val="18"/>
          <w:color w:val="auto"/>
        </w:rPr>
        <w:t xml:space="preserve">. If the Company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Company shall issue to represent such class or series of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except as otherwise provided in Section 202 of the DGCL, in lieu of the foregoing requirements there may be set forth on the face or back of the certificate that the Company shall issue to represent such class or series of stock,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Company shall send to the registered owner thereof a written notice containing the information required to be set forth or stated on certificates pursuant to this section 6.2 or Sections 156, 202(a) or 218(a) of the DGCL or with respect to this section 6.2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1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b w:val="1"/>
          <w:bCs w:val="1"/>
          <w:i w:val="1"/>
          <w:iCs w:val="1"/>
          <w:color w:val="auto"/>
        </w:rPr>
        <w:t>Lost Certificates</w:t>
      </w:r>
      <w:r>
        <w:rPr>
          <w:rFonts w:ascii="Arial" w:cs="Arial" w:eastAsia="Arial" w:hAnsi="Arial"/>
          <w:sz w:val="19"/>
          <w:szCs w:val="19"/>
          <w:color w:val="auto"/>
        </w:rPr>
        <w:t xml:space="preserve">. Except as provided in this </w:t>
      </w:r>
      <w:r>
        <w:rPr>
          <w:rFonts w:ascii="Arial" w:cs="Arial" w:eastAsia="Arial" w:hAnsi="Arial"/>
          <w:sz w:val="19"/>
          <w:szCs w:val="19"/>
          <w:b w:val="1"/>
          <w:bCs w:val="1"/>
          <w:color w:val="auto"/>
        </w:rPr>
        <w:t>section 6.3</w:t>
      </w:r>
      <w:r>
        <w:rPr>
          <w:rFonts w:ascii="Arial" w:cs="Arial" w:eastAsia="Arial" w:hAnsi="Arial"/>
          <w:sz w:val="19"/>
          <w:szCs w:val="19"/>
          <w:color w:val="auto"/>
        </w:rPr>
        <w:t>, no new certificates for shares shall be issued to replace a previously issued certificate unless the latter is surrendered to the Company and cancelled at the same time. The Company may issue a new certificate of stock or uncertificated shares in the place of any certificate theretofore issued by it, alleged to have been lost, stolen or destroyed, and the Company may require the owner of the lost, stolen or destroyed certificate, or such owner's legal representative, to give the Company a bond sufficient to indemnify it against any claim that may be made against it on account of the alleged loss, theft or destruction of any such certificate or the issuance of such new certificate or uncertificated shares.</w:t>
      </w:r>
    </w:p>
    <w:p>
      <w:pPr>
        <w:spacing w:after="0" w:line="12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6.4 </w:t>
      </w:r>
      <w:r>
        <w:rPr>
          <w:rFonts w:ascii="Arial" w:cs="Arial" w:eastAsia="Arial" w:hAnsi="Arial"/>
          <w:sz w:val="20"/>
          <w:szCs w:val="20"/>
          <w:b w:val="1"/>
          <w:bCs w:val="1"/>
          <w:i w:val="1"/>
          <w:iCs w:val="1"/>
          <w:color w:val="auto"/>
        </w:rPr>
        <w:t>Dividends</w:t>
      </w:r>
      <w:r>
        <w:rPr>
          <w:rFonts w:ascii="Arial" w:cs="Arial" w:eastAsia="Arial" w:hAnsi="Arial"/>
          <w:sz w:val="20"/>
          <w:szCs w:val="20"/>
          <w:color w:val="auto"/>
        </w:rPr>
        <w:t>. The Board, subject to any restrictions contained in the certificate of incorporation or applicable law, may declare and pay dividends upon the shares of the Company's capital stock. Dividends may be paid in cash, in property, or in shares of the Company's capital stock, subject to the provisions of the certificate of incorporation.</w:t>
      </w:r>
    </w:p>
    <w:p>
      <w:pPr>
        <w:spacing w:after="0" w:line="13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Board may set apart out of any of the funds of the Company available for dividends a reserve or reserves for any proper purpose and may abolish any such reserve.</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6.5 </w:t>
      </w:r>
      <w:r>
        <w:rPr>
          <w:rFonts w:ascii="Arial" w:cs="Arial" w:eastAsia="Arial" w:hAnsi="Arial"/>
          <w:sz w:val="20"/>
          <w:szCs w:val="20"/>
          <w:b w:val="1"/>
          <w:bCs w:val="1"/>
          <w:i w:val="1"/>
          <w:iCs w:val="1"/>
          <w:color w:val="auto"/>
        </w:rPr>
        <w:t>Stock Transfer Agreements</w:t>
      </w:r>
      <w:r>
        <w:rPr>
          <w:rFonts w:ascii="Arial" w:cs="Arial" w:eastAsia="Arial" w:hAnsi="Arial"/>
          <w:sz w:val="20"/>
          <w:szCs w:val="20"/>
          <w:color w:val="auto"/>
        </w:rPr>
        <w:t>. The Company shall have power to enter into and perform any agreement with any number of stockholders of any one or more classes of stock of the Company to restrict the transfer of shares of stock of the Company of any one or more classes owned by such stockholders in any manner not prohibited by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- 13 -</w:t>
      </w:r>
    </w:p>
    <w:p>
      <w:pPr>
        <w:sectPr>
          <w:pgSz w:w="11900" w:h="16838" w:orient="portrait"/>
          <w:cols w:equalWidth="0" w:num="1">
            <w:col w:w="11240"/>
          </w:cols>
          <w:pgMar w:left="320" w:top="1419" w:right="339" w:bottom="1440" w:gutter="0" w:footer="0" w:header="0"/>
        </w:sectPr>
      </w:pPr>
    </w:p>
    <w:bookmarkStart w:id="253" w:name="page254"/>
    <w:bookmarkEnd w:id="253"/>
    <w:p>
      <w:pPr>
        <w:ind w:left="660"/>
        <w:spacing w:after="0"/>
        <w:tabs>
          <w:tab w:leader="none" w:pos="1080" w:val="left"/>
        </w:tabs>
        <w:rPr>
          <w:sz w:val="20"/>
          <w:szCs w:val="20"/>
          <w:color w:val="auto"/>
        </w:rPr>
      </w:pPr>
      <w:r>
        <w:rPr>
          <w:rFonts w:ascii="Arial" w:cs="Arial" w:eastAsia="Arial" w:hAnsi="Arial"/>
          <w:sz w:val="20"/>
          <w:szCs w:val="20"/>
          <w:color w:val="auto"/>
        </w:rPr>
        <w:t>6.6</w:t>
      </w:r>
      <w:r>
        <w:rPr>
          <w:sz w:val="20"/>
          <w:szCs w:val="20"/>
          <w:color w:val="auto"/>
        </w:rPr>
        <w:tab/>
      </w:r>
      <w:r>
        <w:rPr>
          <w:rFonts w:ascii="Arial" w:cs="Arial" w:eastAsia="Arial" w:hAnsi="Arial"/>
          <w:sz w:val="16"/>
          <w:szCs w:val="16"/>
          <w:b w:val="1"/>
          <w:bCs w:val="1"/>
          <w:i w:val="1"/>
          <w:iCs w:val="1"/>
          <w:color w:val="auto"/>
        </w:rPr>
        <w:t xml:space="preserve">Registered Stockholders. </w:t>
      </w:r>
      <w:r>
        <w:rPr>
          <w:rFonts w:ascii="Arial" w:cs="Arial" w:eastAsia="Arial" w:hAnsi="Arial"/>
          <w:sz w:val="16"/>
          <w:szCs w:val="16"/>
          <w:color w:val="auto"/>
        </w:rPr>
        <w:t>The Company:</w:t>
      </w:r>
    </w:p>
    <w:p>
      <w:pPr>
        <w:spacing w:after="0" w:line="162" w:lineRule="exact"/>
        <w:rPr>
          <w:sz w:val="20"/>
          <w:szCs w:val="20"/>
          <w:color w:val="auto"/>
        </w:rPr>
      </w:pPr>
    </w:p>
    <w:p>
      <w:pPr>
        <w:ind w:firstLine="1304"/>
        <w:spacing w:after="0" w:line="260" w:lineRule="auto"/>
        <w:tabs>
          <w:tab w:leader="none" w:pos="1739" w:val="left"/>
        </w:tabs>
        <w:numPr>
          <w:ilvl w:val="0"/>
          <w:numId w:val="187"/>
        </w:numPr>
        <w:rPr>
          <w:rFonts w:ascii="Arial" w:cs="Arial" w:eastAsia="Arial" w:hAnsi="Arial"/>
          <w:sz w:val="20"/>
          <w:szCs w:val="20"/>
          <w:color w:val="auto"/>
        </w:rPr>
      </w:pPr>
      <w:r>
        <w:rPr>
          <w:rFonts w:ascii="Arial" w:cs="Arial" w:eastAsia="Arial" w:hAnsi="Arial"/>
          <w:sz w:val="20"/>
          <w:szCs w:val="20"/>
          <w:color w:val="auto"/>
        </w:rPr>
        <w:t>shall be entitled to recognize the exclusive right of a person registered on its books as the owner of shares to receive dividends and to vote as such owner;</w:t>
      </w:r>
    </w:p>
    <w:p>
      <w:pPr>
        <w:spacing w:after="0" w:line="122" w:lineRule="exact"/>
        <w:rPr>
          <w:rFonts w:ascii="Arial" w:cs="Arial" w:eastAsia="Arial" w:hAnsi="Arial"/>
          <w:sz w:val="20"/>
          <w:szCs w:val="20"/>
          <w:color w:val="auto"/>
        </w:rPr>
      </w:pPr>
    </w:p>
    <w:p>
      <w:pPr>
        <w:ind w:left="1740" w:hanging="436"/>
        <w:spacing w:after="0"/>
        <w:tabs>
          <w:tab w:leader="none" w:pos="17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shall be entitled to hold liable for calls and assessments the person registered on its books as the owner of shares; and</w:t>
      </w:r>
    </w:p>
    <w:p>
      <w:pPr>
        <w:spacing w:after="0" w:line="184" w:lineRule="exact"/>
        <w:rPr>
          <w:rFonts w:ascii="Arial" w:cs="Arial" w:eastAsia="Arial" w:hAnsi="Arial"/>
          <w:sz w:val="18"/>
          <w:szCs w:val="18"/>
          <w:color w:val="auto"/>
        </w:rPr>
      </w:pPr>
    </w:p>
    <w:p>
      <w:pPr>
        <w:ind w:right="20" w:firstLine="1304"/>
        <w:spacing w:after="0" w:line="287" w:lineRule="auto"/>
        <w:tabs>
          <w:tab w:leader="none" w:pos="1797" w:val="left"/>
        </w:tabs>
        <w:numPr>
          <w:ilvl w:val="0"/>
          <w:numId w:val="187"/>
        </w:numPr>
        <w:rPr>
          <w:rFonts w:ascii="Arial" w:cs="Arial" w:eastAsia="Arial" w:hAnsi="Arial"/>
          <w:sz w:val="19"/>
          <w:szCs w:val="19"/>
          <w:color w:val="auto"/>
        </w:rPr>
      </w:pPr>
      <w:r>
        <w:rPr>
          <w:rFonts w:ascii="Arial" w:cs="Arial" w:eastAsia="Arial" w:hAnsi="Arial"/>
          <w:sz w:val="19"/>
          <w:szCs w:val="19"/>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9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6.7 </w:t>
      </w:r>
      <w:r>
        <w:rPr>
          <w:rFonts w:ascii="Arial" w:cs="Arial" w:eastAsia="Arial" w:hAnsi="Arial"/>
          <w:sz w:val="19"/>
          <w:szCs w:val="19"/>
          <w:b w:val="1"/>
          <w:bCs w:val="1"/>
          <w:i w:val="1"/>
          <w:iCs w:val="1"/>
          <w:color w:val="auto"/>
        </w:rPr>
        <w:t>Transfers</w:t>
      </w:r>
      <w:r>
        <w:rPr>
          <w:rFonts w:ascii="Arial" w:cs="Arial" w:eastAsia="Arial" w:hAnsi="Arial"/>
          <w:sz w:val="19"/>
          <w:szCs w:val="19"/>
          <w:color w:val="auto"/>
        </w:rPr>
        <w:t>. Transfers of record of shares of stock of the Company shall be made only upon its books by the holders thereof, in person or by an attorney duly authorized, and, if such stock is certificated, upon the surrender of a certificate or certificates for a like number of shares, properly endorsed or accompanied by proper evidence of succession, assignation or authority to transfer.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 — MANNER OF GIVING NOTICE AND WAIVER</w:t>
      </w:r>
    </w:p>
    <w:p>
      <w:pPr>
        <w:spacing w:after="0" w:line="1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7.1 </w:t>
      </w:r>
      <w:r>
        <w:rPr>
          <w:rFonts w:ascii="Arial" w:cs="Arial" w:eastAsia="Arial" w:hAnsi="Arial"/>
          <w:sz w:val="20"/>
          <w:szCs w:val="20"/>
          <w:b w:val="1"/>
          <w:bCs w:val="1"/>
          <w:i w:val="1"/>
          <w:iCs w:val="1"/>
          <w:color w:val="auto"/>
        </w:rPr>
        <w:t>Notice of Stockholder Meetings</w:t>
      </w:r>
      <w:r>
        <w:rPr>
          <w:rFonts w:ascii="Arial" w:cs="Arial" w:eastAsia="Arial" w:hAnsi="Arial"/>
          <w:sz w:val="20"/>
          <w:szCs w:val="20"/>
          <w:color w:val="auto"/>
        </w:rPr>
        <w:t xml:space="preserve">. Notice of any meeting of stockholders, if mailed, is given when deposited in the United States mail, postage prepaid, directed to the stockholder at such stockholder's address as it appears on the Company's records. An affidavit of the Secretary or an Assistant Secretary of the Company or of the transfer agent or other agent of the Company that the notice has been given shall, in the absence of fraud, be </w:t>
      </w:r>
      <w:r>
        <w:rPr>
          <w:rFonts w:ascii="Arial" w:cs="Arial" w:eastAsia="Arial" w:hAnsi="Arial"/>
          <w:sz w:val="20"/>
          <w:szCs w:val="20"/>
          <w:i w:val="1"/>
          <w:iCs w:val="1"/>
          <w:color w:val="auto"/>
        </w:rPr>
        <w:t>prima facie</w:t>
      </w:r>
      <w:r>
        <w:rPr>
          <w:rFonts w:ascii="Arial" w:cs="Arial" w:eastAsia="Arial" w:hAnsi="Arial"/>
          <w:sz w:val="20"/>
          <w:szCs w:val="20"/>
          <w:color w:val="auto"/>
        </w:rPr>
        <w:t xml:space="preserve"> evidence of the facts stated therein.</w:t>
      </w:r>
    </w:p>
    <w:p>
      <w:pPr>
        <w:spacing w:after="0" w:line="13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7.2 </w:t>
      </w:r>
      <w:r>
        <w:rPr>
          <w:rFonts w:ascii="Arial" w:cs="Arial" w:eastAsia="Arial" w:hAnsi="Arial"/>
          <w:sz w:val="20"/>
          <w:szCs w:val="20"/>
          <w:b w:val="1"/>
          <w:bCs w:val="1"/>
          <w:i w:val="1"/>
          <w:iCs w:val="1"/>
          <w:color w:val="auto"/>
        </w:rPr>
        <w:t>Notice by Electronic Transmission</w:t>
      </w:r>
      <w:r>
        <w:rPr>
          <w:rFonts w:ascii="Arial" w:cs="Arial" w:eastAsia="Arial" w:hAnsi="Arial"/>
          <w:sz w:val="20"/>
          <w:szCs w:val="20"/>
          <w:color w:val="auto"/>
        </w:rPr>
        <w:t>. Without limiting the manner by which notice otherwise may be given effectively to stockholders pursuant to the DGCL, the certificate of incorporation or these bylaws, any notice to stockholders given by the Company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to the Company. Any such consent shall be deemed revoked if:</w:t>
      </w:r>
    </w:p>
    <w:p>
      <w:pPr>
        <w:spacing w:after="0" w:line="140" w:lineRule="exact"/>
        <w:rPr>
          <w:sz w:val="20"/>
          <w:szCs w:val="20"/>
          <w:color w:val="auto"/>
        </w:rPr>
      </w:pPr>
    </w:p>
    <w:p>
      <w:pPr>
        <w:ind w:firstLine="1304"/>
        <w:spacing w:after="0" w:line="260" w:lineRule="auto"/>
        <w:tabs>
          <w:tab w:leader="none" w:pos="1843" w:val="left"/>
        </w:tabs>
        <w:numPr>
          <w:ilvl w:val="0"/>
          <w:numId w:val="188"/>
        </w:numPr>
        <w:rPr>
          <w:rFonts w:ascii="Arial" w:cs="Arial" w:eastAsia="Arial" w:hAnsi="Arial"/>
          <w:sz w:val="20"/>
          <w:szCs w:val="20"/>
          <w:color w:val="auto"/>
        </w:rPr>
      </w:pPr>
      <w:r>
        <w:rPr>
          <w:rFonts w:ascii="Arial" w:cs="Arial" w:eastAsia="Arial" w:hAnsi="Arial"/>
          <w:sz w:val="20"/>
          <w:szCs w:val="20"/>
          <w:color w:val="auto"/>
        </w:rPr>
        <w:t>the Company is unable to deliver by electronic transmission two consecutive notices given by the Company in accordance with such consent; and</w:t>
      </w:r>
    </w:p>
    <w:p>
      <w:pPr>
        <w:spacing w:after="0" w:line="122" w:lineRule="exact"/>
        <w:rPr>
          <w:rFonts w:ascii="Arial" w:cs="Arial" w:eastAsia="Arial" w:hAnsi="Arial"/>
          <w:sz w:val="20"/>
          <w:szCs w:val="20"/>
          <w:color w:val="auto"/>
        </w:rPr>
      </w:pPr>
    </w:p>
    <w:p>
      <w:pPr>
        <w:ind w:firstLine="1304"/>
        <w:spacing w:after="0" w:line="260" w:lineRule="auto"/>
        <w:tabs>
          <w:tab w:leader="none" w:pos="1793" w:val="left"/>
        </w:tabs>
        <w:numPr>
          <w:ilvl w:val="0"/>
          <w:numId w:val="188"/>
        </w:numPr>
        <w:rPr>
          <w:rFonts w:ascii="Arial" w:cs="Arial" w:eastAsia="Arial" w:hAnsi="Arial"/>
          <w:sz w:val="20"/>
          <w:szCs w:val="20"/>
          <w:color w:val="auto"/>
        </w:rPr>
      </w:pPr>
      <w:r>
        <w:rPr>
          <w:rFonts w:ascii="Arial" w:cs="Arial" w:eastAsia="Arial" w:hAnsi="Arial"/>
          <w:sz w:val="20"/>
          <w:szCs w:val="20"/>
          <w:color w:val="auto"/>
        </w:rPr>
        <w:t>such inability becomes known to the Secretary or an Assistant Secretary of the Company or to the transfer agent, or other person responsible for the giving of notice.</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However, the inadvertent failure to treat such inability as a revocation shall not invalidate any meeting or other action.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Any notice given pursuant to the preceding paragraph shall be deemed given:</w:t>
      </w:r>
    </w:p>
    <w:p>
      <w:pPr>
        <w:spacing w:after="0" w:line="162" w:lineRule="exact"/>
        <w:rPr>
          <w:sz w:val="20"/>
          <w:szCs w:val="20"/>
          <w:color w:val="auto"/>
        </w:rPr>
      </w:pPr>
    </w:p>
    <w:p>
      <w:pPr>
        <w:ind w:left="1680" w:hanging="376"/>
        <w:spacing w:after="0"/>
        <w:tabs>
          <w:tab w:leader="none" w:pos="16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if by facsimile telecommunication, when directed to a number at which the stockholder has consented to receive notice;</w:t>
      </w:r>
    </w:p>
    <w:p>
      <w:pPr>
        <w:spacing w:after="0" w:line="184" w:lineRule="exact"/>
        <w:rPr>
          <w:rFonts w:ascii="Arial" w:cs="Arial" w:eastAsia="Arial" w:hAnsi="Arial"/>
          <w:sz w:val="18"/>
          <w:szCs w:val="18"/>
          <w:color w:val="auto"/>
        </w:rPr>
      </w:pPr>
    </w:p>
    <w:p>
      <w:pPr>
        <w:ind w:left="1820" w:hanging="516"/>
        <w:spacing w:after="0"/>
        <w:tabs>
          <w:tab w:leader="none" w:pos="182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if by electronic mail, when directed to an electronic mail address at which the stockholder has consented to receive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notice;</w:t>
      </w:r>
    </w:p>
    <w:p>
      <w:pPr>
        <w:spacing w:after="0" w:line="146" w:lineRule="exact"/>
        <w:rPr>
          <w:sz w:val="20"/>
          <w:szCs w:val="20"/>
          <w:color w:val="auto"/>
        </w:rPr>
      </w:pPr>
    </w:p>
    <w:p>
      <w:pPr>
        <w:ind w:right="20" w:firstLine="1304"/>
        <w:spacing w:after="0" w:line="260" w:lineRule="auto"/>
        <w:tabs>
          <w:tab w:leader="none" w:pos="1800" w:val="left"/>
        </w:tabs>
        <w:numPr>
          <w:ilvl w:val="0"/>
          <w:numId w:val="190"/>
        </w:numPr>
        <w:rPr>
          <w:rFonts w:ascii="Arial" w:cs="Arial" w:eastAsia="Arial" w:hAnsi="Arial"/>
          <w:sz w:val="20"/>
          <w:szCs w:val="20"/>
          <w:color w:val="auto"/>
        </w:rPr>
      </w:pPr>
      <w:r>
        <w:rPr>
          <w:rFonts w:ascii="Arial" w:cs="Arial" w:eastAsia="Arial" w:hAnsi="Arial"/>
          <w:sz w:val="20"/>
          <w:szCs w:val="20"/>
          <w:color w:val="auto"/>
        </w:rPr>
        <w:t>if by a posting on an electronic network together with separate notice to the stockholder of such specific posting, upon the later of (A) such posting and (B) the giving of such separate notice; and</w:t>
      </w:r>
    </w:p>
    <w:p>
      <w:pPr>
        <w:spacing w:after="0" w:line="122" w:lineRule="exact"/>
        <w:rPr>
          <w:rFonts w:ascii="Arial" w:cs="Arial" w:eastAsia="Arial" w:hAnsi="Arial"/>
          <w:sz w:val="20"/>
          <w:szCs w:val="20"/>
          <w:color w:val="auto"/>
        </w:rPr>
      </w:pPr>
    </w:p>
    <w:p>
      <w:pPr>
        <w:ind w:left="1780" w:hanging="476"/>
        <w:spacing w:after="0"/>
        <w:tabs>
          <w:tab w:leader="none" w:pos="1780" w:val="left"/>
        </w:tabs>
        <w:numPr>
          <w:ilvl w:val="0"/>
          <w:numId w:val="190"/>
        </w:numPr>
        <w:rPr>
          <w:rFonts w:ascii="Arial" w:cs="Arial" w:eastAsia="Arial" w:hAnsi="Arial"/>
          <w:sz w:val="20"/>
          <w:szCs w:val="20"/>
          <w:color w:val="auto"/>
        </w:rPr>
      </w:pPr>
      <w:r>
        <w:rPr>
          <w:rFonts w:ascii="Arial" w:cs="Arial" w:eastAsia="Arial" w:hAnsi="Arial"/>
          <w:sz w:val="20"/>
          <w:szCs w:val="20"/>
          <w:color w:val="auto"/>
        </w:rPr>
        <w:t>if by any other form of electronic transmission, when directed to the stockholder.</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8" w:lineRule="exact"/>
        <w:rPr>
          <w:rFonts w:ascii="Arial" w:cs="Arial" w:eastAsia="Arial" w:hAnsi="Arial"/>
          <w:sz w:val="20"/>
          <w:szCs w:val="20"/>
          <w:color w:val="auto"/>
        </w:rPr>
      </w:pPr>
    </w:p>
    <w:p>
      <w:pPr>
        <w:ind w:left="5520" w:hanging="110"/>
        <w:spacing w:after="0"/>
        <w:tabs>
          <w:tab w:leader="none" w:pos="5520" w:val="left"/>
        </w:tabs>
        <w:numPr>
          <w:ilvl w:val="1"/>
          <w:numId w:val="190"/>
        </w:numPr>
        <w:rPr>
          <w:rFonts w:ascii="Arial" w:cs="Arial" w:eastAsia="Arial" w:hAnsi="Arial"/>
          <w:sz w:val="20"/>
          <w:szCs w:val="20"/>
          <w:color w:val="auto"/>
        </w:rPr>
      </w:pPr>
      <w:r>
        <w:rPr>
          <w:rFonts w:ascii="Arial" w:cs="Arial" w:eastAsia="Arial" w:hAnsi="Arial"/>
          <w:sz w:val="20"/>
          <w:szCs w:val="20"/>
          <w:color w:val="auto"/>
        </w:rPr>
        <w:t>14 -</w:t>
      </w:r>
    </w:p>
    <w:p>
      <w:pPr>
        <w:sectPr>
          <w:pgSz w:w="11900" w:h="16838" w:orient="portrait"/>
          <w:cols w:equalWidth="0" w:num="1">
            <w:col w:w="11240"/>
          </w:cols>
          <w:pgMar w:left="320" w:top="1419" w:right="339" w:bottom="1440" w:gutter="0" w:footer="0" w:header="0"/>
        </w:sectPr>
      </w:pPr>
    </w:p>
    <w:bookmarkStart w:id="254" w:name="page255"/>
    <w:bookmarkEnd w:id="254"/>
    <w:p>
      <w:pPr>
        <w:jc w:val="both"/>
        <w:ind w:firstLine="648"/>
        <w:spacing w:after="0" w:line="287" w:lineRule="auto"/>
        <w:rPr>
          <w:sz w:val="20"/>
          <w:szCs w:val="20"/>
          <w:color w:val="auto"/>
        </w:rPr>
      </w:pPr>
      <w:r>
        <w:rPr>
          <w:rFonts w:ascii="Arial" w:cs="Arial" w:eastAsia="Arial" w:hAnsi="Arial"/>
          <w:sz w:val="19"/>
          <w:szCs w:val="19"/>
          <w:color w:val="auto"/>
        </w:rPr>
        <w:t xml:space="preserve">An affidavit of the Secretary or an Assistant Secretary or of the transfer agent or other agent of the Company that the notice has been given by a form of electronic transmission shall, in the absence of fraud, be </w:t>
      </w:r>
      <w:r>
        <w:rPr>
          <w:rFonts w:ascii="Arial" w:cs="Arial" w:eastAsia="Arial" w:hAnsi="Arial"/>
          <w:sz w:val="19"/>
          <w:szCs w:val="19"/>
          <w:i w:val="1"/>
          <w:iCs w:val="1"/>
          <w:color w:val="auto"/>
        </w:rPr>
        <w:t>prima facie</w:t>
      </w:r>
      <w:r>
        <w:rPr>
          <w:rFonts w:ascii="Arial" w:cs="Arial" w:eastAsia="Arial" w:hAnsi="Arial"/>
          <w:sz w:val="19"/>
          <w:szCs w:val="19"/>
          <w:color w:val="auto"/>
        </w:rPr>
        <w:t xml:space="preserve"> evidence of the facts stated therein.</w:t>
      </w:r>
    </w:p>
    <w:p>
      <w:pPr>
        <w:spacing w:after="0" w:line="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An “</w:t>
      </w:r>
      <w:r>
        <w:rPr>
          <w:rFonts w:ascii="Arial" w:cs="Arial" w:eastAsia="Arial" w:hAnsi="Arial"/>
          <w:sz w:val="20"/>
          <w:szCs w:val="20"/>
          <w:b w:val="1"/>
          <w:bCs w:val="1"/>
          <w:color w:val="auto"/>
        </w:rPr>
        <w:t>electronic transmission</w:t>
      </w:r>
      <w:r>
        <w:rPr>
          <w:rFonts w:ascii="Arial" w:cs="Arial" w:eastAsia="Arial" w:hAnsi="Arial"/>
          <w:sz w:val="20"/>
          <w:szCs w:val="20"/>
          <w:color w:val="auto"/>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Notice by a form of electronic transmission shall not apply to Sections 164, 296, 311, 312 or 324 of the DGCL.</w:t>
      </w:r>
    </w:p>
    <w:p>
      <w:pPr>
        <w:spacing w:after="0" w:line="16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7.3 </w:t>
      </w:r>
      <w:r>
        <w:rPr>
          <w:rFonts w:ascii="Arial" w:cs="Arial" w:eastAsia="Arial" w:hAnsi="Arial"/>
          <w:sz w:val="20"/>
          <w:szCs w:val="20"/>
          <w:b w:val="1"/>
          <w:bCs w:val="1"/>
          <w:i w:val="1"/>
          <w:iCs w:val="1"/>
          <w:color w:val="auto"/>
        </w:rPr>
        <w:t>Notice to Stockholders Sharing an Address</w:t>
      </w:r>
      <w:r>
        <w:rPr>
          <w:rFonts w:ascii="Arial" w:cs="Arial" w:eastAsia="Arial" w:hAnsi="Arial"/>
          <w:sz w:val="20"/>
          <w:szCs w:val="20"/>
          <w:color w:val="auto"/>
        </w:rPr>
        <w:t>. Except as otherwise prohibited under the DGCL, without limiting the manner by which notice otherwise may be given effectively to stockholders, any notice to stockholders given by the Company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Company. Any stockholder who fails to object in writing to the Company, within 60 days of having been given written notice by the Company of its intention to send the single notice, shall be deemed to have consented to receiving such single written notice.</w:t>
      </w:r>
    </w:p>
    <w:p>
      <w:pPr>
        <w:spacing w:after="0" w:line="13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i w:val="1"/>
          <w:iCs w:val="1"/>
          <w:color w:val="auto"/>
        </w:rPr>
        <w:t>Notice to Person with Whom Communication is Unlawful</w:t>
      </w:r>
      <w:r>
        <w:rPr>
          <w:rFonts w:ascii="Arial" w:cs="Arial" w:eastAsia="Arial" w:hAnsi="Arial"/>
          <w:sz w:val="18"/>
          <w:szCs w:val="18"/>
          <w:color w:val="auto"/>
        </w:rPr>
        <w:t>. 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Company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11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b w:val="1"/>
          <w:bCs w:val="1"/>
          <w:i w:val="1"/>
          <w:iCs w:val="1"/>
          <w:color w:val="auto"/>
        </w:rPr>
        <w:t>Waiver of Notice</w:t>
      </w:r>
      <w:r>
        <w:rPr>
          <w:rFonts w:ascii="Arial" w:cs="Arial" w:eastAsia="Arial" w:hAnsi="Arial"/>
          <w:sz w:val="18"/>
          <w:szCs w:val="18"/>
          <w:color w:val="auto"/>
        </w:rPr>
        <w:t>. 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VIII — GENERAL MATTERS</w:t>
      </w:r>
    </w:p>
    <w:p>
      <w:pPr>
        <w:spacing w:after="0" w:line="168" w:lineRule="exact"/>
        <w:rPr>
          <w:sz w:val="20"/>
          <w:szCs w:val="20"/>
          <w:color w:val="auto"/>
        </w:rPr>
      </w:pPr>
    </w:p>
    <w:p>
      <w:pPr>
        <w:jc w:val="center"/>
        <w:ind w:right="-79"/>
        <w:spacing w:after="0"/>
        <w:tabs>
          <w:tab w:leader="none" w:pos="18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6"/>
          <w:szCs w:val="16"/>
          <w:b w:val="1"/>
          <w:bCs w:val="1"/>
          <w:i w:val="1"/>
          <w:iCs w:val="1"/>
          <w:color w:val="auto"/>
        </w:rPr>
        <w:t>Fiscal Year</w:t>
      </w:r>
      <w:r>
        <w:rPr>
          <w:rFonts w:ascii="Arial" w:cs="Arial" w:eastAsia="Arial" w:hAnsi="Arial"/>
          <w:sz w:val="16"/>
          <w:szCs w:val="16"/>
          <w:color w:val="auto"/>
        </w:rPr>
        <w:t>. The fiscal year of the Company shall be fixed by resolution of the Board and may be changed by the Board.</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8.2 </w:t>
      </w:r>
      <w:r>
        <w:rPr>
          <w:rFonts w:ascii="Arial" w:cs="Arial" w:eastAsia="Arial" w:hAnsi="Arial"/>
          <w:sz w:val="20"/>
          <w:szCs w:val="20"/>
          <w:b w:val="1"/>
          <w:bCs w:val="1"/>
          <w:i w:val="1"/>
          <w:iCs w:val="1"/>
          <w:color w:val="auto"/>
        </w:rPr>
        <w:t>Seal</w:t>
      </w:r>
      <w:r>
        <w:rPr>
          <w:rFonts w:ascii="Arial" w:cs="Arial" w:eastAsia="Arial" w:hAnsi="Arial"/>
          <w:sz w:val="20"/>
          <w:szCs w:val="20"/>
          <w:color w:val="auto"/>
        </w:rPr>
        <w:t>. The Company may adopt a corporate seal, which shall be in such form as may be approved from time to time by the Board. . The Company may use the corporate seal by causing it or a facsimile thereof to be impressed or affixed or in any other manner reproduced.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- 15 -</w:t>
      </w:r>
    </w:p>
    <w:p>
      <w:pPr>
        <w:sectPr>
          <w:pgSz w:w="11900" w:h="16838" w:orient="portrait"/>
          <w:cols w:equalWidth="0" w:num="1">
            <w:col w:w="11240"/>
          </w:cols>
          <w:pgMar w:left="320" w:top="1419" w:right="339" w:bottom="1440" w:gutter="0" w:footer="0" w:header="0"/>
        </w:sectPr>
      </w:pPr>
    </w:p>
    <w:bookmarkStart w:id="255" w:name="page256"/>
    <w:bookmarkEnd w:id="255"/>
    <w:p>
      <w:pPr>
        <w:jc w:val="both"/>
        <w:ind w:right="20" w:firstLine="648"/>
        <w:spacing w:after="0" w:line="269"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b w:val="1"/>
          <w:bCs w:val="1"/>
          <w:i w:val="1"/>
          <w:iCs w:val="1"/>
          <w:color w:val="auto"/>
        </w:rPr>
        <w:t>Annual Report</w:t>
      </w:r>
      <w:r>
        <w:rPr>
          <w:rFonts w:ascii="Arial" w:cs="Arial" w:eastAsia="Arial" w:hAnsi="Arial"/>
          <w:sz w:val="19"/>
          <w:szCs w:val="19"/>
          <w:color w:val="auto"/>
        </w:rPr>
        <w:t>. The Company shall cause an annual report to be sent to the stockholders of the Company to the extent required by applicable law. If and so long as there are fewer than 100 holders of record of the Company's shares, the requirement of sending an annual report to the stockholders of the Company is expressly waived (to the extent permitted under applicable law).</w:t>
      </w:r>
    </w:p>
    <w:p>
      <w:pPr>
        <w:spacing w:after="0" w:line="1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b w:val="1"/>
          <w:bCs w:val="1"/>
          <w:i w:val="1"/>
          <w:iCs w:val="1"/>
          <w:color w:val="auto"/>
        </w:rPr>
        <w:t>Construction; Definitions</w:t>
      </w:r>
      <w:r>
        <w:rPr>
          <w:rFonts w:ascii="Arial" w:cs="Arial" w:eastAsia="Arial" w:hAnsi="Arial"/>
          <w:sz w:val="18"/>
          <w:szCs w:val="18"/>
          <w:color w:val="auto"/>
        </w:rPr>
        <w:t>. 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includes both a corporation and a natural person.</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IX — AMENDMENTS</w:t>
      </w:r>
    </w:p>
    <w:p>
      <w:pPr>
        <w:spacing w:after="0" w:line="1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These bylaws may be adopted, amended or repealed by the stockholders entitled to vote. However, the Company may, in its certificate of incorporation, confer the power to adopt, amend or repeal bylaws upon the directors. The fact that such power has been so conferred upon the directors shall not divest the stockholders of the power, nor limit their power to adopt, amend or repeal bylaws.</w:t>
      </w:r>
    </w:p>
    <w:p>
      <w:pPr>
        <w:spacing w:after="0" w:line="1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 bylaw amendment adopted by stockholders which specifies the votes that shall be necessary for the election of directors shall not be further amended or repealed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- 16 -</w:t>
      </w:r>
    </w:p>
    <w:p>
      <w:pPr>
        <w:sectPr>
          <w:pgSz w:w="11900" w:h="16838" w:orient="portrait"/>
          <w:cols w:equalWidth="0" w:num="1">
            <w:col w:w="11240"/>
          </w:cols>
          <w:pgMar w:left="320" w:top="1419" w:right="339" w:bottom="1440" w:gutter="0" w:footer="0" w:header="0"/>
        </w:sectPr>
      </w:pPr>
    </w:p>
    <w:bookmarkStart w:id="256" w:name="page257"/>
    <w:bookmarkEnd w:id="256"/>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860"/>
        <w:spacing w:after="0"/>
        <w:rPr>
          <w:sz w:val="20"/>
          <w:szCs w:val="20"/>
          <w:color w:val="auto"/>
        </w:rPr>
      </w:pPr>
      <w:r>
        <w:rPr>
          <w:rFonts w:ascii="Arial" w:cs="Arial" w:eastAsia="Arial" w:hAnsi="Arial"/>
          <w:sz w:val="22"/>
          <w:szCs w:val="22"/>
          <w:b w:val="1"/>
          <w:bCs w:val="1"/>
          <w:color w:val="auto"/>
        </w:rPr>
        <w:t>NERDWALLET, INC.</w:t>
      </w:r>
    </w:p>
    <w:p>
      <w:pPr>
        <w:spacing w:after="0" w:line="166" w:lineRule="exact"/>
        <w:rPr>
          <w:sz w:val="20"/>
          <w:szCs w:val="20"/>
          <w:color w:val="auto"/>
        </w:rPr>
      </w:pPr>
    </w:p>
    <w:p>
      <w:pPr>
        <w:ind w:left="2660"/>
        <w:spacing w:after="0"/>
        <w:rPr>
          <w:sz w:val="20"/>
          <w:szCs w:val="20"/>
          <w:color w:val="auto"/>
        </w:rPr>
      </w:pPr>
      <w:r>
        <w:rPr>
          <w:rFonts w:ascii="Arial" w:cs="Arial" w:eastAsia="Arial" w:hAnsi="Arial"/>
          <w:sz w:val="22"/>
          <w:szCs w:val="22"/>
          <w:b w:val="1"/>
          <w:bCs w:val="1"/>
          <w:color w:val="auto"/>
        </w:rPr>
        <w:t>INVESTORS’ RIGHTS AGREEMENT</w:t>
      </w:r>
    </w:p>
    <w:p>
      <w:pPr>
        <w:sectPr>
          <w:pgSz w:w="11900" w:h="16838" w:orient="portrait"/>
          <w:cols w:equalWidth="0" w:num="1">
            <w:col w:w="10120"/>
          </w:cols>
          <w:pgMar w:left="1440" w:top="121" w:right="339" w:bottom="1440" w:gutter="0" w:footer="0" w:header="0"/>
        </w:sectPr>
      </w:pPr>
    </w:p>
    <w:bookmarkStart w:id="257" w:name="page258"/>
    <w:bookmarkEnd w:id="257"/>
    <w:tbl>
      <w:tblPr>
        <w:tblLayout w:type="fixed"/>
        <w:tblInd w:w="0" w:type="dxa"/>
        <w:tblCellMar>
          <w:top w:w="0" w:type="dxa"/>
          <w:left w:w="0" w:type="dxa"/>
          <w:bottom w:w="0" w:type="dxa"/>
          <w:right w:w="0" w:type="dxa"/>
        </w:tblCellMar>
      </w:tblPr>
      <w:tr>
        <w:trPr>
          <w:trHeight w:val="253"/>
        </w:trPr>
        <w:tc>
          <w:tcPr>
            <w:tcW w:w="4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180" w:type="dxa"/>
            <w:vAlign w:val="bottom"/>
            <w:gridSpan w:val="3"/>
          </w:tcPr>
          <w:p>
            <w:pPr>
              <w:ind w:left="2860"/>
              <w:spacing w:after="0"/>
              <w:rPr>
                <w:sz w:val="20"/>
                <w:szCs w:val="20"/>
                <w:color w:val="auto"/>
              </w:rPr>
            </w:pPr>
            <w:r>
              <w:rPr>
                <w:rFonts w:ascii="Arial" w:cs="Arial" w:eastAsia="Arial" w:hAnsi="Arial"/>
                <w:sz w:val="22"/>
                <w:szCs w:val="22"/>
                <w:color w:val="auto"/>
              </w:rPr>
              <w:t>TABLE OF CONTENTS</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5"/>
        </w:trPr>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200" w:type="dxa"/>
            <w:vAlign w:val="bottom"/>
            <w:tcBorders>
              <w:top w:val="single" w:sz="8" w:color="auto"/>
            </w:tcBorders>
          </w:tcPr>
          <w:p>
            <w:pPr>
              <w:spacing w:after="0"/>
              <w:rPr>
                <w:sz w:val="24"/>
                <w:szCs w:val="24"/>
                <w:color w:val="auto"/>
              </w:rPr>
            </w:pPr>
          </w:p>
        </w:tc>
        <w:tc>
          <w:tcPr>
            <w:tcW w:w="412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6"/>
              </w:rPr>
              <w:t>Page</w:t>
            </w:r>
          </w:p>
        </w:tc>
        <w:tc>
          <w:tcPr>
            <w:tcW w:w="0" w:type="dxa"/>
            <w:vAlign w:val="bottom"/>
          </w:tcPr>
          <w:p>
            <w:pPr>
              <w:spacing w:after="0"/>
              <w:rPr>
                <w:sz w:val="1"/>
                <w:szCs w:val="1"/>
                <w:color w:val="auto"/>
              </w:rPr>
            </w:pPr>
          </w:p>
        </w:tc>
      </w:tr>
      <w:tr>
        <w:trPr>
          <w:trHeight w:val="457"/>
        </w:trPr>
        <w:tc>
          <w:tcPr>
            <w:tcW w:w="420" w:type="dxa"/>
            <w:vAlign w:val="bottom"/>
          </w:tcPr>
          <w:p>
            <w:pPr>
              <w:jc w:val="right"/>
              <w:ind w:right="161"/>
              <w:spacing w:after="0"/>
              <w:rPr>
                <w:sz w:val="20"/>
                <w:szCs w:val="20"/>
                <w:color w:val="auto"/>
              </w:rPr>
            </w:pPr>
            <w:r>
              <w:rPr>
                <w:rFonts w:ascii="Arial" w:cs="Arial" w:eastAsia="Arial" w:hAnsi="Arial"/>
                <w:sz w:val="20"/>
                <w:szCs w:val="20"/>
                <w:color w:val="auto"/>
                <w:w w:val="83"/>
              </w:rPr>
              <w:t>1.</w:t>
            </w:r>
          </w:p>
        </w:tc>
        <w:tc>
          <w:tcPr>
            <w:tcW w:w="1220" w:type="dxa"/>
            <w:vAlign w:val="bottom"/>
          </w:tcPr>
          <w:p>
            <w:pPr>
              <w:ind w:left="280"/>
              <w:spacing w:after="0"/>
              <w:rPr>
                <w:sz w:val="20"/>
                <w:szCs w:val="20"/>
                <w:color w:val="auto"/>
              </w:rPr>
            </w:pPr>
            <w:r>
              <w:rPr>
                <w:rFonts w:ascii="Arial" w:cs="Arial" w:eastAsia="Arial" w:hAnsi="Arial"/>
                <w:sz w:val="20"/>
                <w:szCs w:val="20"/>
                <w:color w:val="auto"/>
                <w:w w:val="92"/>
              </w:rPr>
              <w:t>Definitions.</w:t>
            </w:r>
          </w:p>
        </w:tc>
        <w:tc>
          <w:tcPr>
            <w:tcW w:w="28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432"/>
        </w:trPr>
        <w:tc>
          <w:tcPr>
            <w:tcW w:w="420" w:type="dxa"/>
            <w:vAlign w:val="bottom"/>
          </w:tcPr>
          <w:p>
            <w:pPr>
              <w:jc w:val="right"/>
              <w:ind w:right="161"/>
              <w:spacing w:after="0"/>
              <w:rPr>
                <w:sz w:val="20"/>
                <w:szCs w:val="20"/>
                <w:color w:val="auto"/>
              </w:rPr>
            </w:pPr>
            <w:r>
              <w:rPr>
                <w:rFonts w:ascii="Arial" w:cs="Arial" w:eastAsia="Arial" w:hAnsi="Arial"/>
                <w:sz w:val="20"/>
                <w:szCs w:val="20"/>
                <w:color w:val="auto"/>
                <w:w w:val="83"/>
              </w:rPr>
              <w:t>2.</w:t>
            </w:r>
          </w:p>
        </w:tc>
        <w:tc>
          <w:tcPr>
            <w:tcW w:w="10400" w:type="dxa"/>
            <w:vAlign w:val="bottom"/>
            <w:gridSpan w:val="4"/>
          </w:tcPr>
          <w:p>
            <w:pPr>
              <w:ind w:left="280"/>
              <w:spacing w:after="0"/>
              <w:rPr>
                <w:sz w:val="20"/>
                <w:szCs w:val="20"/>
                <w:color w:val="auto"/>
              </w:rPr>
            </w:pPr>
            <w:r>
              <w:rPr>
                <w:rFonts w:ascii="Arial" w:cs="Arial" w:eastAsia="Arial" w:hAnsi="Arial"/>
                <w:sz w:val="20"/>
                <w:szCs w:val="20"/>
                <w:color w:val="auto"/>
              </w:rPr>
              <w:t>Registration Rights</w:t>
            </w:r>
          </w:p>
        </w:tc>
        <w:tc>
          <w:tcPr>
            <w:tcW w:w="38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1220" w:type="dxa"/>
            <w:vAlign w:val="bottom"/>
            <w:vMerge w:val="restart"/>
          </w:tcPr>
          <w:p>
            <w:pPr>
              <w:ind w:left="280"/>
              <w:spacing w:after="0"/>
              <w:rPr>
                <w:sz w:val="20"/>
                <w:szCs w:val="20"/>
                <w:color w:val="auto"/>
              </w:rPr>
            </w:pPr>
            <w:r>
              <w:rPr>
                <w:rFonts w:ascii="Arial" w:cs="Arial" w:eastAsia="Arial" w:hAnsi="Arial"/>
                <w:sz w:val="20"/>
                <w:szCs w:val="20"/>
                <w:color w:val="auto"/>
              </w:rPr>
              <w:t>2.1</w:t>
            </w:r>
          </w:p>
        </w:tc>
        <w:tc>
          <w:tcPr>
            <w:tcW w:w="9180" w:type="dxa"/>
            <w:vAlign w:val="bottom"/>
            <w:gridSpan w:val="3"/>
          </w:tcPr>
          <w:p>
            <w:pPr>
              <w:ind w:left="20"/>
              <w:spacing w:after="0"/>
              <w:rPr>
                <w:sz w:val="20"/>
                <w:szCs w:val="20"/>
                <w:color w:val="auto"/>
              </w:rPr>
            </w:pPr>
            <w:r>
              <w:rPr>
                <w:rFonts w:ascii="Arial" w:cs="Arial" w:eastAsia="Arial" w:hAnsi="Arial"/>
                <w:sz w:val="20"/>
                <w:szCs w:val="20"/>
                <w:color w:val="auto"/>
              </w:rPr>
              <w:t>Demand Registration</w:t>
            </w:r>
          </w:p>
        </w:tc>
        <w:tc>
          <w:tcPr>
            <w:tcW w:w="38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2860" w:type="dxa"/>
            <w:vAlign w:val="bottom"/>
          </w:tcPr>
          <w:p>
            <w:pPr>
              <w:spacing w:after="0"/>
              <w:rPr>
                <w:sz w:val="5"/>
                <w:szCs w:val="5"/>
                <w:color w:val="auto"/>
              </w:rPr>
            </w:pPr>
          </w:p>
        </w:tc>
        <w:tc>
          <w:tcPr>
            <w:tcW w:w="2200" w:type="dxa"/>
            <w:vAlign w:val="bottom"/>
          </w:tcPr>
          <w:p>
            <w:pPr>
              <w:spacing w:after="0"/>
              <w:rPr>
                <w:sz w:val="5"/>
                <w:szCs w:val="5"/>
                <w:color w:val="auto"/>
              </w:rPr>
            </w:pPr>
          </w:p>
        </w:tc>
        <w:tc>
          <w:tcPr>
            <w:tcW w:w="4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1220" w:type="dxa"/>
            <w:vAlign w:val="bottom"/>
          </w:tcPr>
          <w:p>
            <w:pPr>
              <w:ind w:left="280"/>
              <w:spacing w:after="0"/>
              <w:rPr>
                <w:sz w:val="20"/>
                <w:szCs w:val="20"/>
                <w:color w:val="auto"/>
              </w:rPr>
            </w:pPr>
            <w:r>
              <w:rPr>
                <w:rFonts w:ascii="Arial" w:cs="Arial" w:eastAsia="Arial" w:hAnsi="Arial"/>
                <w:sz w:val="20"/>
                <w:szCs w:val="20"/>
                <w:color w:val="auto"/>
              </w:rPr>
              <w:t>2.2</w:t>
            </w:r>
          </w:p>
        </w:tc>
        <w:tc>
          <w:tcPr>
            <w:tcW w:w="9180" w:type="dxa"/>
            <w:vAlign w:val="bottom"/>
            <w:gridSpan w:val="3"/>
          </w:tcPr>
          <w:p>
            <w:pPr>
              <w:ind w:left="20"/>
              <w:spacing w:after="0"/>
              <w:rPr>
                <w:sz w:val="20"/>
                <w:szCs w:val="20"/>
                <w:color w:val="auto"/>
              </w:rPr>
            </w:pPr>
            <w:r>
              <w:rPr>
                <w:rFonts w:ascii="Arial" w:cs="Arial" w:eastAsia="Arial" w:hAnsi="Arial"/>
                <w:sz w:val="20"/>
                <w:szCs w:val="20"/>
                <w:color w:val="auto"/>
              </w:rPr>
              <w:t>Company Registration</w:t>
            </w:r>
          </w:p>
        </w:tc>
        <w:tc>
          <w:tcPr>
            <w:tcW w:w="38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1220" w:type="dxa"/>
            <w:vAlign w:val="bottom"/>
          </w:tcPr>
          <w:p>
            <w:pPr>
              <w:ind w:left="280"/>
              <w:spacing w:after="0"/>
              <w:rPr>
                <w:sz w:val="20"/>
                <w:szCs w:val="20"/>
                <w:color w:val="auto"/>
              </w:rPr>
            </w:pPr>
            <w:r>
              <w:rPr>
                <w:rFonts w:ascii="Arial" w:cs="Arial" w:eastAsia="Arial" w:hAnsi="Arial"/>
                <w:sz w:val="20"/>
                <w:szCs w:val="20"/>
                <w:color w:val="auto"/>
              </w:rPr>
              <w:t>2.3</w:t>
            </w:r>
          </w:p>
        </w:tc>
        <w:tc>
          <w:tcPr>
            <w:tcW w:w="9180" w:type="dxa"/>
            <w:vAlign w:val="bottom"/>
            <w:gridSpan w:val="3"/>
          </w:tcPr>
          <w:p>
            <w:pPr>
              <w:ind w:left="20"/>
              <w:spacing w:after="0"/>
              <w:rPr>
                <w:sz w:val="20"/>
                <w:szCs w:val="20"/>
                <w:color w:val="auto"/>
              </w:rPr>
            </w:pPr>
            <w:r>
              <w:rPr>
                <w:rFonts w:ascii="Arial" w:cs="Arial" w:eastAsia="Arial" w:hAnsi="Arial"/>
                <w:sz w:val="20"/>
                <w:szCs w:val="20"/>
                <w:color w:val="auto"/>
              </w:rPr>
              <w:t>Underwriting Requirements</w:t>
            </w:r>
          </w:p>
        </w:tc>
        <w:tc>
          <w:tcPr>
            <w:tcW w:w="38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84"/>
        </w:trPr>
        <w:tc>
          <w:tcPr>
            <w:tcW w:w="420" w:type="dxa"/>
            <w:vAlign w:val="bottom"/>
          </w:tcPr>
          <w:p>
            <w:pPr>
              <w:spacing w:after="0"/>
              <w:rPr>
                <w:sz w:val="24"/>
                <w:szCs w:val="24"/>
                <w:color w:val="auto"/>
              </w:rPr>
            </w:pPr>
          </w:p>
        </w:tc>
        <w:tc>
          <w:tcPr>
            <w:tcW w:w="1220" w:type="dxa"/>
            <w:vAlign w:val="bottom"/>
          </w:tcPr>
          <w:p>
            <w:pPr>
              <w:ind w:left="280"/>
              <w:spacing w:after="0"/>
              <w:rPr>
                <w:sz w:val="20"/>
                <w:szCs w:val="20"/>
                <w:color w:val="auto"/>
              </w:rPr>
            </w:pPr>
            <w:r>
              <w:rPr>
                <w:rFonts w:ascii="Arial" w:cs="Arial" w:eastAsia="Arial" w:hAnsi="Arial"/>
                <w:sz w:val="20"/>
                <w:szCs w:val="20"/>
                <w:color w:val="auto"/>
              </w:rPr>
              <w:t>2.4</w:t>
            </w:r>
          </w:p>
        </w:tc>
        <w:tc>
          <w:tcPr>
            <w:tcW w:w="9180" w:type="dxa"/>
            <w:vAlign w:val="bottom"/>
            <w:gridSpan w:val="3"/>
          </w:tcPr>
          <w:p>
            <w:pPr>
              <w:ind w:left="20"/>
              <w:spacing w:after="0"/>
              <w:rPr>
                <w:sz w:val="20"/>
                <w:szCs w:val="20"/>
                <w:color w:val="auto"/>
              </w:rPr>
            </w:pPr>
            <w:r>
              <w:rPr>
                <w:rFonts w:ascii="Arial" w:cs="Arial" w:eastAsia="Arial" w:hAnsi="Arial"/>
                <w:sz w:val="20"/>
                <w:szCs w:val="20"/>
                <w:color w:val="auto"/>
              </w:rPr>
              <w:t>Obligations of the Company</w:t>
            </w:r>
          </w:p>
        </w:tc>
        <w:tc>
          <w:tcPr>
            <w:tcW w:w="380" w:type="dxa"/>
            <w:vAlign w:val="bottom"/>
          </w:tcPr>
          <w:p>
            <w:pPr>
              <w:jc w:val="right"/>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220" w:type="dxa"/>
            <w:vAlign w:val="bottom"/>
          </w:tcPr>
          <w:p>
            <w:pPr>
              <w:ind w:left="280"/>
              <w:spacing w:after="0"/>
              <w:rPr>
                <w:sz w:val="20"/>
                <w:szCs w:val="20"/>
                <w:color w:val="auto"/>
              </w:rPr>
            </w:pPr>
            <w:r>
              <w:rPr>
                <w:rFonts w:ascii="Arial" w:cs="Arial" w:eastAsia="Arial" w:hAnsi="Arial"/>
                <w:sz w:val="20"/>
                <w:szCs w:val="20"/>
                <w:color w:val="auto"/>
              </w:rPr>
              <w:t>2.5</w:t>
            </w:r>
          </w:p>
        </w:tc>
        <w:tc>
          <w:tcPr>
            <w:tcW w:w="9180" w:type="dxa"/>
            <w:vAlign w:val="bottom"/>
            <w:gridSpan w:val="3"/>
          </w:tcPr>
          <w:p>
            <w:pPr>
              <w:ind w:left="20"/>
              <w:spacing w:after="0"/>
              <w:rPr>
                <w:sz w:val="20"/>
                <w:szCs w:val="20"/>
                <w:color w:val="auto"/>
              </w:rPr>
            </w:pPr>
            <w:r>
              <w:rPr>
                <w:rFonts w:ascii="Arial" w:cs="Arial" w:eastAsia="Arial" w:hAnsi="Arial"/>
                <w:sz w:val="20"/>
                <w:szCs w:val="20"/>
                <w:color w:val="auto"/>
              </w:rPr>
              <w:t>Furnish Information</w:t>
            </w:r>
          </w:p>
        </w:tc>
        <w:tc>
          <w:tcPr>
            <w:tcW w:w="380" w:type="dxa"/>
            <w:vAlign w:val="bottom"/>
          </w:tcPr>
          <w:p>
            <w:pPr>
              <w:jc w:val="right"/>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220" w:type="dxa"/>
            <w:vAlign w:val="bottom"/>
          </w:tcPr>
          <w:p>
            <w:pPr>
              <w:ind w:left="280"/>
              <w:spacing w:after="0"/>
              <w:rPr>
                <w:sz w:val="20"/>
                <w:szCs w:val="20"/>
                <w:color w:val="auto"/>
              </w:rPr>
            </w:pPr>
            <w:r>
              <w:rPr>
                <w:rFonts w:ascii="Arial" w:cs="Arial" w:eastAsia="Arial" w:hAnsi="Arial"/>
                <w:sz w:val="20"/>
                <w:szCs w:val="20"/>
                <w:color w:val="auto"/>
              </w:rPr>
              <w:t>2.6</w:t>
            </w:r>
          </w:p>
        </w:tc>
        <w:tc>
          <w:tcPr>
            <w:tcW w:w="9180" w:type="dxa"/>
            <w:vAlign w:val="bottom"/>
            <w:gridSpan w:val="3"/>
          </w:tcPr>
          <w:p>
            <w:pPr>
              <w:ind w:left="20"/>
              <w:spacing w:after="0"/>
              <w:rPr>
                <w:sz w:val="20"/>
                <w:szCs w:val="20"/>
                <w:color w:val="auto"/>
              </w:rPr>
            </w:pPr>
            <w:r>
              <w:rPr>
                <w:rFonts w:ascii="Arial" w:cs="Arial" w:eastAsia="Arial" w:hAnsi="Arial"/>
                <w:sz w:val="20"/>
                <w:szCs w:val="20"/>
                <w:color w:val="auto"/>
              </w:rPr>
              <w:t>Expenses of Registration</w:t>
            </w:r>
          </w:p>
        </w:tc>
        <w:tc>
          <w:tcPr>
            <w:tcW w:w="380" w:type="dxa"/>
            <w:vAlign w:val="bottom"/>
          </w:tcPr>
          <w:p>
            <w:pPr>
              <w:jc w:val="right"/>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1220" w:type="dxa"/>
            <w:vAlign w:val="bottom"/>
          </w:tcPr>
          <w:p>
            <w:pPr>
              <w:ind w:left="280"/>
              <w:spacing w:after="0"/>
              <w:rPr>
                <w:sz w:val="20"/>
                <w:szCs w:val="20"/>
                <w:color w:val="auto"/>
              </w:rPr>
            </w:pPr>
            <w:r>
              <w:rPr>
                <w:rFonts w:ascii="Arial" w:cs="Arial" w:eastAsia="Arial" w:hAnsi="Arial"/>
                <w:sz w:val="20"/>
                <w:szCs w:val="20"/>
                <w:color w:val="auto"/>
              </w:rPr>
              <w:t>2.7</w:t>
            </w:r>
          </w:p>
        </w:tc>
        <w:tc>
          <w:tcPr>
            <w:tcW w:w="9180" w:type="dxa"/>
            <w:vAlign w:val="bottom"/>
            <w:gridSpan w:val="3"/>
          </w:tcPr>
          <w:p>
            <w:pPr>
              <w:ind w:left="20"/>
              <w:spacing w:after="0"/>
              <w:rPr>
                <w:sz w:val="20"/>
                <w:szCs w:val="20"/>
                <w:color w:val="auto"/>
              </w:rPr>
            </w:pPr>
            <w:r>
              <w:rPr>
                <w:rFonts w:ascii="Arial" w:cs="Arial" w:eastAsia="Arial" w:hAnsi="Arial"/>
                <w:sz w:val="20"/>
                <w:szCs w:val="20"/>
                <w:color w:val="auto"/>
              </w:rPr>
              <w:t>Delay of Registration</w:t>
            </w:r>
          </w:p>
        </w:tc>
        <w:tc>
          <w:tcPr>
            <w:tcW w:w="380" w:type="dxa"/>
            <w:vAlign w:val="bottom"/>
          </w:tcPr>
          <w:p>
            <w:pPr>
              <w:jc w:val="right"/>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284"/>
        </w:trPr>
        <w:tc>
          <w:tcPr>
            <w:tcW w:w="420" w:type="dxa"/>
            <w:vAlign w:val="bottom"/>
          </w:tcPr>
          <w:p>
            <w:pPr>
              <w:spacing w:after="0"/>
              <w:rPr>
                <w:sz w:val="24"/>
                <w:szCs w:val="24"/>
                <w:color w:val="auto"/>
              </w:rPr>
            </w:pPr>
          </w:p>
        </w:tc>
        <w:tc>
          <w:tcPr>
            <w:tcW w:w="1220" w:type="dxa"/>
            <w:vAlign w:val="bottom"/>
          </w:tcPr>
          <w:p>
            <w:pPr>
              <w:ind w:left="280"/>
              <w:spacing w:after="0"/>
              <w:rPr>
                <w:sz w:val="20"/>
                <w:szCs w:val="20"/>
                <w:color w:val="auto"/>
              </w:rPr>
            </w:pPr>
            <w:r>
              <w:rPr>
                <w:rFonts w:ascii="Arial" w:cs="Arial" w:eastAsia="Arial" w:hAnsi="Arial"/>
                <w:sz w:val="20"/>
                <w:szCs w:val="20"/>
                <w:color w:val="auto"/>
              </w:rPr>
              <w:t>2.8</w:t>
            </w:r>
          </w:p>
        </w:tc>
        <w:tc>
          <w:tcPr>
            <w:tcW w:w="9180" w:type="dxa"/>
            <w:vAlign w:val="bottom"/>
            <w:gridSpan w:val="3"/>
          </w:tcPr>
          <w:p>
            <w:pPr>
              <w:ind w:left="20"/>
              <w:spacing w:after="0"/>
              <w:rPr>
                <w:sz w:val="20"/>
                <w:szCs w:val="20"/>
                <w:color w:val="auto"/>
              </w:rPr>
            </w:pPr>
            <w:r>
              <w:rPr>
                <w:rFonts w:ascii="Arial" w:cs="Arial" w:eastAsia="Arial" w:hAnsi="Arial"/>
                <w:sz w:val="20"/>
                <w:szCs w:val="20"/>
                <w:color w:val="auto"/>
              </w:rPr>
              <w:t>Indemnification</w:t>
            </w:r>
          </w:p>
        </w:tc>
        <w:tc>
          <w:tcPr>
            <w:tcW w:w="380" w:type="dxa"/>
            <w:vAlign w:val="bottom"/>
          </w:tcPr>
          <w:p>
            <w:pPr>
              <w:jc w:val="right"/>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1220" w:type="dxa"/>
            <w:vAlign w:val="bottom"/>
          </w:tcPr>
          <w:p>
            <w:pPr>
              <w:ind w:left="280"/>
              <w:spacing w:after="0"/>
              <w:rPr>
                <w:sz w:val="20"/>
                <w:szCs w:val="20"/>
                <w:color w:val="auto"/>
              </w:rPr>
            </w:pPr>
            <w:r>
              <w:rPr>
                <w:rFonts w:ascii="Arial" w:cs="Arial" w:eastAsia="Arial" w:hAnsi="Arial"/>
                <w:sz w:val="20"/>
                <w:szCs w:val="20"/>
                <w:color w:val="auto"/>
              </w:rPr>
              <w:t>2.9</w:t>
            </w:r>
          </w:p>
        </w:tc>
        <w:tc>
          <w:tcPr>
            <w:tcW w:w="9180" w:type="dxa"/>
            <w:vAlign w:val="bottom"/>
            <w:gridSpan w:val="3"/>
          </w:tcPr>
          <w:p>
            <w:pPr>
              <w:ind w:left="20"/>
              <w:spacing w:after="0"/>
              <w:rPr>
                <w:sz w:val="20"/>
                <w:szCs w:val="20"/>
                <w:color w:val="auto"/>
              </w:rPr>
            </w:pPr>
            <w:r>
              <w:rPr>
                <w:rFonts w:ascii="Arial" w:cs="Arial" w:eastAsia="Arial" w:hAnsi="Arial"/>
                <w:sz w:val="20"/>
                <w:szCs w:val="20"/>
                <w:color w:val="auto"/>
              </w:rPr>
              <w:t>Reports Under Exchange Act.</w:t>
            </w:r>
          </w:p>
        </w:tc>
        <w:tc>
          <w:tcPr>
            <w:tcW w:w="380" w:type="dxa"/>
            <w:vAlign w:val="bottom"/>
          </w:tcPr>
          <w:p>
            <w:pPr>
              <w:jc w:val="right"/>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1220" w:type="dxa"/>
            <w:vAlign w:val="bottom"/>
          </w:tcPr>
          <w:p>
            <w:pPr>
              <w:ind w:left="280"/>
              <w:spacing w:after="0"/>
              <w:rPr>
                <w:sz w:val="20"/>
                <w:szCs w:val="20"/>
                <w:color w:val="auto"/>
              </w:rPr>
            </w:pPr>
            <w:r>
              <w:rPr>
                <w:rFonts w:ascii="Arial" w:cs="Arial" w:eastAsia="Arial" w:hAnsi="Arial"/>
                <w:sz w:val="20"/>
                <w:szCs w:val="20"/>
                <w:color w:val="auto"/>
              </w:rPr>
              <w:t>2.10</w:t>
            </w:r>
          </w:p>
        </w:tc>
        <w:tc>
          <w:tcPr>
            <w:tcW w:w="9180" w:type="dxa"/>
            <w:vAlign w:val="bottom"/>
            <w:gridSpan w:val="3"/>
          </w:tcPr>
          <w:p>
            <w:pPr>
              <w:ind w:left="20"/>
              <w:spacing w:after="0"/>
              <w:rPr>
                <w:sz w:val="20"/>
                <w:szCs w:val="20"/>
                <w:color w:val="auto"/>
              </w:rPr>
            </w:pPr>
            <w:r>
              <w:rPr>
                <w:rFonts w:ascii="Arial" w:cs="Arial" w:eastAsia="Arial" w:hAnsi="Arial"/>
                <w:sz w:val="20"/>
                <w:szCs w:val="20"/>
                <w:color w:val="auto"/>
              </w:rPr>
              <w:t>Limitations on Subsequent Registration Rights</w:t>
            </w:r>
          </w:p>
        </w:tc>
        <w:tc>
          <w:tcPr>
            <w:tcW w:w="380" w:type="dxa"/>
            <w:vAlign w:val="bottom"/>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1220" w:type="dxa"/>
            <w:vAlign w:val="bottom"/>
          </w:tcPr>
          <w:p>
            <w:pPr>
              <w:ind w:left="280"/>
              <w:spacing w:after="0"/>
              <w:rPr>
                <w:sz w:val="20"/>
                <w:szCs w:val="20"/>
                <w:color w:val="auto"/>
              </w:rPr>
            </w:pPr>
            <w:r>
              <w:rPr>
                <w:rFonts w:ascii="Arial" w:cs="Arial" w:eastAsia="Arial" w:hAnsi="Arial"/>
                <w:sz w:val="20"/>
                <w:szCs w:val="20"/>
                <w:color w:val="auto"/>
              </w:rPr>
              <w:t>2.11</w:t>
            </w:r>
          </w:p>
        </w:tc>
        <w:tc>
          <w:tcPr>
            <w:tcW w:w="9180" w:type="dxa"/>
            <w:vAlign w:val="bottom"/>
            <w:gridSpan w:val="3"/>
          </w:tcPr>
          <w:p>
            <w:pPr>
              <w:ind w:left="20"/>
              <w:spacing w:after="0"/>
              <w:rPr>
                <w:sz w:val="20"/>
                <w:szCs w:val="20"/>
                <w:color w:val="auto"/>
              </w:rPr>
            </w:pPr>
            <w:r>
              <w:rPr>
                <w:rFonts w:ascii="Arial" w:cs="Arial" w:eastAsia="Arial" w:hAnsi="Arial"/>
                <w:sz w:val="20"/>
                <w:szCs w:val="20"/>
                <w:color w:val="auto"/>
              </w:rPr>
              <w:t>“Market Stand-off” Agreement</w:t>
            </w:r>
          </w:p>
        </w:tc>
        <w:tc>
          <w:tcPr>
            <w:tcW w:w="380" w:type="dxa"/>
            <w:vAlign w:val="bottom"/>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220" w:type="dxa"/>
            <w:vAlign w:val="bottom"/>
          </w:tcPr>
          <w:p>
            <w:pPr>
              <w:ind w:left="280"/>
              <w:spacing w:after="0"/>
              <w:rPr>
                <w:sz w:val="20"/>
                <w:szCs w:val="20"/>
                <w:color w:val="auto"/>
              </w:rPr>
            </w:pPr>
            <w:r>
              <w:rPr>
                <w:rFonts w:ascii="Arial" w:cs="Arial" w:eastAsia="Arial" w:hAnsi="Arial"/>
                <w:sz w:val="20"/>
                <w:szCs w:val="20"/>
                <w:color w:val="auto"/>
              </w:rPr>
              <w:t>2.12</w:t>
            </w:r>
          </w:p>
        </w:tc>
        <w:tc>
          <w:tcPr>
            <w:tcW w:w="9180" w:type="dxa"/>
            <w:vAlign w:val="bottom"/>
            <w:gridSpan w:val="3"/>
          </w:tcPr>
          <w:p>
            <w:pPr>
              <w:ind w:left="20"/>
              <w:spacing w:after="0"/>
              <w:rPr>
                <w:sz w:val="20"/>
                <w:szCs w:val="20"/>
                <w:color w:val="auto"/>
              </w:rPr>
            </w:pPr>
            <w:r>
              <w:rPr>
                <w:rFonts w:ascii="Arial" w:cs="Arial" w:eastAsia="Arial" w:hAnsi="Arial"/>
                <w:sz w:val="20"/>
                <w:szCs w:val="20"/>
                <w:color w:val="auto"/>
              </w:rPr>
              <w:t>Restrictions on Transfer</w:t>
            </w:r>
          </w:p>
        </w:tc>
        <w:tc>
          <w:tcPr>
            <w:tcW w:w="380" w:type="dxa"/>
            <w:vAlign w:val="bottom"/>
          </w:tcPr>
          <w:p>
            <w:pPr>
              <w:jc w:val="right"/>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1220" w:type="dxa"/>
            <w:vAlign w:val="bottom"/>
          </w:tcPr>
          <w:p>
            <w:pPr>
              <w:ind w:left="280"/>
              <w:spacing w:after="0"/>
              <w:rPr>
                <w:sz w:val="20"/>
                <w:szCs w:val="20"/>
                <w:color w:val="auto"/>
              </w:rPr>
            </w:pPr>
            <w:r>
              <w:rPr>
                <w:rFonts w:ascii="Arial" w:cs="Arial" w:eastAsia="Arial" w:hAnsi="Arial"/>
                <w:sz w:val="20"/>
                <w:szCs w:val="20"/>
                <w:color w:val="auto"/>
              </w:rPr>
              <w:t>2.13</w:t>
            </w:r>
          </w:p>
        </w:tc>
        <w:tc>
          <w:tcPr>
            <w:tcW w:w="9180" w:type="dxa"/>
            <w:vAlign w:val="bottom"/>
            <w:gridSpan w:val="3"/>
          </w:tcPr>
          <w:p>
            <w:pPr>
              <w:ind w:left="20"/>
              <w:spacing w:after="0"/>
              <w:rPr>
                <w:sz w:val="20"/>
                <w:szCs w:val="20"/>
                <w:color w:val="auto"/>
              </w:rPr>
            </w:pPr>
            <w:r>
              <w:rPr>
                <w:rFonts w:ascii="Arial" w:cs="Arial" w:eastAsia="Arial" w:hAnsi="Arial"/>
                <w:sz w:val="20"/>
                <w:szCs w:val="20"/>
                <w:color w:val="auto"/>
              </w:rPr>
              <w:t>Termination of Registration Rights</w:t>
            </w:r>
          </w:p>
        </w:tc>
        <w:tc>
          <w:tcPr>
            <w:tcW w:w="380" w:type="dxa"/>
            <w:vAlign w:val="bottom"/>
          </w:tcPr>
          <w:p>
            <w:pPr>
              <w:jc w:val="right"/>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432"/>
        </w:trPr>
        <w:tc>
          <w:tcPr>
            <w:tcW w:w="420" w:type="dxa"/>
            <w:vAlign w:val="bottom"/>
          </w:tcPr>
          <w:p>
            <w:pPr>
              <w:jc w:val="right"/>
              <w:ind w:right="161"/>
              <w:spacing w:after="0"/>
              <w:rPr>
                <w:sz w:val="20"/>
                <w:szCs w:val="20"/>
                <w:color w:val="auto"/>
              </w:rPr>
            </w:pPr>
            <w:r>
              <w:rPr>
                <w:rFonts w:ascii="Arial" w:cs="Arial" w:eastAsia="Arial" w:hAnsi="Arial"/>
                <w:sz w:val="20"/>
                <w:szCs w:val="20"/>
                <w:color w:val="auto"/>
                <w:w w:val="83"/>
              </w:rPr>
              <w:t>3.</w:t>
            </w:r>
          </w:p>
        </w:tc>
        <w:tc>
          <w:tcPr>
            <w:tcW w:w="10400" w:type="dxa"/>
            <w:vAlign w:val="bottom"/>
            <w:gridSpan w:val="4"/>
          </w:tcPr>
          <w:p>
            <w:pPr>
              <w:ind w:left="280"/>
              <w:spacing w:after="0"/>
              <w:rPr>
                <w:sz w:val="20"/>
                <w:szCs w:val="20"/>
                <w:color w:val="auto"/>
              </w:rPr>
            </w:pPr>
            <w:r>
              <w:rPr>
                <w:rFonts w:ascii="Arial" w:cs="Arial" w:eastAsia="Arial" w:hAnsi="Arial"/>
                <w:sz w:val="20"/>
                <w:szCs w:val="20"/>
                <w:color w:val="auto"/>
              </w:rPr>
              <w:t>Information and Inspection Rights</w:t>
            </w:r>
          </w:p>
        </w:tc>
        <w:tc>
          <w:tcPr>
            <w:tcW w:w="380" w:type="dxa"/>
            <w:vAlign w:val="bottom"/>
          </w:tcPr>
          <w:p>
            <w:pPr>
              <w:jc w:val="right"/>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84"/>
        </w:trPr>
        <w:tc>
          <w:tcPr>
            <w:tcW w:w="420" w:type="dxa"/>
            <w:vAlign w:val="bottom"/>
          </w:tcPr>
          <w:p>
            <w:pPr>
              <w:spacing w:after="0"/>
              <w:rPr>
                <w:sz w:val="24"/>
                <w:szCs w:val="24"/>
                <w:color w:val="auto"/>
              </w:rPr>
            </w:pPr>
          </w:p>
        </w:tc>
        <w:tc>
          <w:tcPr>
            <w:tcW w:w="1220" w:type="dxa"/>
            <w:vAlign w:val="bottom"/>
          </w:tcPr>
          <w:p>
            <w:pPr>
              <w:ind w:left="280"/>
              <w:spacing w:after="0"/>
              <w:rPr>
                <w:sz w:val="20"/>
                <w:szCs w:val="20"/>
                <w:color w:val="auto"/>
              </w:rPr>
            </w:pPr>
            <w:r>
              <w:rPr>
                <w:rFonts w:ascii="Arial" w:cs="Arial" w:eastAsia="Arial" w:hAnsi="Arial"/>
                <w:sz w:val="20"/>
                <w:szCs w:val="20"/>
                <w:color w:val="auto"/>
              </w:rPr>
              <w:t>3.1</w:t>
            </w:r>
          </w:p>
        </w:tc>
        <w:tc>
          <w:tcPr>
            <w:tcW w:w="9180" w:type="dxa"/>
            <w:vAlign w:val="bottom"/>
            <w:gridSpan w:val="3"/>
          </w:tcPr>
          <w:p>
            <w:pPr>
              <w:ind w:left="20"/>
              <w:spacing w:after="0"/>
              <w:rPr>
                <w:sz w:val="20"/>
                <w:szCs w:val="20"/>
                <w:color w:val="auto"/>
              </w:rPr>
            </w:pPr>
            <w:r>
              <w:rPr>
                <w:rFonts w:ascii="Arial" w:cs="Arial" w:eastAsia="Arial" w:hAnsi="Arial"/>
                <w:sz w:val="20"/>
                <w:szCs w:val="20"/>
                <w:color w:val="auto"/>
              </w:rPr>
              <w:t>Delivery of Financial Statements</w:t>
            </w:r>
          </w:p>
        </w:tc>
        <w:tc>
          <w:tcPr>
            <w:tcW w:w="380" w:type="dxa"/>
            <w:vAlign w:val="bottom"/>
          </w:tcPr>
          <w:p>
            <w:pPr>
              <w:jc w:val="right"/>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1220" w:type="dxa"/>
            <w:vAlign w:val="bottom"/>
          </w:tcPr>
          <w:p>
            <w:pPr>
              <w:ind w:left="280"/>
              <w:spacing w:after="0"/>
              <w:rPr>
                <w:sz w:val="20"/>
                <w:szCs w:val="20"/>
                <w:color w:val="auto"/>
              </w:rPr>
            </w:pPr>
            <w:r>
              <w:rPr>
                <w:rFonts w:ascii="Arial" w:cs="Arial" w:eastAsia="Arial" w:hAnsi="Arial"/>
                <w:sz w:val="20"/>
                <w:szCs w:val="20"/>
                <w:color w:val="auto"/>
              </w:rPr>
              <w:t>3.2</w:t>
            </w:r>
          </w:p>
        </w:tc>
        <w:tc>
          <w:tcPr>
            <w:tcW w:w="9180" w:type="dxa"/>
            <w:vAlign w:val="bottom"/>
            <w:gridSpan w:val="3"/>
          </w:tcPr>
          <w:p>
            <w:pPr>
              <w:ind w:left="20"/>
              <w:spacing w:after="0"/>
              <w:rPr>
                <w:sz w:val="20"/>
                <w:szCs w:val="20"/>
                <w:color w:val="auto"/>
              </w:rPr>
            </w:pPr>
            <w:r>
              <w:rPr>
                <w:rFonts w:ascii="Arial" w:cs="Arial" w:eastAsia="Arial" w:hAnsi="Arial"/>
                <w:sz w:val="20"/>
                <w:szCs w:val="20"/>
                <w:color w:val="auto"/>
              </w:rPr>
              <w:t>Inspection</w:t>
            </w:r>
          </w:p>
        </w:tc>
        <w:tc>
          <w:tcPr>
            <w:tcW w:w="380" w:type="dxa"/>
            <w:vAlign w:val="bottom"/>
          </w:tcPr>
          <w:p>
            <w:pPr>
              <w:jc w:val="right"/>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220" w:type="dxa"/>
            <w:vAlign w:val="bottom"/>
          </w:tcPr>
          <w:p>
            <w:pPr>
              <w:ind w:left="280"/>
              <w:spacing w:after="0"/>
              <w:rPr>
                <w:sz w:val="20"/>
                <w:szCs w:val="20"/>
                <w:color w:val="auto"/>
              </w:rPr>
            </w:pPr>
            <w:r>
              <w:rPr>
                <w:rFonts w:ascii="Arial" w:cs="Arial" w:eastAsia="Arial" w:hAnsi="Arial"/>
                <w:sz w:val="20"/>
                <w:szCs w:val="20"/>
                <w:color w:val="auto"/>
              </w:rPr>
              <w:t>3.3</w:t>
            </w:r>
          </w:p>
        </w:tc>
        <w:tc>
          <w:tcPr>
            <w:tcW w:w="9180" w:type="dxa"/>
            <w:vAlign w:val="bottom"/>
            <w:gridSpan w:val="3"/>
          </w:tcPr>
          <w:p>
            <w:pPr>
              <w:ind w:left="20"/>
              <w:spacing w:after="0"/>
              <w:rPr>
                <w:sz w:val="20"/>
                <w:szCs w:val="20"/>
                <w:color w:val="auto"/>
              </w:rPr>
            </w:pPr>
            <w:r>
              <w:rPr>
                <w:rFonts w:ascii="Arial" w:cs="Arial" w:eastAsia="Arial" w:hAnsi="Arial"/>
                <w:sz w:val="20"/>
                <w:szCs w:val="20"/>
                <w:color w:val="auto"/>
              </w:rPr>
              <w:t>Termination of Information</w:t>
            </w:r>
          </w:p>
        </w:tc>
        <w:tc>
          <w:tcPr>
            <w:tcW w:w="380" w:type="dxa"/>
            <w:vAlign w:val="bottom"/>
          </w:tcPr>
          <w:p>
            <w:pPr>
              <w:jc w:val="right"/>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220" w:type="dxa"/>
            <w:vAlign w:val="bottom"/>
          </w:tcPr>
          <w:p>
            <w:pPr>
              <w:ind w:left="280"/>
              <w:spacing w:after="0"/>
              <w:rPr>
                <w:sz w:val="20"/>
                <w:szCs w:val="20"/>
                <w:color w:val="auto"/>
              </w:rPr>
            </w:pPr>
            <w:r>
              <w:rPr>
                <w:rFonts w:ascii="Arial" w:cs="Arial" w:eastAsia="Arial" w:hAnsi="Arial"/>
                <w:sz w:val="20"/>
                <w:szCs w:val="20"/>
                <w:color w:val="auto"/>
              </w:rPr>
              <w:t>3.4</w:t>
            </w:r>
          </w:p>
        </w:tc>
        <w:tc>
          <w:tcPr>
            <w:tcW w:w="9180" w:type="dxa"/>
            <w:vAlign w:val="bottom"/>
            <w:gridSpan w:val="3"/>
          </w:tcPr>
          <w:p>
            <w:pPr>
              <w:ind w:left="20"/>
              <w:spacing w:after="0"/>
              <w:rPr>
                <w:sz w:val="20"/>
                <w:szCs w:val="20"/>
                <w:color w:val="auto"/>
              </w:rPr>
            </w:pPr>
            <w:r>
              <w:rPr>
                <w:rFonts w:ascii="Arial" w:cs="Arial" w:eastAsia="Arial" w:hAnsi="Arial"/>
                <w:sz w:val="20"/>
                <w:szCs w:val="20"/>
                <w:color w:val="auto"/>
              </w:rPr>
              <w:t>Confidentiality</w:t>
            </w:r>
          </w:p>
        </w:tc>
        <w:tc>
          <w:tcPr>
            <w:tcW w:w="380" w:type="dxa"/>
            <w:vAlign w:val="bottom"/>
          </w:tcPr>
          <w:p>
            <w:pPr>
              <w:jc w:val="right"/>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432"/>
        </w:trPr>
        <w:tc>
          <w:tcPr>
            <w:tcW w:w="420" w:type="dxa"/>
            <w:vAlign w:val="bottom"/>
          </w:tcPr>
          <w:p>
            <w:pPr>
              <w:jc w:val="right"/>
              <w:ind w:right="161"/>
              <w:spacing w:after="0"/>
              <w:rPr>
                <w:sz w:val="20"/>
                <w:szCs w:val="20"/>
                <w:color w:val="auto"/>
              </w:rPr>
            </w:pPr>
            <w:r>
              <w:rPr>
                <w:rFonts w:ascii="Arial" w:cs="Arial" w:eastAsia="Arial" w:hAnsi="Arial"/>
                <w:sz w:val="20"/>
                <w:szCs w:val="20"/>
                <w:color w:val="auto"/>
                <w:w w:val="83"/>
              </w:rPr>
              <w:t>4.</w:t>
            </w:r>
          </w:p>
        </w:tc>
        <w:tc>
          <w:tcPr>
            <w:tcW w:w="10400" w:type="dxa"/>
            <w:vAlign w:val="bottom"/>
            <w:gridSpan w:val="4"/>
          </w:tcPr>
          <w:p>
            <w:pPr>
              <w:ind w:left="280"/>
              <w:spacing w:after="0"/>
              <w:rPr>
                <w:sz w:val="20"/>
                <w:szCs w:val="20"/>
                <w:color w:val="auto"/>
              </w:rPr>
            </w:pPr>
            <w:r>
              <w:rPr>
                <w:rFonts w:ascii="Arial" w:cs="Arial" w:eastAsia="Arial" w:hAnsi="Arial"/>
                <w:sz w:val="20"/>
                <w:szCs w:val="20"/>
                <w:color w:val="auto"/>
              </w:rPr>
              <w:t>Rights to Future Stock Issuances</w:t>
            </w:r>
          </w:p>
        </w:tc>
        <w:tc>
          <w:tcPr>
            <w:tcW w:w="380" w:type="dxa"/>
            <w:vAlign w:val="bottom"/>
          </w:tcPr>
          <w:p>
            <w:pPr>
              <w:jc w:val="right"/>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1220" w:type="dxa"/>
            <w:vAlign w:val="bottom"/>
            <w:vMerge w:val="restart"/>
          </w:tcPr>
          <w:p>
            <w:pPr>
              <w:ind w:left="280"/>
              <w:spacing w:after="0"/>
              <w:rPr>
                <w:sz w:val="20"/>
                <w:szCs w:val="20"/>
                <w:color w:val="auto"/>
              </w:rPr>
            </w:pPr>
            <w:r>
              <w:rPr>
                <w:rFonts w:ascii="Arial" w:cs="Arial" w:eastAsia="Arial" w:hAnsi="Arial"/>
                <w:sz w:val="20"/>
                <w:szCs w:val="20"/>
                <w:color w:val="auto"/>
              </w:rPr>
              <w:t>4.1</w:t>
            </w:r>
          </w:p>
        </w:tc>
        <w:tc>
          <w:tcPr>
            <w:tcW w:w="9180" w:type="dxa"/>
            <w:vAlign w:val="bottom"/>
            <w:gridSpan w:val="3"/>
          </w:tcPr>
          <w:p>
            <w:pPr>
              <w:ind w:left="20"/>
              <w:spacing w:after="0"/>
              <w:rPr>
                <w:sz w:val="20"/>
                <w:szCs w:val="20"/>
                <w:color w:val="auto"/>
              </w:rPr>
            </w:pPr>
            <w:r>
              <w:rPr>
                <w:rFonts w:ascii="Arial" w:cs="Arial" w:eastAsia="Arial" w:hAnsi="Arial"/>
                <w:sz w:val="20"/>
                <w:szCs w:val="20"/>
                <w:color w:val="auto"/>
              </w:rPr>
              <w:t>Right of First Offer</w:t>
            </w:r>
          </w:p>
        </w:tc>
        <w:tc>
          <w:tcPr>
            <w:tcW w:w="380" w:type="dxa"/>
            <w:vAlign w:val="bottom"/>
          </w:tcPr>
          <w:p>
            <w:pPr>
              <w:jc w:val="right"/>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2860" w:type="dxa"/>
            <w:vAlign w:val="bottom"/>
          </w:tcPr>
          <w:p>
            <w:pPr>
              <w:spacing w:after="0"/>
              <w:rPr>
                <w:sz w:val="5"/>
                <w:szCs w:val="5"/>
                <w:color w:val="auto"/>
              </w:rPr>
            </w:pPr>
          </w:p>
        </w:tc>
        <w:tc>
          <w:tcPr>
            <w:tcW w:w="2200" w:type="dxa"/>
            <w:vAlign w:val="bottom"/>
          </w:tcPr>
          <w:p>
            <w:pPr>
              <w:spacing w:after="0"/>
              <w:rPr>
                <w:sz w:val="5"/>
                <w:szCs w:val="5"/>
                <w:color w:val="auto"/>
              </w:rPr>
            </w:pPr>
          </w:p>
        </w:tc>
        <w:tc>
          <w:tcPr>
            <w:tcW w:w="4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420" w:type="dxa"/>
            <w:vAlign w:val="bottom"/>
          </w:tcPr>
          <w:p>
            <w:pPr>
              <w:spacing w:after="0"/>
              <w:rPr>
                <w:sz w:val="24"/>
                <w:szCs w:val="24"/>
                <w:color w:val="auto"/>
              </w:rPr>
            </w:pPr>
          </w:p>
        </w:tc>
        <w:tc>
          <w:tcPr>
            <w:tcW w:w="1220" w:type="dxa"/>
            <w:vAlign w:val="bottom"/>
          </w:tcPr>
          <w:p>
            <w:pPr>
              <w:ind w:left="280"/>
              <w:spacing w:after="0"/>
              <w:rPr>
                <w:sz w:val="20"/>
                <w:szCs w:val="20"/>
                <w:color w:val="auto"/>
              </w:rPr>
            </w:pPr>
            <w:r>
              <w:rPr>
                <w:rFonts w:ascii="Arial" w:cs="Arial" w:eastAsia="Arial" w:hAnsi="Arial"/>
                <w:sz w:val="20"/>
                <w:szCs w:val="20"/>
                <w:color w:val="auto"/>
              </w:rPr>
              <w:t>4.2</w:t>
            </w:r>
          </w:p>
        </w:tc>
        <w:tc>
          <w:tcPr>
            <w:tcW w:w="9180" w:type="dxa"/>
            <w:vAlign w:val="bottom"/>
            <w:gridSpan w:val="3"/>
          </w:tcPr>
          <w:p>
            <w:pPr>
              <w:ind w:left="20"/>
              <w:spacing w:after="0"/>
              <w:rPr>
                <w:sz w:val="20"/>
                <w:szCs w:val="20"/>
                <w:color w:val="auto"/>
              </w:rPr>
            </w:pPr>
            <w:r>
              <w:rPr>
                <w:rFonts w:ascii="Arial" w:cs="Arial" w:eastAsia="Arial" w:hAnsi="Arial"/>
                <w:sz w:val="20"/>
                <w:szCs w:val="20"/>
                <w:color w:val="auto"/>
              </w:rPr>
              <w:t>Termination</w:t>
            </w:r>
          </w:p>
        </w:tc>
        <w:tc>
          <w:tcPr>
            <w:tcW w:w="380" w:type="dxa"/>
            <w:vAlign w:val="bottom"/>
          </w:tcPr>
          <w:p>
            <w:pPr>
              <w:jc w:val="right"/>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432"/>
        </w:trPr>
        <w:tc>
          <w:tcPr>
            <w:tcW w:w="420" w:type="dxa"/>
            <w:vAlign w:val="bottom"/>
          </w:tcPr>
          <w:p>
            <w:pPr>
              <w:jc w:val="right"/>
              <w:ind w:right="161"/>
              <w:spacing w:after="0"/>
              <w:rPr>
                <w:sz w:val="20"/>
                <w:szCs w:val="20"/>
                <w:color w:val="auto"/>
              </w:rPr>
            </w:pPr>
            <w:r>
              <w:rPr>
                <w:rFonts w:ascii="Arial" w:cs="Arial" w:eastAsia="Arial" w:hAnsi="Arial"/>
                <w:sz w:val="20"/>
                <w:szCs w:val="20"/>
                <w:color w:val="auto"/>
                <w:w w:val="83"/>
              </w:rPr>
              <w:t>5.</w:t>
            </w:r>
          </w:p>
        </w:tc>
        <w:tc>
          <w:tcPr>
            <w:tcW w:w="10400" w:type="dxa"/>
            <w:vAlign w:val="bottom"/>
            <w:gridSpan w:val="4"/>
          </w:tcPr>
          <w:p>
            <w:pPr>
              <w:ind w:left="320"/>
              <w:spacing w:after="0"/>
              <w:rPr>
                <w:sz w:val="20"/>
                <w:szCs w:val="20"/>
                <w:color w:val="auto"/>
              </w:rPr>
            </w:pPr>
            <w:r>
              <w:rPr>
                <w:rFonts w:ascii="Arial" w:cs="Arial" w:eastAsia="Arial" w:hAnsi="Arial"/>
                <w:sz w:val="20"/>
                <w:szCs w:val="20"/>
                <w:color w:val="auto"/>
              </w:rPr>
              <w:t>Additional Covenants</w:t>
            </w:r>
          </w:p>
        </w:tc>
        <w:tc>
          <w:tcPr>
            <w:tcW w:w="380" w:type="dxa"/>
            <w:vAlign w:val="bottom"/>
          </w:tcPr>
          <w:p>
            <w:pPr>
              <w:jc w:val="right"/>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284"/>
        </w:trPr>
        <w:tc>
          <w:tcPr>
            <w:tcW w:w="420" w:type="dxa"/>
            <w:vAlign w:val="bottom"/>
          </w:tcPr>
          <w:p>
            <w:pPr>
              <w:spacing w:after="0"/>
              <w:rPr>
                <w:sz w:val="24"/>
                <w:szCs w:val="24"/>
                <w:color w:val="auto"/>
              </w:rPr>
            </w:pPr>
          </w:p>
        </w:tc>
        <w:tc>
          <w:tcPr>
            <w:tcW w:w="1220" w:type="dxa"/>
            <w:vAlign w:val="bottom"/>
            <w:vMerge w:val="restart"/>
          </w:tcPr>
          <w:p>
            <w:pPr>
              <w:ind w:left="280"/>
              <w:spacing w:after="0"/>
              <w:rPr>
                <w:sz w:val="20"/>
                <w:szCs w:val="20"/>
                <w:color w:val="auto"/>
              </w:rPr>
            </w:pPr>
            <w:r>
              <w:rPr>
                <w:rFonts w:ascii="Arial" w:cs="Arial" w:eastAsia="Arial" w:hAnsi="Arial"/>
                <w:sz w:val="20"/>
                <w:szCs w:val="20"/>
                <w:color w:val="auto"/>
              </w:rPr>
              <w:t>5.1</w:t>
            </w:r>
          </w:p>
        </w:tc>
        <w:tc>
          <w:tcPr>
            <w:tcW w:w="9180" w:type="dxa"/>
            <w:vAlign w:val="bottom"/>
            <w:gridSpan w:val="3"/>
          </w:tcPr>
          <w:p>
            <w:pPr>
              <w:ind w:left="20"/>
              <w:spacing w:after="0"/>
              <w:rPr>
                <w:sz w:val="20"/>
                <w:szCs w:val="20"/>
                <w:color w:val="auto"/>
              </w:rPr>
            </w:pPr>
            <w:r>
              <w:rPr>
                <w:rFonts w:ascii="Arial" w:cs="Arial" w:eastAsia="Arial" w:hAnsi="Arial"/>
                <w:sz w:val="20"/>
                <w:szCs w:val="20"/>
                <w:color w:val="auto"/>
              </w:rPr>
              <w:t>Insurance</w:t>
            </w:r>
          </w:p>
        </w:tc>
        <w:tc>
          <w:tcPr>
            <w:tcW w:w="380" w:type="dxa"/>
            <w:vAlign w:val="bottom"/>
          </w:tcPr>
          <w:p>
            <w:pPr>
              <w:jc w:val="right"/>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2860" w:type="dxa"/>
            <w:vAlign w:val="bottom"/>
          </w:tcPr>
          <w:p>
            <w:pPr>
              <w:spacing w:after="0"/>
              <w:rPr>
                <w:sz w:val="5"/>
                <w:szCs w:val="5"/>
                <w:color w:val="auto"/>
              </w:rPr>
            </w:pPr>
          </w:p>
        </w:tc>
        <w:tc>
          <w:tcPr>
            <w:tcW w:w="2200" w:type="dxa"/>
            <w:vAlign w:val="bottom"/>
          </w:tcPr>
          <w:p>
            <w:pPr>
              <w:spacing w:after="0"/>
              <w:rPr>
                <w:sz w:val="5"/>
                <w:szCs w:val="5"/>
                <w:color w:val="auto"/>
              </w:rPr>
            </w:pPr>
          </w:p>
        </w:tc>
        <w:tc>
          <w:tcPr>
            <w:tcW w:w="4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220" w:type="dxa"/>
            <w:vAlign w:val="bottom"/>
          </w:tcPr>
          <w:p>
            <w:pPr>
              <w:ind w:left="280"/>
              <w:spacing w:after="0"/>
              <w:rPr>
                <w:sz w:val="20"/>
                <w:szCs w:val="20"/>
                <w:color w:val="auto"/>
              </w:rPr>
            </w:pPr>
            <w:r>
              <w:rPr>
                <w:rFonts w:ascii="Arial" w:cs="Arial" w:eastAsia="Arial" w:hAnsi="Arial"/>
                <w:sz w:val="20"/>
                <w:szCs w:val="20"/>
                <w:color w:val="auto"/>
              </w:rPr>
              <w:t>5.2</w:t>
            </w:r>
          </w:p>
        </w:tc>
        <w:tc>
          <w:tcPr>
            <w:tcW w:w="9180" w:type="dxa"/>
            <w:vAlign w:val="bottom"/>
            <w:gridSpan w:val="3"/>
          </w:tcPr>
          <w:p>
            <w:pPr>
              <w:ind w:left="20"/>
              <w:spacing w:after="0"/>
              <w:rPr>
                <w:sz w:val="20"/>
                <w:szCs w:val="20"/>
                <w:color w:val="auto"/>
              </w:rPr>
            </w:pPr>
            <w:r>
              <w:rPr>
                <w:rFonts w:ascii="Arial" w:cs="Arial" w:eastAsia="Arial" w:hAnsi="Arial"/>
                <w:sz w:val="20"/>
                <w:szCs w:val="20"/>
                <w:color w:val="auto"/>
              </w:rPr>
              <w:t>Employee Agreements</w:t>
            </w:r>
          </w:p>
        </w:tc>
        <w:tc>
          <w:tcPr>
            <w:tcW w:w="380" w:type="dxa"/>
            <w:vAlign w:val="bottom"/>
          </w:tcPr>
          <w:p>
            <w:pPr>
              <w:jc w:val="right"/>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220" w:type="dxa"/>
            <w:vAlign w:val="bottom"/>
          </w:tcPr>
          <w:p>
            <w:pPr>
              <w:ind w:left="280"/>
              <w:spacing w:after="0"/>
              <w:rPr>
                <w:sz w:val="20"/>
                <w:szCs w:val="20"/>
                <w:color w:val="auto"/>
              </w:rPr>
            </w:pPr>
            <w:r>
              <w:rPr>
                <w:rFonts w:ascii="Arial" w:cs="Arial" w:eastAsia="Arial" w:hAnsi="Arial"/>
                <w:sz w:val="20"/>
                <w:szCs w:val="20"/>
                <w:color w:val="auto"/>
              </w:rPr>
              <w:t>5.3</w:t>
            </w:r>
          </w:p>
        </w:tc>
        <w:tc>
          <w:tcPr>
            <w:tcW w:w="9180" w:type="dxa"/>
            <w:vAlign w:val="bottom"/>
            <w:gridSpan w:val="3"/>
          </w:tcPr>
          <w:p>
            <w:pPr>
              <w:ind w:left="20"/>
              <w:spacing w:after="0"/>
              <w:rPr>
                <w:sz w:val="20"/>
                <w:szCs w:val="20"/>
                <w:color w:val="auto"/>
              </w:rPr>
            </w:pPr>
            <w:r>
              <w:rPr>
                <w:rFonts w:ascii="Arial" w:cs="Arial" w:eastAsia="Arial" w:hAnsi="Arial"/>
                <w:sz w:val="20"/>
                <w:szCs w:val="20"/>
                <w:color w:val="auto"/>
              </w:rPr>
              <w:t>Employee Stock</w:t>
            </w:r>
          </w:p>
        </w:tc>
        <w:tc>
          <w:tcPr>
            <w:tcW w:w="380" w:type="dxa"/>
            <w:vAlign w:val="bottom"/>
          </w:tcPr>
          <w:p>
            <w:pPr>
              <w:jc w:val="right"/>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284"/>
        </w:trPr>
        <w:tc>
          <w:tcPr>
            <w:tcW w:w="420" w:type="dxa"/>
            <w:vAlign w:val="bottom"/>
          </w:tcPr>
          <w:p>
            <w:pPr>
              <w:spacing w:after="0"/>
              <w:rPr>
                <w:sz w:val="24"/>
                <w:szCs w:val="24"/>
                <w:color w:val="auto"/>
              </w:rPr>
            </w:pPr>
          </w:p>
        </w:tc>
        <w:tc>
          <w:tcPr>
            <w:tcW w:w="1220" w:type="dxa"/>
            <w:vAlign w:val="bottom"/>
          </w:tcPr>
          <w:p>
            <w:pPr>
              <w:ind w:left="280"/>
              <w:spacing w:after="0"/>
              <w:rPr>
                <w:sz w:val="20"/>
                <w:szCs w:val="20"/>
                <w:color w:val="auto"/>
              </w:rPr>
            </w:pPr>
            <w:r>
              <w:rPr>
                <w:rFonts w:ascii="Arial" w:cs="Arial" w:eastAsia="Arial" w:hAnsi="Arial"/>
                <w:sz w:val="20"/>
                <w:szCs w:val="20"/>
                <w:color w:val="auto"/>
              </w:rPr>
              <w:t>5.4</w:t>
            </w:r>
          </w:p>
        </w:tc>
        <w:tc>
          <w:tcPr>
            <w:tcW w:w="9180" w:type="dxa"/>
            <w:vAlign w:val="bottom"/>
            <w:gridSpan w:val="3"/>
          </w:tcPr>
          <w:p>
            <w:pPr>
              <w:ind w:left="20"/>
              <w:spacing w:after="0"/>
              <w:rPr>
                <w:sz w:val="20"/>
                <w:szCs w:val="20"/>
                <w:color w:val="auto"/>
              </w:rPr>
            </w:pPr>
            <w:r>
              <w:rPr>
                <w:rFonts w:ascii="Arial" w:cs="Arial" w:eastAsia="Arial" w:hAnsi="Arial"/>
                <w:sz w:val="20"/>
                <w:szCs w:val="20"/>
                <w:color w:val="auto"/>
              </w:rPr>
              <w:t>Matters Requiring Investor Director Approval</w:t>
            </w:r>
          </w:p>
        </w:tc>
        <w:tc>
          <w:tcPr>
            <w:tcW w:w="380" w:type="dxa"/>
            <w:vAlign w:val="bottom"/>
          </w:tcPr>
          <w:p>
            <w:pPr>
              <w:jc w:val="right"/>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1220" w:type="dxa"/>
            <w:vAlign w:val="bottom"/>
          </w:tcPr>
          <w:p>
            <w:pPr>
              <w:ind w:left="280"/>
              <w:spacing w:after="0"/>
              <w:rPr>
                <w:sz w:val="20"/>
                <w:szCs w:val="20"/>
                <w:color w:val="auto"/>
              </w:rPr>
            </w:pPr>
            <w:r>
              <w:rPr>
                <w:rFonts w:ascii="Arial" w:cs="Arial" w:eastAsia="Arial" w:hAnsi="Arial"/>
                <w:sz w:val="20"/>
                <w:szCs w:val="20"/>
                <w:color w:val="auto"/>
              </w:rPr>
              <w:t>5.5</w:t>
            </w:r>
          </w:p>
        </w:tc>
        <w:tc>
          <w:tcPr>
            <w:tcW w:w="9180" w:type="dxa"/>
            <w:vAlign w:val="bottom"/>
            <w:gridSpan w:val="3"/>
          </w:tcPr>
          <w:p>
            <w:pPr>
              <w:ind w:left="20"/>
              <w:spacing w:after="0"/>
              <w:rPr>
                <w:sz w:val="20"/>
                <w:szCs w:val="20"/>
                <w:color w:val="auto"/>
              </w:rPr>
            </w:pPr>
            <w:r>
              <w:rPr>
                <w:rFonts w:ascii="Arial" w:cs="Arial" w:eastAsia="Arial" w:hAnsi="Arial"/>
                <w:sz w:val="20"/>
                <w:szCs w:val="20"/>
                <w:color w:val="auto"/>
              </w:rPr>
              <w:t>Board Matters</w:t>
            </w:r>
          </w:p>
        </w:tc>
        <w:tc>
          <w:tcPr>
            <w:tcW w:w="380" w:type="dxa"/>
            <w:vAlign w:val="bottom"/>
          </w:tcPr>
          <w:p>
            <w:pPr>
              <w:jc w:val="right"/>
              <w:spacing w:after="0"/>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r>
        <w:trPr>
          <w:trHeight w:val="284"/>
        </w:trPr>
        <w:tc>
          <w:tcPr>
            <w:tcW w:w="420" w:type="dxa"/>
            <w:vAlign w:val="bottom"/>
          </w:tcPr>
          <w:p>
            <w:pPr>
              <w:spacing w:after="0"/>
              <w:rPr>
                <w:sz w:val="24"/>
                <w:szCs w:val="24"/>
                <w:color w:val="auto"/>
              </w:rPr>
            </w:pPr>
          </w:p>
        </w:tc>
        <w:tc>
          <w:tcPr>
            <w:tcW w:w="1220" w:type="dxa"/>
            <w:vAlign w:val="bottom"/>
          </w:tcPr>
          <w:p>
            <w:pPr>
              <w:ind w:left="280"/>
              <w:spacing w:after="0"/>
              <w:rPr>
                <w:sz w:val="20"/>
                <w:szCs w:val="20"/>
                <w:color w:val="auto"/>
              </w:rPr>
            </w:pPr>
            <w:r>
              <w:rPr>
                <w:rFonts w:ascii="Arial" w:cs="Arial" w:eastAsia="Arial" w:hAnsi="Arial"/>
                <w:sz w:val="20"/>
                <w:szCs w:val="20"/>
                <w:color w:val="auto"/>
              </w:rPr>
              <w:t>5.6</w:t>
            </w:r>
          </w:p>
        </w:tc>
        <w:tc>
          <w:tcPr>
            <w:tcW w:w="9180" w:type="dxa"/>
            <w:vAlign w:val="bottom"/>
            <w:gridSpan w:val="3"/>
          </w:tcPr>
          <w:p>
            <w:pPr>
              <w:ind w:left="20"/>
              <w:spacing w:after="0"/>
              <w:rPr>
                <w:sz w:val="20"/>
                <w:szCs w:val="20"/>
                <w:color w:val="auto"/>
              </w:rPr>
            </w:pPr>
            <w:r>
              <w:rPr>
                <w:rFonts w:ascii="Arial" w:cs="Arial" w:eastAsia="Arial" w:hAnsi="Arial"/>
                <w:sz w:val="20"/>
                <w:szCs w:val="20"/>
                <w:color w:val="auto"/>
              </w:rPr>
              <w:t>Successor Indemnification</w:t>
            </w:r>
          </w:p>
        </w:tc>
        <w:tc>
          <w:tcPr>
            <w:tcW w:w="380" w:type="dxa"/>
            <w:vAlign w:val="bottom"/>
          </w:tcPr>
          <w:p>
            <w:pPr>
              <w:jc w:val="right"/>
              <w:spacing w:after="0"/>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1220" w:type="dxa"/>
            <w:vAlign w:val="bottom"/>
          </w:tcPr>
          <w:p>
            <w:pPr>
              <w:ind w:left="280"/>
              <w:spacing w:after="0"/>
              <w:rPr>
                <w:sz w:val="20"/>
                <w:szCs w:val="20"/>
                <w:color w:val="auto"/>
              </w:rPr>
            </w:pPr>
            <w:r>
              <w:rPr>
                <w:rFonts w:ascii="Arial" w:cs="Arial" w:eastAsia="Arial" w:hAnsi="Arial"/>
                <w:sz w:val="20"/>
                <w:szCs w:val="20"/>
                <w:color w:val="auto"/>
              </w:rPr>
              <w:t>5.7</w:t>
            </w:r>
          </w:p>
        </w:tc>
        <w:tc>
          <w:tcPr>
            <w:tcW w:w="9180" w:type="dxa"/>
            <w:vAlign w:val="bottom"/>
            <w:gridSpan w:val="3"/>
          </w:tcPr>
          <w:p>
            <w:pPr>
              <w:ind w:left="20"/>
              <w:spacing w:after="0"/>
              <w:rPr>
                <w:sz w:val="20"/>
                <w:szCs w:val="20"/>
                <w:color w:val="auto"/>
              </w:rPr>
            </w:pPr>
            <w:r>
              <w:rPr>
                <w:rFonts w:ascii="Arial" w:cs="Arial" w:eastAsia="Arial" w:hAnsi="Arial"/>
                <w:sz w:val="20"/>
                <w:szCs w:val="20"/>
                <w:color w:val="auto"/>
              </w:rPr>
              <w:t>Adjustment of Series A Conversion Price Prior to a Public Offering</w:t>
            </w:r>
          </w:p>
        </w:tc>
        <w:tc>
          <w:tcPr>
            <w:tcW w:w="380" w:type="dxa"/>
            <w:vAlign w:val="bottom"/>
          </w:tcPr>
          <w:p>
            <w:pPr>
              <w:jc w:val="right"/>
              <w:spacing w:after="0"/>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r>
        <w:trPr>
          <w:trHeight w:val="284"/>
        </w:trPr>
        <w:tc>
          <w:tcPr>
            <w:tcW w:w="420" w:type="dxa"/>
            <w:vAlign w:val="bottom"/>
          </w:tcPr>
          <w:p>
            <w:pPr>
              <w:spacing w:after="0"/>
              <w:rPr>
                <w:sz w:val="24"/>
                <w:szCs w:val="24"/>
                <w:color w:val="auto"/>
              </w:rPr>
            </w:pPr>
          </w:p>
        </w:tc>
        <w:tc>
          <w:tcPr>
            <w:tcW w:w="1220" w:type="dxa"/>
            <w:vAlign w:val="bottom"/>
          </w:tcPr>
          <w:p>
            <w:pPr>
              <w:ind w:left="280"/>
              <w:spacing w:after="0"/>
              <w:rPr>
                <w:sz w:val="20"/>
                <w:szCs w:val="20"/>
                <w:color w:val="auto"/>
              </w:rPr>
            </w:pPr>
            <w:r>
              <w:rPr>
                <w:rFonts w:ascii="Arial" w:cs="Arial" w:eastAsia="Arial" w:hAnsi="Arial"/>
                <w:sz w:val="20"/>
                <w:szCs w:val="20"/>
                <w:color w:val="auto"/>
              </w:rPr>
              <w:t>5.8</w:t>
            </w:r>
          </w:p>
        </w:tc>
        <w:tc>
          <w:tcPr>
            <w:tcW w:w="9180" w:type="dxa"/>
            <w:vAlign w:val="bottom"/>
            <w:gridSpan w:val="3"/>
          </w:tcPr>
          <w:p>
            <w:pPr>
              <w:ind w:left="20"/>
              <w:spacing w:after="0"/>
              <w:rPr>
                <w:sz w:val="20"/>
                <w:szCs w:val="20"/>
                <w:color w:val="auto"/>
              </w:rPr>
            </w:pPr>
            <w:r>
              <w:rPr>
                <w:rFonts w:ascii="Arial" w:cs="Arial" w:eastAsia="Arial" w:hAnsi="Arial"/>
                <w:sz w:val="20"/>
                <w:szCs w:val="20"/>
                <w:color w:val="auto"/>
              </w:rPr>
              <w:t>Termination of Covenants</w:t>
            </w:r>
          </w:p>
        </w:tc>
        <w:tc>
          <w:tcPr>
            <w:tcW w:w="380" w:type="dxa"/>
            <w:vAlign w:val="bottom"/>
          </w:tcPr>
          <w:p>
            <w:pPr>
              <w:jc w:val="right"/>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432"/>
        </w:trPr>
        <w:tc>
          <w:tcPr>
            <w:tcW w:w="420" w:type="dxa"/>
            <w:vAlign w:val="bottom"/>
          </w:tcPr>
          <w:p>
            <w:pPr>
              <w:jc w:val="right"/>
              <w:ind w:right="161"/>
              <w:spacing w:after="0"/>
              <w:rPr>
                <w:sz w:val="20"/>
                <w:szCs w:val="20"/>
                <w:color w:val="auto"/>
              </w:rPr>
            </w:pPr>
            <w:r>
              <w:rPr>
                <w:rFonts w:ascii="Arial" w:cs="Arial" w:eastAsia="Arial" w:hAnsi="Arial"/>
                <w:sz w:val="20"/>
                <w:szCs w:val="20"/>
                <w:color w:val="auto"/>
                <w:w w:val="83"/>
              </w:rPr>
              <w:t>6.</w:t>
            </w:r>
          </w:p>
        </w:tc>
        <w:tc>
          <w:tcPr>
            <w:tcW w:w="10400" w:type="dxa"/>
            <w:vAlign w:val="bottom"/>
            <w:gridSpan w:val="4"/>
          </w:tcPr>
          <w:p>
            <w:pPr>
              <w:ind w:left="280"/>
              <w:spacing w:after="0"/>
              <w:rPr>
                <w:sz w:val="20"/>
                <w:szCs w:val="20"/>
                <w:color w:val="auto"/>
              </w:rPr>
            </w:pPr>
            <w:r>
              <w:rPr>
                <w:rFonts w:ascii="Arial" w:cs="Arial" w:eastAsia="Arial" w:hAnsi="Arial"/>
                <w:sz w:val="20"/>
                <w:szCs w:val="20"/>
                <w:color w:val="auto"/>
              </w:rPr>
              <w:t>Miscellaneous</w:t>
            </w:r>
          </w:p>
        </w:tc>
        <w:tc>
          <w:tcPr>
            <w:tcW w:w="380" w:type="dxa"/>
            <w:vAlign w:val="bottom"/>
          </w:tcPr>
          <w:p>
            <w:pPr>
              <w:jc w:val="right"/>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284"/>
        </w:trPr>
        <w:tc>
          <w:tcPr>
            <w:tcW w:w="420" w:type="dxa"/>
            <w:vAlign w:val="bottom"/>
          </w:tcPr>
          <w:p>
            <w:pPr>
              <w:spacing w:after="0"/>
              <w:rPr>
                <w:sz w:val="24"/>
                <w:szCs w:val="24"/>
                <w:color w:val="auto"/>
              </w:rPr>
            </w:pPr>
          </w:p>
        </w:tc>
        <w:tc>
          <w:tcPr>
            <w:tcW w:w="1220" w:type="dxa"/>
            <w:vAlign w:val="bottom"/>
          </w:tcPr>
          <w:p>
            <w:pPr>
              <w:ind w:left="280"/>
              <w:spacing w:after="0"/>
              <w:rPr>
                <w:sz w:val="20"/>
                <w:szCs w:val="20"/>
                <w:color w:val="auto"/>
              </w:rPr>
            </w:pPr>
            <w:r>
              <w:rPr>
                <w:rFonts w:ascii="Arial" w:cs="Arial" w:eastAsia="Arial" w:hAnsi="Arial"/>
                <w:sz w:val="20"/>
                <w:szCs w:val="20"/>
                <w:color w:val="auto"/>
              </w:rPr>
              <w:t>6.1</w:t>
            </w:r>
          </w:p>
        </w:tc>
        <w:tc>
          <w:tcPr>
            <w:tcW w:w="9180" w:type="dxa"/>
            <w:vAlign w:val="bottom"/>
            <w:gridSpan w:val="3"/>
          </w:tcPr>
          <w:p>
            <w:pPr>
              <w:ind w:left="20"/>
              <w:spacing w:after="0"/>
              <w:rPr>
                <w:sz w:val="20"/>
                <w:szCs w:val="20"/>
                <w:color w:val="auto"/>
              </w:rPr>
            </w:pPr>
            <w:r>
              <w:rPr>
                <w:rFonts w:ascii="Arial" w:cs="Arial" w:eastAsia="Arial" w:hAnsi="Arial"/>
                <w:sz w:val="20"/>
                <w:szCs w:val="20"/>
                <w:color w:val="auto"/>
              </w:rPr>
              <w:t>Successors and Assigns</w:t>
            </w:r>
          </w:p>
        </w:tc>
        <w:tc>
          <w:tcPr>
            <w:tcW w:w="380" w:type="dxa"/>
            <w:vAlign w:val="bottom"/>
          </w:tcPr>
          <w:p>
            <w:pPr>
              <w:jc w:val="right"/>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284"/>
        </w:trPr>
        <w:tc>
          <w:tcPr>
            <w:tcW w:w="420" w:type="dxa"/>
            <w:vAlign w:val="bottom"/>
          </w:tcPr>
          <w:p>
            <w:pPr>
              <w:spacing w:after="0"/>
              <w:rPr>
                <w:sz w:val="24"/>
                <w:szCs w:val="24"/>
                <w:color w:val="auto"/>
              </w:rPr>
            </w:pPr>
          </w:p>
        </w:tc>
        <w:tc>
          <w:tcPr>
            <w:tcW w:w="1220" w:type="dxa"/>
            <w:vAlign w:val="bottom"/>
          </w:tcPr>
          <w:p>
            <w:pPr>
              <w:ind w:left="280"/>
              <w:spacing w:after="0"/>
              <w:rPr>
                <w:sz w:val="20"/>
                <w:szCs w:val="20"/>
                <w:color w:val="auto"/>
              </w:rPr>
            </w:pPr>
            <w:r>
              <w:rPr>
                <w:rFonts w:ascii="Arial" w:cs="Arial" w:eastAsia="Arial" w:hAnsi="Arial"/>
                <w:sz w:val="20"/>
                <w:szCs w:val="20"/>
                <w:color w:val="auto"/>
              </w:rPr>
              <w:t>6.2</w:t>
            </w:r>
          </w:p>
        </w:tc>
        <w:tc>
          <w:tcPr>
            <w:tcW w:w="9180" w:type="dxa"/>
            <w:vAlign w:val="bottom"/>
            <w:gridSpan w:val="3"/>
          </w:tcPr>
          <w:p>
            <w:pPr>
              <w:ind w:left="20"/>
              <w:spacing w:after="0"/>
              <w:rPr>
                <w:sz w:val="20"/>
                <w:szCs w:val="20"/>
                <w:color w:val="auto"/>
              </w:rPr>
            </w:pPr>
            <w:r>
              <w:rPr>
                <w:rFonts w:ascii="Arial" w:cs="Arial" w:eastAsia="Arial" w:hAnsi="Arial"/>
                <w:sz w:val="20"/>
                <w:szCs w:val="20"/>
                <w:color w:val="auto"/>
              </w:rPr>
              <w:t>Governing Law</w:t>
            </w:r>
          </w:p>
        </w:tc>
        <w:tc>
          <w:tcPr>
            <w:tcW w:w="380" w:type="dxa"/>
            <w:vAlign w:val="bottom"/>
          </w:tcPr>
          <w:p>
            <w:pPr>
              <w:jc w:val="right"/>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1220" w:type="dxa"/>
            <w:vAlign w:val="bottom"/>
          </w:tcPr>
          <w:p>
            <w:pPr>
              <w:ind w:left="280"/>
              <w:spacing w:after="0"/>
              <w:rPr>
                <w:sz w:val="20"/>
                <w:szCs w:val="20"/>
                <w:color w:val="auto"/>
              </w:rPr>
            </w:pPr>
            <w:r>
              <w:rPr>
                <w:rFonts w:ascii="Arial" w:cs="Arial" w:eastAsia="Arial" w:hAnsi="Arial"/>
                <w:sz w:val="20"/>
                <w:szCs w:val="20"/>
                <w:color w:val="auto"/>
              </w:rPr>
              <w:t>6.3</w:t>
            </w:r>
          </w:p>
        </w:tc>
        <w:tc>
          <w:tcPr>
            <w:tcW w:w="9180" w:type="dxa"/>
            <w:vAlign w:val="bottom"/>
            <w:gridSpan w:val="3"/>
          </w:tcPr>
          <w:p>
            <w:pPr>
              <w:ind w:left="20"/>
              <w:spacing w:after="0"/>
              <w:rPr>
                <w:sz w:val="20"/>
                <w:szCs w:val="20"/>
                <w:color w:val="auto"/>
              </w:rPr>
            </w:pPr>
            <w:r>
              <w:rPr>
                <w:rFonts w:ascii="Arial" w:cs="Arial" w:eastAsia="Arial" w:hAnsi="Arial"/>
                <w:sz w:val="20"/>
                <w:szCs w:val="20"/>
                <w:color w:val="auto"/>
              </w:rPr>
              <w:t>Counterparts</w:t>
            </w:r>
          </w:p>
        </w:tc>
        <w:tc>
          <w:tcPr>
            <w:tcW w:w="380" w:type="dxa"/>
            <w:vAlign w:val="bottom"/>
          </w:tcPr>
          <w:p>
            <w:pPr>
              <w:jc w:val="right"/>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284"/>
        </w:trPr>
        <w:tc>
          <w:tcPr>
            <w:tcW w:w="420" w:type="dxa"/>
            <w:vAlign w:val="bottom"/>
          </w:tcPr>
          <w:p>
            <w:pPr>
              <w:spacing w:after="0"/>
              <w:rPr>
                <w:sz w:val="24"/>
                <w:szCs w:val="24"/>
                <w:color w:val="auto"/>
              </w:rPr>
            </w:pPr>
          </w:p>
        </w:tc>
        <w:tc>
          <w:tcPr>
            <w:tcW w:w="1220" w:type="dxa"/>
            <w:vAlign w:val="bottom"/>
          </w:tcPr>
          <w:p>
            <w:pPr>
              <w:ind w:left="280"/>
              <w:spacing w:after="0"/>
              <w:rPr>
                <w:sz w:val="20"/>
                <w:szCs w:val="20"/>
                <w:color w:val="auto"/>
              </w:rPr>
            </w:pPr>
            <w:r>
              <w:rPr>
                <w:rFonts w:ascii="Arial" w:cs="Arial" w:eastAsia="Arial" w:hAnsi="Arial"/>
                <w:sz w:val="20"/>
                <w:szCs w:val="20"/>
                <w:color w:val="auto"/>
              </w:rPr>
              <w:t>6.4</w:t>
            </w:r>
          </w:p>
        </w:tc>
        <w:tc>
          <w:tcPr>
            <w:tcW w:w="9180" w:type="dxa"/>
            <w:vAlign w:val="bottom"/>
            <w:gridSpan w:val="3"/>
          </w:tcPr>
          <w:p>
            <w:pPr>
              <w:ind w:left="20"/>
              <w:spacing w:after="0"/>
              <w:rPr>
                <w:sz w:val="20"/>
                <w:szCs w:val="20"/>
                <w:color w:val="auto"/>
              </w:rPr>
            </w:pPr>
            <w:r>
              <w:rPr>
                <w:rFonts w:ascii="Arial" w:cs="Arial" w:eastAsia="Arial" w:hAnsi="Arial"/>
                <w:sz w:val="20"/>
                <w:szCs w:val="20"/>
                <w:color w:val="auto"/>
              </w:rPr>
              <w:t>Titles and Subtitles</w:t>
            </w:r>
          </w:p>
        </w:tc>
        <w:tc>
          <w:tcPr>
            <w:tcW w:w="380" w:type="dxa"/>
            <w:vAlign w:val="bottom"/>
          </w:tcPr>
          <w:p>
            <w:pPr>
              <w:jc w:val="right"/>
              <w:spacing w:after="0"/>
              <w:rPr>
                <w:sz w:val="20"/>
                <w:szCs w:val="20"/>
                <w:color w:val="auto"/>
              </w:rPr>
            </w:pPr>
            <w:r>
              <w:rPr>
                <w:rFonts w:ascii="Arial" w:cs="Arial" w:eastAsia="Arial" w:hAnsi="Arial"/>
                <w:sz w:val="20"/>
                <w:szCs w:val="20"/>
                <w:color w:val="auto"/>
              </w:rPr>
              <w:t>24</w:t>
            </w:r>
          </w:p>
        </w:tc>
        <w:tc>
          <w:tcPr>
            <w:tcW w:w="0" w:type="dxa"/>
            <w:vAlign w:val="bottom"/>
          </w:tcPr>
          <w:p>
            <w:pPr>
              <w:spacing w:after="0"/>
              <w:rPr>
                <w:sz w:val="1"/>
                <w:szCs w:val="1"/>
                <w:color w:val="auto"/>
              </w:rPr>
            </w:pPr>
          </w:p>
        </w:tc>
      </w:tr>
      <w:tr>
        <w:trPr>
          <w:trHeight w:val="284"/>
        </w:trPr>
        <w:tc>
          <w:tcPr>
            <w:tcW w:w="420" w:type="dxa"/>
            <w:vAlign w:val="bottom"/>
          </w:tcPr>
          <w:p>
            <w:pPr>
              <w:spacing w:after="0"/>
              <w:rPr>
                <w:sz w:val="24"/>
                <w:szCs w:val="24"/>
                <w:color w:val="auto"/>
              </w:rPr>
            </w:pPr>
          </w:p>
        </w:tc>
        <w:tc>
          <w:tcPr>
            <w:tcW w:w="1220" w:type="dxa"/>
            <w:vAlign w:val="bottom"/>
          </w:tcPr>
          <w:p>
            <w:pPr>
              <w:ind w:left="280"/>
              <w:spacing w:after="0"/>
              <w:rPr>
                <w:sz w:val="20"/>
                <w:szCs w:val="20"/>
                <w:color w:val="auto"/>
              </w:rPr>
            </w:pPr>
            <w:r>
              <w:rPr>
                <w:rFonts w:ascii="Arial" w:cs="Arial" w:eastAsia="Arial" w:hAnsi="Arial"/>
                <w:sz w:val="20"/>
                <w:szCs w:val="20"/>
                <w:color w:val="auto"/>
              </w:rPr>
              <w:t>6.5</w:t>
            </w:r>
          </w:p>
        </w:tc>
        <w:tc>
          <w:tcPr>
            <w:tcW w:w="9180" w:type="dxa"/>
            <w:vAlign w:val="bottom"/>
            <w:gridSpan w:val="3"/>
          </w:tcPr>
          <w:p>
            <w:pPr>
              <w:ind w:left="20"/>
              <w:spacing w:after="0"/>
              <w:rPr>
                <w:sz w:val="20"/>
                <w:szCs w:val="20"/>
                <w:color w:val="auto"/>
              </w:rPr>
            </w:pPr>
            <w:r>
              <w:rPr>
                <w:rFonts w:ascii="Arial" w:cs="Arial" w:eastAsia="Arial" w:hAnsi="Arial"/>
                <w:sz w:val="20"/>
                <w:szCs w:val="20"/>
                <w:color w:val="auto"/>
              </w:rPr>
              <w:t>Notices</w:t>
            </w:r>
          </w:p>
        </w:tc>
        <w:tc>
          <w:tcPr>
            <w:tcW w:w="380" w:type="dxa"/>
            <w:vAlign w:val="bottom"/>
          </w:tcPr>
          <w:p>
            <w:pPr>
              <w:jc w:val="right"/>
              <w:spacing w:after="0"/>
              <w:rPr>
                <w:sz w:val="20"/>
                <w:szCs w:val="20"/>
                <w:color w:val="auto"/>
              </w:rPr>
            </w:pPr>
            <w:r>
              <w:rPr>
                <w:rFonts w:ascii="Arial" w:cs="Arial" w:eastAsia="Arial" w:hAnsi="Arial"/>
                <w:sz w:val="20"/>
                <w:szCs w:val="20"/>
                <w:color w:val="auto"/>
              </w:rPr>
              <w:t>24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40" w:top="1399" w:right="359" w:bottom="5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200"/>
          </w:cols>
          <w:pgMar w:left="340" w:top="1399" w:right="359" w:bottom="593" w:gutter="0" w:footer="0" w:header="0"/>
          <w:type w:val="continuous"/>
        </w:sectPr>
      </w:pPr>
    </w:p>
    <w:bookmarkStart w:id="258" w:name="page259"/>
    <w:bookmarkEnd w:id="258"/>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00" w:type="dxa"/>
            <w:vAlign w:val="bottom"/>
          </w:tcPr>
          <w:p>
            <w:pPr>
              <w:ind w:left="720"/>
              <w:spacing w:after="0"/>
              <w:rPr>
                <w:sz w:val="20"/>
                <w:szCs w:val="20"/>
                <w:color w:val="auto"/>
              </w:rPr>
            </w:pPr>
            <w:r>
              <w:rPr>
                <w:rFonts w:ascii="Arial" w:cs="Arial" w:eastAsia="Arial" w:hAnsi="Arial"/>
                <w:sz w:val="20"/>
                <w:szCs w:val="20"/>
                <w:color w:val="auto"/>
                <w:w w:val="93"/>
              </w:rPr>
              <w:t>6.6</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920" w:type="dxa"/>
            <w:vAlign w:val="bottom"/>
          </w:tcPr>
          <w:p>
            <w:pPr>
              <w:ind w:left="200"/>
              <w:spacing w:after="0"/>
              <w:rPr>
                <w:sz w:val="20"/>
                <w:szCs w:val="20"/>
                <w:color w:val="auto"/>
              </w:rPr>
            </w:pPr>
            <w:r>
              <w:rPr>
                <w:rFonts w:ascii="Arial" w:cs="Arial" w:eastAsia="Arial" w:hAnsi="Arial"/>
                <w:sz w:val="20"/>
                <w:szCs w:val="20"/>
                <w:color w:val="auto"/>
              </w:rPr>
              <w:t>Amendments and Waivers</w:t>
            </w:r>
          </w:p>
        </w:tc>
        <w:tc>
          <w:tcPr>
            <w:tcW w:w="382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83"/>
        </w:trPr>
        <w:tc>
          <w:tcPr>
            <w:tcW w:w="1000" w:type="dxa"/>
            <w:vAlign w:val="bottom"/>
          </w:tcPr>
          <w:p>
            <w:pPr>
              <w:ind w:left="720"/>
              <w:spacing w:after="0"/>
              <w:rPr>
                <w:sz w:val="20"/>
                <w:szCs w:val="20"/>
                <w:color w:val="auto"/>
              </w:rPr>
            </w:pPr>
            <w:r>
              <w:rPr>
                <w:rFonts w:ascii="Arial" w:cs="Arial" w:eastAsia="Arial" w:hAnsi="Arial"/>
                <w:sz w:val="20"/>
                <w:szCs w:val="20"/>
                <w:color w:val="auto"/>
                <w:w w:val="93"/>
              </w:rPr>
              <w:t>6.7</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920" w:type="dxa"/>
            <w:vAlign w:val="bottom"/>
          </w:tcPr>
          <w:p>
            <w:pPr>
              <w:ind w:left="200"/>
              <w:spacing w:after="0"/>
              <w:rPr>
                <w:sz w:val="20"/>
                <w:szCs w:val="20"/>
                <w:color w:val="auto"/>
              </w:rPr>
            </w:pPr>
            <w:r>
              <w:rPr>
                <w:rFonts w:ascii="Arial" w:cs="Arial" w:eastAsia="Arial" w:hAnsi="Arial"/>
                <w:sz w:val="20"/>
                <w:szCs w:val="20"/>
                <w:color w:val="auto"/>
              </w:rPr>
              <w:t>Severability</w:t>
            </w:r>
          </w:p>
        </w:tc>
        <w:tc>
          <w:tcPr>
            <w:tcW w:w="382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83"/>
        </w:trPr>
        <w:tc>
          <w:tcPr>
            <w:tcW w:w="1000" w:type="dxa"/>
            <w:vAlign w:val="bottom"/>
          </w:tcPr>
          <w:p>
            <w:pPr>
              <w:ind w:left="720"/>
              <w:spacing w:after="0"/>
              <w:rPr>
                <w:sz w:val="20"/>
                <w:szCs w:val="20"/>
                <w:color w:val="auto"/>
              </w:rPr>
            </w:pPr>
            <w:r>
              <w:rPr>
                <w:rFonts w:ascii="Arial" w:cs="Arial" w:eastAsia="Arial" w:hAnsi="Arial"/>
                <w:sz w:val="20"/>
                <w:szCs w:val="20"/>
                <w:color w:val="auto"/>
                <w:w w:val="93"/>
              </w:rPr>
              <w:t>6.8</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920" w:type="dxa"/>
            <w:vAlign w:val="bottom"/>
          </w:tcPr>
          <w:p>
            <w:pPr>
              <w:ind w:left="200"/>
              <w:spacing w:after="0"/>
              <w:rPr>
                <w:sz w:val="20"/>
                <w:szCs w:val="20"/>
                <w:color w:val="auto"/>
              </w:rPr>
            </w:pPr>
            <w:r>
              <w:rPr>
                <w:rFonts w:ascii="Arial" w:cs="Arial" w:eastAsia="Arial" w:hAnsi="Arial"/>
                <w:sz w:val="20"/>
                <w:szCs w:val="20"/>
                <w:color w:val="auto"/>
              </w:rPr>
              <w:t>Aggregation of Stock</w:t>
            </w:r>
          </w:p>
        </w:tc>
        <w:tc>
          <w:tcPr>
            <w:tcW w:w="382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84"/>
        </w:trPr>
        <w:tc>
          <w:tcPr>
            <w:tcW w:w="1000" w:type="dxa"/>
            <w:vAlign w:val="bottom"/>
          </w:tcPr>
          <w:p>
            <w:pPr>
              <w:ind w:left="720"/>
              <w:spacing w:after="0"/>
              <w:rPr>
                <w:sz w:val="20"/>
                <w:szCs w:val="20"/>
                <w:color w:val="auto"/>
              </w:rPr>
            </w:pPr>
            <w:r>
              <w:rPr>
                <w:rFonts w:ascii="Arial" w:cs="Arial" w:eastAsia="Arial" w:hAnsi="Arial"/>
                <w:sz w:val="20"/>
                <w:szCs w:val="20"/>
                <w:color w:val="auto"/>
                <w:w w:val="93"/>
              </w:rPr>
              <w:t>6.9</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920" w:type="dxa"/>
            <w:vAlign w:val="bottom"/>
          </w:tcPr>
          <w:p>
            <w:pPr>
              <w:ind w:left="200"/>
              <w:spacing w:after="0"/>
              <w:rPr>
                <w:sz w:val="20"/>
                <w:szCs w:val="20"/>
                <w:color w:val="auto"/>
              </w:rPr>
            </w:pPr>
            <w:r>
              <w:rPr>
                <w:rFonts w:ascii="Arial" w:cs="Arial" w:eastAsia="Arial" w:hAnsi="Arial"/>
                <w:sz w:val="20"/>
                <w:szCs w:val="20"/>
                <w:color w:val="auto"/>
              </w:rPr>
              <w:t>Additional Investors.</w:t>
            </w:r>
          </w:p>
        </w:tc>
        <w:tc>
          <w:tcPr>
            <w:tcW w:w="382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83"/>
        </w:trPr>
        <w:tc>
          <w:tcPr>
            <w:tcW w:w="1160" w:type="dxa"/>
            <w:vAlign w:val="bottom"/>
            <w:gridSpan w:val="2"/>
          </w:tcPr>
          <w:p>
            <w:pPr>
              <w:ind w:left="720"/>
              <w:spacing w:after="0"/>
              <w:rPr>
                <w:sz w:val="20"/>
                <w:szCs w:val="20"/>
                <w:color w:val="auto"/>
              </w:rPr>
            </w:pPr>
            <w:r>
              <w:rPr>
                <w:rFonts w:ascii="Arial" w:cs="Arial" w:eastAsia="Arial" w:hAnsi="Arial"/>
                <w:sz w:val="20"/>
                <w:szCs w:val="20"/>
                <w:color w:val="auto"/>
              </w:rPr>
              <w:t>6.10</w:t>
            </w:r>
          </w:p>
        </w:tc>
        <w:tc>
          <w:tcPr>
            <w:tcW w:w="320" w:type="dxa"/>
            <w:vAlign w:val="bottom"/>
          </w:tcPr>
          <w:p>
            <w:pPr>
              <w:spacing w:after="0"/>
              <w:rPr>
                <w:sz w:val="24"/>
                <w:szCs w:val="24"/>
                <w:color w:val="auto"/>
              </w:rPr>
            </w:pPr>
          </w:p>
        </w:tc>
        <w:tc>
          <w:tcPr>
            <w:tcW w:w="5920" w:type="dxa"/>
            <w:vAlign w:val="bottom"/>
          </w:tcPr>
          <w:p>
            <w:pPr>
              <w:ind w:left="200"/>
              <w:spacing w:after="0"/>
              <w:rPr>
                <w:sz w:val="20"/>
                <w:szCs w:val="20"/>
                <w:color w:val="auto"/>
              </w:rPr>
            </w:pPr>
            <w:r>
              <w:rPr>
                <w:rFonts w:ascii="Arial" w:cs="Arial" w:eastAsia="Arial" w:hAnsi="Arial"/>
                <w:sz w:val="20"/>
                <w:szCs w:val="20"/>
                <w:color w:val="auto"/>
              </w:rPr>
              <w:t>Entire Agreement</w:t>
            </w:r>
          </w:p>
        </w:tc>
        <w:tc>
          <w:tcPr>
            <w:tcW w:w="382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83"/>
        </w:trPr>
        <w:tc>
          <w:tcPr>
            <w:tcW w:w="1160" w:type="dxa"/>
            <w:vAlign w:val="bottom"/>
            <w:gridSpan w:val="2"/>
          </w:tcPr>
          <w:p>
            <w:pPr>
              <w:ind w:left="720"/>
              <w:spacing w:after="0"/>
              <w:rPr>
                <w:sz w:val="20"/>
                <w:szCs w:val="20"/>
                <w:color w:val="auto"/>
              </w:rPr>
            </w:pPr>
            <w:r>
              <w:rPr>
                <w:rFonts w:ascii="Arial" w:cs="Arial" w:eastAsia="Arial" w:hAnsi="Arial"/>
                <w:sz w:val="20"/>
                <w:szCs w:val="20"/>
                <w:color w:val="auto"/>
              </w:rPr>
              <w:t>6.11</w:t>
            </w:r>
          </w:p>
        </w:tc>
        <w:tc>
          <w:tcPr>
            <w:tcW w:w="320" w:type="dxa"/>
            <w:vAlign w:val="bottom"/>
          </w:tcPr>
          <w:p>
            <w:pPr>
              <w:spacing w:after="0"/>
              <w:rPr>
                <w:sz w:val="24"/>
                <w:szCs w:val="24"/>
                <w:color w:val="auto"/>
              </w:rPr>
            </w:pPr>
          </w:p>
        </w:tc>
        <w:tc>
          <w:tcPr>
            <w:tcW w:w="5920" w:type="dxa"/>
            <w:vAlign w:val="bottom"/>
          </w:tcPr>
          <w:p>
            <w:pPr>
              <w:ind w:left="200"/>
              <w:spacing w:after="0"/>
              <w:rPr>
                <w:sz w:val="20"/>
                <w:szCs w:val="20"/>
                <w:color w:val="auto"/>
              </w:rPr>
            </w:pPr>
            <w:r>
              <w:rPr>
                <w:rFonts w:ascii="Arial" w:cs="Arial" w:eastAsia="Arial" w:hAnsi="Arial"/>
                <w:sz w:val="20"/>
                <w:szCs w:val="20"/>
                <w:color w:val="auto"/>
              </w:rPr>
              <w:t>Dispute Resolution</w:t>
            </w:r>
          </w:p>
        </w:tc>
        <w:tc>
          <w:tcPr>
            <w:tcW w:w="382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83"/>
        </w:trPr>
        <w:tc>
          <w:tcPr>
            <w:tcW w:w="1160" w:type="dxa"/>
            <w:vAlign w:val="bottom"/>
            <w:gridSpan w:val="2"/>
          </w:tcPr>
          <w:p>
            <w:pPr>
              <w:ind w:left="720"/>
              <w:spacing w:after="0"/>
              <w:rPr>
                <w:sz w:val="20"/>
                <w:szCs w:val="20"/>
                <w:color w:val="auto"/>
              </w:rPr>
            </w:pPr>
            <w:r>
              <w:rPr>
                <w:rFonts w:ascii="Arial" w:cs="Arial" w:eastAsia="Arial" w:hAnsi="Arial"/>
                <w:sz w:val="20"/>
                <w:szCs w:val="20"/>
                <w:color w:val="auto"/>
              </w:rPr>
              <w:t>6.12</w:t>
            </w:r>
          </w:p>
        </w:tc>
        <w:tc>
          <w:tcPr>
            <w:tcW w:w="320" w:type="dxa"/>
            <w:vAlign w:val="bottom"/>
          </w:tcPr>
          <w:p>
            <w:pPr>
              <w:spacing w:after="0"/>
              <w:rPr>
                <w:sz w:val="24"/>
                <w:szCs w:val="24"/>
                <w:color w:val="auto"/>
              </w:rPr>
            </w:pPr>
          </w:p>
        </w:tc>
        <w:tc>
          <w:tcPr>
            <w:tcW w:w="5920" w:type="dxa"/>
            <w:vAlign w:val="bottom"/>
          </w:tcPr>
          <w:p>
            <w:pPr>
              <w:ind w:left="200"/>
              <w:spacing w:after="0"/>
              <w:rPr>
                <w:sz w:val="20"/>
                <w:szCs w:val="20"/>
                <w:color w:val="auto"/>
              </w:rPr>
            </w:pPr>
            <w:r>
              <w:rPr>
                <w:rFonts w:ascii="Arial" w:cs="Arial" w:eastAsia="Arial" w:hAnsi="Arial"/>
                <w:sz w:val="20"/>
                <w:szCs w:val="20"/>
                <w:color w:val="auto"/>
              </w:rPr>
              <w:t>Delays or Omissions</w:t>
            </w:r>
          </w:p>
        </w:tc>
        <w:tc>
          <w:tcPr>
            <w:tcW w:w="382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83"/>
        </w:trPr>
        <w:tc>
          <w:tcPr>
            <w:tcW w:w="1160" w:type="dxa"/>
            <w:vAlign w:val="bottom"/>
            <w:gridSpan w:val="2"/>
          </w:tcPr>
          <w:p>
            <w:pPr>
              <w:ind w:left="720"/>
              <w:spacing w:after="0"/>
              <w:rPr>
                <w:sz w:val="20"/>
                <w:szCs w:val="20"/>
                <w:color w:val="auto"/>
              </w:rPr>
            </w:pPr>
            <w:r>
              <w:rPr>
                <w:rFonts w:ascii="Arial" w:cs="Arial" w:eastAsia="Arial" w:hAnsi="Arial"/>
                <w:sz w:val="20"/>
                <w:szCs w:val="20"/>
                <w:color w:val="auto"/>
              </w:rPr>
              <w:t>6.13</w:t>
            </w:r>
          </w:p>
        </w:tc>
        <w:tc>
          <w:tcPr>
            <w:tcW w:w="320" w:type="dxa"/>
            <w:vAlign w:val="bottom"/>
          </w:tcPr>
          <w:p>
            <w:pPr>
              <w:spacing w:after="0"/>
              <w:rPr>
                <w:sz w:val="24"/>
                <w:szCs w:val="24"/>
                <w:color w:val="auto"/>
              </w:rPr>
            </w:pPr>
          </w:p>
        </w:tc>
        <w:tc>
          <w:tcPr>
            <w:tcW w:w="5920" w:type="dxa"/>
            <w:vAlign w:val="bottom"/>
          </w:tcPr>
          <w:p>
            <w:pPr>
              <w:ind w:left="200"/>
              <w:spacing w:after="0"/>
              <w:rPr>
                <w:sz w:val="20"/>
                <w:szCs w:val="20"/>
                <w:color w:val="auto"/>
              </w:rPr>
            </w:pPr>
            <w:r>
              <w:rPr>
                <w:rFonts w:ascii="Arial" w:cs="Arial" w:eastAsia="Arial" w:hAnsi="Arial"/>
                <w:sz w:val="20"/>
                <w:szCs w:val="20"/>
                <w:color w:val="auto"/>
              </w:rPr>
              <w:t>Acknowledgment</w:t>
            </w:r>
          </w:p>
        </w:tc>
        <w:tc>
          <w:tcPr>
            <w:tcW w:w="382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495"/>
        </w:trPr>
        <w:tc>
          <w:tcPr>
            <w:tcW w:w="1160" w:type="dxa"/>
            <w:vAlign w:val="bottom"/>
            <w:gridSpan w:val="2"/>
          </w:tcPr>
          <w:p>
            <w:pPr>
              <w:spacing w:after="0"/>
              <w:rPr>
                <w:sz w:val="20"/>
                <w:szCs w:val="20"/>
                <w:color w:val="auto"/>
              </w:rPr>
            </w:pPr>
            <w:r>
              <w:rPr>
                <w:rFonts w:ascii="Arial" w:cs="Arial" w:eastAsia="Arial" w:hAnsi="Arial"/>
                <w:sz w:val="22"/>
                <w:szCs w:val="22"/>
                <w:color w:val="auto"/>
              </w:rPr>
              <w:t>Schedule A</w:t>
            </w:r>
          </w:p>
        </w:tc>
        <w:tc>
          <w:tcPr>
            <w:tcW w:w="32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5920" w:type="dxa"/>
            <w:vAlign w:val="bottom"/>
          </w:tcPr>
          <w:p>
            <w:pPr>
              <w:ind w:left="140"/>
              <w:spacing w:after="0"/>
              <w:rPr>
                <w:sz w:val="20"/>
                <w:szCs w:val="20"/>
                <w:color w:val="auto"/>
              </w:rPr>
            </w:pPr>
            <w:r>
              <w:rPr>
                <w:rFonts w:ascii="Arial" w:cs="Arial" w:eastAsia="Arial" w:hAnsi="Arial"/>
                <w:sz w:val="22"/>
                <w:szCs w:val="22"/>
                <w:color w:val="auto"/>
              </w:rPr>
              <w:t>Schedule of Investors</w:t>
            </w:r>
          </w:p>
        </w:tc>
        <w:tc>
          <w:tcPr>
            <w:tcW w:w="3820" w:type="dxa"/>
            <w:vAlign w:val="bottom"/>
          </w:tcPr>
          <w:p>
            <w:pPr>
              <w:spacing w:after="0"/>
              <w:rPr>
                <w:sz w:val="24"/>
                <w:szCs w:val="24"/>
                <w:color w:val="auto"/>
              </w:rPr>
            </w:pPr>
          </w:p>
        </w:tc>
      </w:tr>
      <w:tr>
        <w:trPr>
          <w:trHeight w:val="237"/>
        </w:trPr>
        <w:tc>
          <w:tcPr>
            <w:tcW w:w="1000" w:type="dxa"/>
            <w:vAlign w:val="bottom"/>
            <w:tcBorders>
              <w:top w:val="single" w:sz="8" w:color="auto"/>
              <w:bottom w:val="single" w:sz="8" w:color="auto"/>
            </w:tcBorders>
          </w:tcPr>
          <w:p>
            <w:pPr>
              <w:spacing w:after="0" w:line="237" w:lineRule="exact"/>
              <w:rPr>
                <w:sz w:val="20"/>
                <w:szCs w:val="20"/>
                <w:color w:val="auto"/>
              </w:rPr>
            </w:pPr>
            <w:r>
              <w:rPr>
                <w:rFonts w:ascii="Arial" w:cs="Arial" w:eastAsia="Arial" w:hAnsi="Arial"/>
                <w:sz w:val="22"/>
                <w:szCs w:val="22"/>
                <w:color w:val="auto"/>
                <w:w w:val="87"/>
              </w:rPr>
              <w:t>Schedule B</w:t>
            </w:r>
          </w:p>
        </w:tc>
        <w:tc>
          <w:tcPr>
            <w:tcW w:w="160" w:type="dxa"/>
            <w:vAlign w:val="bottom"/>
          </w:tcPr>
          <w:p>
            <w:pPr>
              <w:spacing w:after="0"/>
              <w:rPr>
                <w:sz w:val="20"/>
                <w:szCs w:val="20"/>
                <w:color w:val="auto"/>
              </w:rPr>
            </w:pPr>
          </w:p>
        </w:tc>
        <w:tc>
          <w:tcPr>
            <w:tcW w:w="320" w:type="dxa"/>
            <w:vAlign w:val="bottom"/>
          </w:tcPr>
          <w:p>
            <w:pPr>
              <w:jc w:val="right"/>
              <w:ind w:right="32"/>
              <w:spacing w:after="0" w:line="237" w:lineRule="exact"/>
              <w:rPr>
                <w:sz w:val="20"/>
                <w:szCs w:val="20"/>
                <w:color w:val="auto"/>
              </w:rPr>
            </w:pPr>
            <w:r>
              <w:rPr>
                <w:rFonts w:ascii="Arial" w:cs="Arial" w:eastAsia="Arial" w:hAnsi="Arial"/>
                <w:sz w:val="22"/>
                <w:szCs w:val="22"/>
                <w:color w:val="auto"/>
              </w:rPr>
              <w:t>-</w:t>
            </w:r>
          </w:p>
        </w:tc>
        <w:tc>
          <w:tcPr>
            <w:tcW w:w="5920" w:type="dxa"/>
            <w:vAlign w:val="bottom"/>
          </w:tcPr>
          <w:p>
            <w:pPr>
              <w:ind w:left="120"/>
              <w:spacing w:after="0" w:line="237" w:lineRule="exact"/>
              <w:rPr>
                <w:sz w:val="20"/>
                <w:szCs w:val="20"/>
                <w:color w:val="auto"/>
              </w:rPr>
            </w:pPr>
            <w:r>
              <w:rPr>
                <w:rFonts w:ascii="Arial" w:cs="Arial" w:eastAsia="Arial" w:hAnsi="Arial"/>
                <w:sz w:val="22"/>
                <w:szCs w:val="22"/>
                <w:color w:val="auto"/>
              </w:rPr>
              <w:t>Schedule of Key Holders</w:t>
            </w:r>
          </w:p>
        </w:tc>
        <w:tc>
          <w:tcPr>
            <w:tcW w:w="38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220"/>
          </w:cols>
          <w:pgMar w:left="320" w:top="1440" w:right="359" w:bottom="1440" w:gutter="0" w:footer="0" w:header="0"/>
        </w:sectPr>
      </w:pPr>
    </w:p>
    <w:bookmarkStart w:id="259" w:name="page260"/>
    <w:bookmarkEnd w:id="259"/>
    <w:p>
      <w:pPr>
        <w:jc w:val="center"/>
        <w:spacing w:after="0"/>
        <w:rPr>
          <w:sz w:val="20"/>
          <w:szCs w:val="20"/>
          <w:color w:val="auto"/>
        </w:rPr>
      </w:pPr>
      <w:r>
        <w:rPr>
          <w:rFonts w:ascii="Arial" w:cs="Arial" w:eastAsia="Arial" w:hAnsi="Arial"/>
          <w:sz w:val="22"/>
          <w:szCs w:val="22"/>
          <w:b w:val="1"/>
          <w:bCs w:val="1"/>
          <w:color w:val="auto"/>
        </w:rPr>
        <w:t>NERDWALLET,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INVESTORS’ RIGHTS AGREEMENT</w:t>
      </w:r>
    </w:p>
    <w:p>
      <w:pPr>
        <w:spacing w:after="0" w:line="142"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21"/>
          <w:szCs w:val="21"/>
          <w:color w:val="auto"/>
        </w:rPr>
        <w:t>THIS INVESTORS’ RIGHTS AGREEMENT (this “</w:t>
      </w:r>
      <w:r>
        <w:rPr>
          <w:rFonts w:ascii="Arial" w:cs="Arial" w:eastAsia="Arial" w:hAnsi="Arial"/>
          <w:sz w:val="21"/>
          <w:szCs w:val="21"/>
          <w:b w:val="1"/>
          <w:bCs w:val="1"/>
          <w:color w:val="auto"/>
        </w:rPr>
        <w:t>Agreement</w:t>
      </w:r>
      <w:r>
        <w:rPr>
          <w:rFonts w:ascii="Arial" w:cs="Arial" w:eastAsia="Arial" w:hAnsi="Arial"/>
          <w:sz w:val="21"/>
          <w:szCs w:val="21"/>
          <w:color w:val="auto"/>
        </w:rPr>
        <w:t>”), is made as of the 30th day of January, 2015, by and among NerdWallet, Inc., a Delaware corporation (the “</w:t>
      </w:r>
      <w:r>
        <w:rPr>
          <w:rFonts w:ascii="Arial" w:cs="Arial" w:eastAsia="Arial" w:hAnsi="Arial"/>
          <w:sz w:val="21"/>
          <w:szCs w:val="21"/>
          <w:b w:val="1"/>
          <w:bCs w:val="1"/>
          <w:color w:val="auto"/>
        </w:rPr>
        <w:t>Company</w:t>
      </w:r>
      <w:r>
        <w:rPr>
          <w:rFonts w:ascii="Arial" w:cs="Arial" w:eastAsia="Arial" w:hAnsi="Arial"/>
          <w:sz w:val="21"/>
          <w:szCs w:val="21"/>
          <w:color w:val="auto"/>
        </w:rPr>
        <w:t xml:space="preserve">”), each of the investors listed on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hereto, each of which is referred to in this Agreement as an “</w:t>
      </w:r>
      <w:r>
        <w:rPr>
          <w:rFonts w:ascii="Arial" w:cs="Arial" w:eastAsia="Arial" w:hAnsi="Arial"/>
          <w:sz w:val="21"/>
          <w:szCs w:val="21"/>
          <w:b w:val="1"/>
          <w:bCs w:val="1"/>
          <w:color w:val="auto"/>
        </w:rPr>
        <w:t>Investor</w:t>
      </w:r>
      <w:r>
        <w:rPr>
          <w:rFonts w:ascii="Arial" w:cs="Arial" w:eastAsia="Arial" w:hAnsi="Arial"/>
          <w:sz w:val="21"/>
          <w:szCs w:val="21"/>
          <w:color w:val="auto"/>
        </w:rPr>
        <w:t xml:space="preserve">”, each of the stockholders listed on </w:t>
      </w:r>
      <w:r>
        <w:rPr>
          <w:rFonts w:ascii="Arial" w:cs="Arial" w:eastAsia="Arial" w:hAnsi="Arial"/>
          <w:sz w:val="21"/>
          <w:szCs w:val="21"/>
          <w:u w:val="single" w:color="auto"/>
          <w:color w:val="auto"/>
        </w:rPr>
        <w:t>Schedule B</w:t>
      </w:r>
      <w:r>
        <w:rPr>
          <w:rFonts w:ascii="Arial" w:cs="Arial" w:eastAsia="Arial" w:hAnsi="Arial"/>
          <w:sz w:val="21"/>
          <w:szCs w:val="21"/>
          <w:color w:val="auto"/>
        </w:rPr>
        <w:t xml:space="preserve"> hereto, each of whom is referred to herein as a “</w:t>
      </w:r>
      <w:r>
        <w:rPr>
          <w:rFonts w:ascii="Arial" w:cs="Arial" w:eastAsia="Arial" w:hAnsi="Arial"/>
          <w:sz w:val="21"/>
          <w:szCs w:val="21"/>
          <w:b w:val="1"/>
          <w:bCs w:val="1"/>
          <w:color w:val="auto"/>
        </w:rPr>
        <w:t>Key Holder</w:t>
      </w:r>
      <w:r>
        <w:rPr>
          <w:rFonts w:ascii="Arial" w:cs="Arial" w:eastAsia="Arial" w:hAnsi="Arial"/>
          <w:sz w:val="21"/>
          <w:szCs w:val="21"/>
          <w:color w:val="auto"/>
        </w:rPr>
        <w:t xml:space="preserve">” and any Additional Purchaser (as defined in the Purchase Agreement) that becomes a party to this Agreement in accordance with </w:t>
      </w:r>
      <w:r>
        <w:rPr>
          <w:rFonts w:ascii="Arial" w:cs="Arial" w:eastAsia="Arial" w:hAnsi="Arial"/>
          <w:sz w:val="21"/>
          <w:szCs w:val="21"/>
          <w:u w:val="single" w:color="auto"/>
          <w:color w:val="auto"/>
        </w:rPr>
        <w:t>Section 6.9</w:t>
      </w:r>
      <w:r>
        <w:rPr>
          <w:rFonts w:ascii="Arial" w:cs="Arial" w:eastAsia="Arial" w:hAnsi="Arial"/>
          <w:sz w:val="21"/>
          <w:szCs w:val="21"/>
          <w:color w:val="auto"/>
        </w:rPr>
        <w:t xml:space="preserve"> hereof.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16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and the Investors are parties to the Series A Preferred Stock Purchase Agreement of</w:t>
      </w:r>
      <w:r>
        <w:rPr>
          <w:rFonts w:ascii="Arial" w:cs="Arial" w:eastAsia="Arial" w:hAnsi="Arial"/>
          <w:sz w:val="22"/>
          <w:szCs w:val="22"/>
          <w:b w:val="1"/>
          <w:bCs w:val="1"/>
          <w:color w:val="auto"/>
        </w:rPr>
        <w:t xml:space="preserve"> </w:t>
      </w:r>
      <w:r>
        <w:rPr>
          <w:rFonts w:ascii="Arial" w:cs="Arial" w:eastAsia="Arial" w:hAnsi="Arial"/>
          <w:sz w:val="22"/>
          <w:szCs w:val="22"/>
          <w:color w:val="auto"/>
        </w:rPr>
        <w:t>even date herewith (the “</w:t>
      </w:r>
      <w:r>
        <w:rPr>
          <w:rFonts w:ascii="Arial" w:cs="Arial" w:eastAsia="Arial" w:hAnsi="Arial"/>
          <w:sz w:val="22"/>
          <w:szCs w:val="22"/>
          <w:b w:val="1"/>
          <w:bCs w:val="1"/>
          <w:color w:val="auto"/>
        </w:rPr>
        <w:t>Purchase Agreement</w:t>
      </w:r>
      <w:r>
        <w:rPr>
          <w:rFonts w:ascii="Arial" w:cs="Arial" w:eastAsia="Arial" w:hAnsi="Arial"/>
          <w:sz w:val="22"/>
          <w:szCs w:val="22"/>
          <w:color w:val="auto"/>
        </w:rPr>
        <w:t>”); and</w:t>
      </w:r>
    </w:p>
    <w:p>
      <w:pPr>
        <w:spacing w:after="0" w:line="108"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in order to induce the Company to enter into the Purchase Agreement and to induce the Investors to</w:t>
      </w:r>
      <w:r>
        <w:rPr>
          <w:rFonts w:ascii="Arial" w:cs="Arial" w:eastAsia="Arial" w:hAnsi="Arial"/>
          <w:sz w:val="22"/>
          <w:szCs w:val="22"/>
          <w:b w:val="1"/>
          <w:bCs w:val="1"/>
          <w:color w:val="auto"/>
        </w:rPr>
        <w:t xml:space="preserve"> </w:t>
      </w:r>
      <w:r>
        <w:rPr>
          <w:rFonts w:ascii="Arial" w:cs="Arial" w:eastAsia="Arial" w:hAnsi="Arial"/>
          <w:sz w:val="22"/>
          <w:szCs w:val="22"/>
          <w:color w:val="auto"/>
        </w:rPr>
        <w:t>invest funds in the Company pursuant to the Purchase Agreement, the Investors and the Company hereby agree that this Agreement shall govern the rights of the Investors to cause the Company to register shares of Common Stock issuable to the Investors, to receive certain information from the Company, and to participate in future equity offerings by the Company, and shall govern certain other matters as set forth in this Agreement;</w:t>
      </w:r>
    </w:p>
    <w:p>
      <w:pPr>
        <w:spacing w:after="0" w:line="13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the parties hereby agree as follows:</w:t>
      </w:r>
    </w:p>
    <w:p>
      <w:pPr>
        <w:spacing w:after="0" w:line="172"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For purposes of this Agreement:</w:t>
      </w:r>
    </w:p>
    <w:p>
      <w:pPr>
        <w:spacing w:after="0" w:line="160" w:lineRule="exact"/>
        <w:rPr>
          <w:sz w:val="20"/>
          <w:szCs w:val="20"/>
          <w:color w:val="auto"/>
        </w:rPr>
      </w:pPr>
    </w:p>
    <w:p>
      <w:pPr>
        <w:jc w:val="both"/>
        <w:ind w:firstLine="1296"/>
        <w:spacing w:after="0" w:line="304" w:lineRule="auto"/>
        <w:rPr>
          <w:sz w:val="20"/>
          <w:szCs w:val="20"/>
          <w:color w:val="auto"/>
        </w:rPr>
      </w:pPr>
      <w:r>
        <w:rPr>
          <w:rFonts w:ascii="Arial" w:cs="Arial" w:eastAsia="Arial" w:hAnsi="Arial"/>
          <w:sz w:val="19"/>
          <w:szCs w:val="19"/>
          <w:color w:val="auto"/>
        </w:rPr>
        <w:t>1.1 “</w:t>
      </w:r>
      <w:r>
        <w:rPr>
          <w:rFonts w:ascii="Arial" w:cs="Arial" w:eastAsia="Arial" w:hAnsi="Arial"/>
          <w:sz w:val="19"/>
          <w:szCs w:val="19"/>
          <w:b w:val="1"/>
          <w:bCs w:val="1"/>
          <w:color w:val="auto"/>
        </w:rPr>
        <w:t>Affiliate</w:t>
      </w:r>
      <w:r>
        <w:rPr>
          <w:rFonts w:ascii="Arial" w:cs="Arial" w:eastAsia="Arial" w:hAnsi="Arial"/>
          <w:sz w:val="19"/>
          <w:szCs w:val="19"/>
          <w:color w:val="auto"/>
        </w:rPr>
        <w:t>” means, with respect to any specified Person, any other Person who, directly or indirectly, controls, is controlled by, or is under common control with such Person, including without limitation any general partner, managing member, officer or director of such Person or any venture capital fund now or hereafter existing that is controlled by one or more general partners or managing members of, or shares the same management company with, such Person.</w:t>
      </w:r>
    </w:p>
    <w:p>
      <w:pPr>
        <w:spacing w:after="0" w:line="81" w:lineRule="exact"/>
        <w:rPr>
          <w:sz w:val="20"/>
          <w:szCs w:val="20"/>
          <w:color w:val="auto"/>
        </w:rPr>
      </w:pPr>
    </w:p>
    <w:p>
      <w:pPr>
        <w:jc w:val="right"/>
        <w:spacing w:after="0"/>
        <w:tabs>
          <w:tab w:leader="none" w:pos="940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Class A Common Stock</w:t>
      </w:r>
      <w:r>
        <w:rPr>
          <w:rFonts w:ascii="Arial" w:cs="Arial" w:eastAsia="Arial" w:hAnsi="Arial"/>
          <w:sz w:val="19"/>
          <w:szCs w:val="19"/>
          <w:color w:val="auto"/>
        </w:rPr>
        <w:t>” means shares of the Company’s Class A Common Stock, par value $0.0001 per</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share.</w:t>
      </w:r>
    </w:p>
    <w:p>
      <w:pPr>
        <w:spacing w:after="0" w:line="142"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Class F Common Stock</w:t>
      </w:r>
      <w:r>
        <w:rPr>
          <w:rFonts w:ascii="Arial" w:cs="Arial" w:eastAsia="Arial" w:hAnsi="Arial"/>
          <w:sz w:val="19"/>
          <w:szCs w:val="19"/>
          <w:color w:val="auto"/>
        </w:rPr>
        <w:t>” means shares of the Company’s Class F Common Stock, par value $0.0001 per</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share.</w:t>
      </w:r>
    </w:p>
    <w:p>
      <w:pPr>
        <w:spacing w:after="0" w:line="142"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Class G Common Stock</w:t>
      </w:r>
      <w:r>
        <w:rPr>
          <w:rFonts w:ascii="Arial" w:cs="Arial" w:eastAsia="Arial" w:hAnsi="Arial"/>
          <w:sz w:val="19"/>
          <w:szCs w:val="19"/>
          <w:color w:val="auto"/>
        </w:rPr>
        <w:t>” means shares of the Company’s Class G Common Stock, par value $0.0001 per</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share.</w:t>
      </w:r>
    </w:p>
    <w:p>
      <w:pPr>
        <w:spacing w:after="0" w:line="142"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1.5 “</w:t>
      </w:r>
      <w:r>
        <w:rPr>
          <w:rFonts w:ascii="Arial" w:cs="Arial" w:eastAsia="Arial" w:hAnsi="Arial"/>
          <w:sz w:val="22"/>
          <w:szCs w:val="22"/>
          <w:b w:val="1"/>
          <w:bCs w:val="1"/>
          <w:color w:val="auto"/>
        </w:rPr>
        <w:t>Common Stock</w:t>
      </w:r>
      <w:r>
        <w:rPr>
          <w:rFonts w:ascii="Arial" w:cs="Arial" w:eastAsia="Arial" w:hAnsi="Arial"/>
          <w:sz w:val="22"/>
          <w:szCs w:val="22"/>
          <w:color w:val="auto"/>
        </w:rPr>
        <w:t>” means shares of the Class A Common Stock, and Class F Common Stock and Class G Common Stock.</w:t>
      </w:r>
    </w:p>
    <w:p>
      <w:pPr>
        <w:sectPr>
          <w:pgSz w:w="11900" w:h="16838" w:orient="portrait"/>
          <w:cols w:equalWidth="0" w:num="1">
            <w:col w:w="11240"/>
          </w:cols>
          <w:pgMar w:left="320" w:top="1422" w:right="339" w:bottom="1440" w:gutter="0" w:footer="0" w:header="0"/>
        </w:sectPr>
      </w:pPr>
    </w:p>
    <w:bookmarkStart w:id="260" w:name="page261"/>
    <w:bookmarkEnd w:id="260"/>
    <w:p>
      <w:pPr>
        <w:jc w:val="both"/>
        <w:ind w:firstLine="1296"/>
        <w:spacing w:after="0" w:line="248" w:lineRule="auto"/>
        <w:rPr>
          <w:sz w:val="20"/>
          <w:szCs w:val="20"/>
          <w:color w:val="auto"/>
        </w:rPr>
      </w:pPr>
      <w:r>
        <w:rPr>
          <w:rFonts w:ascii="Arial" w:cs="Arial" w:eastAsia="Arial" w:hAnsi="Arial"/>
          <w:sz w:val="22"/>
          <w:szCs w:val="22"/>
          <w:color w:val="auto"/>
        </w:rPr>
        <w:t>1.6 “</w:t>
      </w:r>
      <w:r>
        <w:rPr>
          <w:rFonts w:ascii="Arial" w:cs="Arial" w:eastAsia="Arial" w:hAnsi="Arial"/>
          <w:sz w:val="22"/>
          <w:szCs w:val="22"/>
          <w:b w:val="1"/>
          <w:bCs w:val="1"/>
          <w:color w:val="auto"/>
        </w:rPr>
        <w:t>Competitor</w:t>
      </w:r>
      <w:r>
        <w:rPr>
          <w:rFonts w:ascii="Arial" w:cs="Arial" w:eastAsia="Arial" w:hAnsi="Arial"/>
          <w:sz w:val="22"/>
          <w:szCs w:val="22"/>
          <w:color w:val="auto"/>
        </w:rPr>
        <w:t>” means a Person engaged, directly or indirectly (including through any partnership, limited liability company, corporation, joint venture or similar arrangement (whether now existing or formed hereafter)), in the financial services industry, personal financial management or financial product lead generation, but shall not include any financial investment firm or collective investment vehicle that, together with its Affiliates, holds less than thirty-five percent (35%) of the outstanding equity of any Competitor and does not, nor do any of its Affiliates, have a right to designate any members of the Board of Directors of any Competitor.</w:t>
      </w:r>
    </w:p>
    <w:p>
      <w:pPr>
        <w:spacing w:after="0" w:line="133"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9"/>
          <w:szCs w:val="19"/>
          <w:color w:val="auto"/>
        </w:rPr>
        <w:t>1.7 “</w:t>
      </w:r>
      <w:r>
        <w:rPr>
          <w:rFonts w:ascii="Arial" w:cs="Arial" w:eastAsia="Arial" w:hAnsi="Arial"/>
          <w:sz w:val="19"/>
          <w:szCs w:val="19"/>
          <w:b w:val="1"/>
          <w:bCs w:val="1"/>
          <w:color w:val="auto"/>
        </w:rPr>
        <w:t>Damages</w:t>
      </w:r>
      <w:r>
        <w:rPr>
          <w:rFonts w:ascii="Arial" w:cs="Arial" w:eastAsia="Arial" w:hAnsi="Arial"/>
          <w:sz w:val="19"/>
          <w:szCs w:val="19"/>
          <w:color w:val="auto"/>
        </w:rPr>
        <w:t>”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9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1.8 “</w:t>
      </w:r>
      <w:r>
        <w:rPr>
          <w:rFonts w:ascii="Arial" w:cs="Arial" w:eastAsia="Arial" w:hAnsi="Arial"/>
          <w:sz w:val="22"/>
          <w:szCs w:val="22"/>
          <w:b w:val="1"/>
          <w:bCs w:val="1"/>
          <w:color w:val="auto"/>
        </w:rPr>
        <w:t>Derivative Securities</w:t>
      </w:r>
      <w:r>
        <w:rPr>
          <w:rFonts w:ascii="Arial" w:cs="Arial" w:eastAsia="Arial" w:hAnsi="Arial"/>
          <w:sz w:val="22"/>
          <w:szCs w:val="22"/>
          <w:color w:val="auto"/>
        </w:rPr>
        <w:t>” means any securities or rights convertible into, or exercisable or exchangeable for (in each case, directly or indirectly)</w:t>
      </w:r>
      <w:r>
        <w:rPr>
          <w:rFonts w:ascii="Arial" w:cs="Arial" w:eastAsia="Arial" w:hAnsi="Arial"/>
          <w:sz w:val="22"/>
          <w:szCs w:val="22"/>
          <w:b w:val="1"/>
          <w:bCs w:val="1"/>
          <w:color w:val="auto"/>
        </w:rPr>
        <w:t>,</w:t>
      </w:r>
      <w:r>
        <w:rPr>
          <w:rFonts w:ascii="Arial" w:cs="Arial" w:eastAsia="Arial" w:hAnsi="Arial"/>
          <w:sz w:val="22"/>
          <w:szCs w:val="22"/>
          <w:color w:val="auto"/>
        </w:rPr>
        <w:t xml:space="preserve"> Common Stock, including options and warrants.</w:t>
      </w:r>
    </w:p>
    <w:p>
      <w:pPr>
        <w:spacing w:after="0" w:line="108"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1.9 “</w:t>
      </w:r>
      <w:r>
        <w:rPr>
          <w:rFonts w:ascii="Arial" w:cs="Arial" w:eastAsia="Arial" w:hAnsi="Arial"/>
          <w:sz w:val="22"/>
          <w:szCs w:val="22"/>
          <w:b w:val="1"/>
          <w:bCs w:val="1"/>
          <w:color w:val="auto"/>
        </w:rPr>
        <w:t>Exchange Act</w:t>
      </w:r>
      <w:r>
        <w:rPr>
          <w:rFonts w:ascii="Arial" w:cs="Arial" w:eastAsia="Arial" w:hAnsi="Arial"/>
          <w:sz w:val="22"/>
          <w:szCs w:val="22"/>
          <w:color w:val="auto"/>
        </w:rPr>
        <w:t>” means the Securities Exchange Act of 1934, as amended, and the rules and regulations promulgated thereunder.</w:t>
      </w:r>
    </w:p>
    <w:p>
      <w:pPr>
        <w:spacing w:after="0" w:line="108"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1.10 “</w:t>
      </w:r>
      <w:r>
        <w:rPr>
          <w:rFonts w:ascii="Arial" w:cs="Arial" w:eastAsia="Arial" w:hAnsi="Arial"/>
          <w:sz w:val="19"/>
          <w:szCs w:val="19"/>
          <w:b w:val="1"/>
          <w:bCs w:val="1"/>
          <w:color w:val="auto"/>
        </w:rPr>
        <w:t>Excluded Registration</w:t>
      </w:r>
      <w:r>
        <w:rPr>
          <w:rFonts w:ascii="Arial" w:cs="Arial" w:eastAsia="Arial" w:hAnsi="Arial"/>
          <w:sz w:val="19"/>
          <w:szCs w:val="19"/>
          <w:color w:val="auto"/>
        </w:rPr>
        <w:t>” means (i) a registration relating to the sale of securities to employees of the Company or a subsidiary pursuant to a stock option, stock purchase,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w:t>
      </w:r>
    </w:p>
    <w:p>
      <w:pPr>
        <w:spacing w:after="0" w:line="88"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color w:val="auto"/>
        </w:rPr>
        <w:t>1.11 “</w:t>
      </w:r>
      <w:r>
        <w:rPr>
          <w:rFonts w:ascii="Arial" w:cs="Arial" w:eastAsia="Arial" w:hAnsi="Arial"/>
          <w:sz w:val="22"/>
          <w:szCs w:val="22"/>
          <w:b w:val="1"/>
          <w:bCs w:val="1"/>
          <w:color w:val="auto"/>
        </w:rPr>
        <w:t>FOIA Party</w:t>
      </w:r>
      <w:r>
        <w:rPr>
          <w:rFonts w:ascii="Arial" w:cs="Arial" w:eastAsia="Arial" w:hAnsi="Arial"/>
          <w:sz w:val="22"/>
          <w:szCs w:val="22"/>
          <w:color w:val="auto"/>
        </w:rPr>
        <w:t>” means a Person that, in the determination of the Board of Directors, may be subject to, and thereby required to disclose non-public information furnished by or relating to the Company under, the Freedom of Information Act, 5 U.S.C. 552 (“</w:t>
      </w:r>
      <w:r>
        <w:rPr>
          <w:rFonts w:ascii="Arial" w:cs="Arial" w:eastAsia="Arial" w:hAnsi="Arial"/>
          <w:sz w:val="22"/>
          <w:szCs w:val="22"/>
          <w:b w:val="1"/>
          <w:bCs w:val="1"/>
          <w:color w:val="auto"/>
        </w:rPr>
        <w:t>FOIA</w:t>
      </w:r>
      <w:r>
        <w:rPr>
          <w:rFonts w:ascii="Arial" w:cs="Arial" w:eastAsia="Arial" w:hAnsi="Arial"/>
          <w:sz w:val="22"/>
          <w:szCs w:val="22"/>
          <w:color w:val="auto"/>
        </w:rPr>
        <w:t>”), any state public records access law, any state or other jurisdiction’s laws similar in intent or effect to FOIA, or any other similar statutory or regulatory requirement.</w:t>
      </w:r>
    </w:p>
    <w:p>
      <w:pPr>
        <w:spacing w:after="0" w:line="12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1.12 “</w:t>
      </w:r>
      <w:r>
        <w:rPr>
          <w:rFonts w:ascii="Arial" w:cs="Arial" w:eastAsia="Arial" w:hAnsi="Arial"/>
          <w:sz w:val="22"/>
          <w:szCs w:val="22"/>
          <w:b w:val="1"/>
          <w:bCs w:val="1"/>
          <w:color w:val="auto"/>
        </w:rPr>
        <w:t>Form S-1</w:t>
      </w:r>
      <w:r>
        <w:rPr>
          <w:rFonts w:ascii="Arial" w:cs="Arial" w:eastAsia="Arial" w:hAnsi="Arial"/>
          <w:sz w:val="22"/>
          <w:szCs w:val="22"/>
          <w:color w:val="auto"/>
        </w:rPr>
        <w:t>” means such form under the Securities Act as in effect on the date hereof or any successor registration form under the Securities Act subsequently adopted by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2" w:right="339" w:bottom="1440" w:gutter="0" w:footer="0" w:header="0"/>
        </w:sectPr>
      </w:pPr>
    </w:p>
    <w:bookmarkStart w:id="261" w:name="page262"/>
    <w:bookmarkEnd w:id="261"/>
    <w:p>
      <w:pPr>
        <w:jc w:val="both"/>
        <w:ind w:firstLine="1296"/>
        <w:spacing w:after="0" w:line="256" w:lineRule="auto"/>
        <w:rPr>
          <w:sz w:val="20"/>
          <w:szCs w:val="20"/>
          <w:color w:val="auto"/>
        </w:rPr>
      </w:pPr>
      <w:r>
        <w:rPr>
          <w:rFonts w:ascii="Arial" w:cs="Arial" w:eastAsia="Arial" w:hAnsi="Arial"/>
          <w:sz w:val="22"/>
          <w:szCs w:val="22"/>
          <w:color w:val="auto"/>
        </w:rPr>
        <w:t>1.13 “</w:t>
      </w:r>
      <w:r>
        <w:rPr>
          <w:rFonts w:ascii="Arial" w:cs="Arial" w:eastAsia="Arial" w:hAnsi="Arial"/>
          <w:sz w:val="22"/>
          <w:szCs w:val="22"/>
          <w:b w:val="1"/>
          <w:bCs w:val="1"/>
          <w:color w:val="auto"/>
        </w:rPr>
        <w:t>Form S-3</w:t>
      </w:r>
      <w:r>
        <w:rPr>
          <w:rFonts w:ascii="Arial" w:cs="Arial" w:eastAsia="Arial" w:hAnsi="Arial"/>
          <w:sz w:val="22"/>
          <w:szCs w:val="22"/>
          <w:color w:val="auto"/>
        </w:rPr>
        <w:t>” means such form under the Securities Act as in effect on the date hereof or any registration form under the Securities Act subsequently adopted by the SEC that permits incorporation of substantial information by reference to other documents filed by the Company with the SEC.</w:t>
      </w:r>
    </w:p>
    <w:p>
      <w:pPr>
        <w:spacing w:after="0" w:line="122"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GAAP</w:t>
      </w:r>
      <w:r>
        <w:rPr>
          <w:rFonts w:ascii="Arial" w:cs="Arial" w:eastAsia="Arial" w:hAnsi="Arial"/>
          <w:sz w:val="19"/>
          <w:szCs w:val="19"/>
          <w:color w:val="auto"/>
        </w:rPr>
        <w:t>” means generally accepted accounting principles in the United States.</w:t>
      </w:r>
    </w:p>
    <w:p>
      <w:pPr>
        <w:spacing w:after="0" w:line="27"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Holder</w:t>
      </w:r>
      <w:r>
        <w:rPr>
          <w:rFonts w:ascii="Arial" w:cs="Arial" w:eastAsia="Arial" w:hAnsi="Arial"/>
          <w:sz w:val="19"/>
          <w:szCs w:val="19"/>
          <w:color w:val="auto"/>
        </w:rPr>
        <w:t>” means any holder of Registrable Securities who is a party to this Agreement.</w:t>
      </w:r>
    </w:p>
    <w:p>
      <w:pPr>
        <w:spacing w:after="0" w:line="14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1.16 “</w:t>
      </w:r>
      <w:r>
        <w:rPr>
          <w:rFonts w:ascii="Arial" w:cs="Arial" w:eastAsia="Arial" w:hAnsi="Arial"/>
          <w:sz w:val="22"/>
          <w:szCs w:val="22"/>
          <w:b w:val="1"/>
          <w:bCs w:val="1"/>
          <w:color w:val="auto"/>
        </w:rPr>
        <w:t>Immediate Family Member</w:t>
      </w:r>
      <w:r>
        <w:rPr>
          <w:rFonts w:ascii="Arial" w:cs="Arial" w:eastAsia="Arial" w:hAnsi="Arial"/>
          <w:sz w:val="22"/>
          <w:szCs w:val="22"/>
          <w:color w:val="auto"/>
        </w:rPr>
        <w:t>” means a child, stepchild, grandchild, parent, stepparent, grandparent, spouse, sibling, mother-in-law, father-in-law, son-in-law, daughter-in-law, brother-in-law, or sister-in-law, including, adoptive relationships, of a natural person referred to herein.</w:t>
      </w:r>
    </w:p>
    <w:p>
      <w:pPr>
        <w:spacing w:after="0" w:line="122"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Initiating Holders</w:t>
      </w:r>
      <w:r>
        <w:rPr>
          <w:rFonts w:ascii="Arial" w:cs="Arial" w:eastAsia="Arial" w:hAnsi="Arial"/>
          <w:sz w:val="19"/>
          <w:szCs w:val="19"/>
          <w:color w:val="auto"/>
        </w:rPr>
        <w:t>” means, collectively, Holders who properly initiate a registration request under this</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14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1.18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IPO</w:t>
      </w:r>
      <w:r>
        <w:rPr>
          <w:rFonts w:ascii="Arial" w:cs="Arial" w:eastAsia="Arial" w:hAnsi="Arial"/>
          <w:sz w:val="19"/>
          <w:szCs w:val="19"/>
          <w:color w:val="auto"/>
        </w:rPr>
        <w:t>” means the Company’s first underwritten public offering of its Common Stock under the Securities</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Act.</w:t>
      </w:r>
    </w:p>
    <w:p>
      <w:pPr>
        <w:spacing w:after="0" w:line="14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1.19 “</w:t>
      </w:r>
      <w:r>
        <w:rPr>
          <w:rFonts w:ascii="Arial" w:cs="Arial" w:eastAsia="Arial" w:hAnsi="Arial"/>
          <w:sz w:val="22"/>
          <w:szCs w:val="22"/>
          <w:b w:val="1"/>
          <w:bCs w:val="1"/>
          <w:color w:val="auto"/>
        </w:rPr>
        <w:t>Key Employee</w:t>
      </w:r>
      <w:r>
        <w:rPr>
          <w:rFonts w:ascii="Arial" w:cs="Arial" w:eastAsia="Arial" w:hAnsi="Arial"/>
          <w:sz w:val="22"/>
          <w:szCs w:val="22"/>
          <w:color w:val="auto"/>
        </w:rPr>
        <w:t>” means any executive-level employee (including, division director and vice president-level positions) as well as any employee who, either alone or in concert with others, develops, invents, programs, or designs any Company Intellectual Property (as defined in the Purchase Agreement).</w:t>
      </w:r>
    </w:p>
    <w:p>
      <w:pPr>
        <w:spacing w:after="0" w:line="122"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color w:val="auto"/>
        </w:rPr>
        <w:t>1.20 “</w:t>
      </w:r>
      <w:r>
        <w:rPr>
          <w:rFonts w:ascii="Arial" w:cs="Arial" w:eastAsia="Arial" w:hAnsi="Arial"/>
          <w:sz w:val="22"/>
          <w:szCs w:val="22"/>
          <w:b w:val="1"/>
          <w:bCs w:val="1"/>
          <w:color w:val="auto"/>
        </w:rPr>
        <w:t>Key Holder Registrable Securities</w:t>
      </w:r>
      <w:r>
        <w:rPr>
          <w:rFonts w:ascii="Arial" w:cs="Arial" w:eastAsia="Arial" w:hAnsi="Arial"/>
          <w:sz w:val="22"/>
          <w:szCs w:val="22"/>
          <w:color w:val="auto"/>
        </w:rPr>
        <w:t>” means (i) the Class A Common Stock issuable or issued upon conversion of th</w:t>
      </w:r>
      <w:r>
        <w:rPr>
          <w:rFonts w:ascii="Arial" w:cs="Arial" w:eastAsia="Arial" w:hAnsi="Arial"/>
          <w:sz w:val="22"/>
          <w:szCs w:val="22"/>
          <w:b w:val="1"/>
          <w:bCs w:val="1"/>
          <w:color w:val="auto"/>
        </w:rPr>
        <w:t>e</w:t>
      </w:r>
      <w:r>
        <w:rPr>
          <w:rFonts w:ascii="Arial" w:cs="Arial" w:eastAsia="Arial" w:hAnsi="Arial"/>
          <w:sz w:val="22"/>
          <w:szCs w:val="22"/>
          <w:color w:val="auto"/>
        </w:rPr>
        <w:t xml:space="preserve"> Class F Common Stock held by the Key Holder, and (ii) any Class A Common Stock issued as (or issuable upon the conversion or exercise of any warrant, right, or other security that is issued as) a dividend or other distribution with respect to, or in exchange for or in replacement of such shares.</w:t>
      </w:r>
    </w:p>
    <w:p>
      <w:pPr>
        <w:spacing w:after="0" w:line="12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1.21 “</w:t>
      </w:r>
      <w:r>
        <w:rPr>
          <w:rFonts w:ascii="Arial" w:cs="Arial" w:eastAsia="Arial" w:hAnsi="Arial"/>
          <w:sz w:val="22"/>
          <w:szCs w:val="22"/>
          <w:b w:val="1"/>
          <w:bCs w:val="1"/>
          <w:color w:val="auto"/>
        </w:rPr>
        <w:t>Major Investor</w:t>
      </w:r>
      <w:r>
        <w:rPr>
          <w:rFonts w:ascii="Arial" w:cs="Arial" w:eastAsia="Arial" w:hAnsi="Arial"/>
          <w:sz w:val="22"/>
          <w:szCs w:val="22"/>
          <w:color w:val="auto"/>
        </w:rPr>
        <w:t>” means any Investor that, individually or together with such Investor’s Affiliates, holds at least 1,113,635 shares of Registrable Securities (as adjusted for any stock split, stock dividend, combination, or other recapitalization or reclassification effected after the date hereof).</w:t>
      </w:r>
    </w:p>
    <w:p>
      <w:pPr>
        <w:spacing w:after="0" w:line="12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1.22 “</w:t>
      </w:r>
      <w:r>
        <w:rPr>
          <w:rFonts w:ascii="Arial" w:cs="Arial" w:eastAsia="Arial" w:hAnsi="Arial"/>
          <w:sz w:val="22"/>
          <w:szCs w:val="22"/>
          <w:b w:val="1"/>
          <w:bCs w:val="1"/>
          <w:color w:val="auto"/>
        </w:rPr>
        <w:t>New Securities</w:t>
      </w:r>
      <w:r>
        <w:rPr>
          <w:rFonts w:ascii="Arial" w:cs="Arial" w:eastAsia="Arial" w:hAnsi="Arial"/>
          <w:sz w:val="22"/>
          <w:szCs w:val="22"/>
          <w:color w:val="auto"/>
        </w:rPr>
        <w:t>”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spacing w:after="0" w:line="122"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Person</w:t>
      </w:r>
      <w:r>
        <w:rPr>
          <w:rFonts w:ascii="Arial" w:cs="Arial" w:eastAsia="Arial" w:hAnsi="Arial"/>
          <w:sz w:val="19"/>
          <w:szCs w:val="19"/>
          <w:color w:val="auto"/>
        </w:rPr>
        <w:t>” means any individual, corporation, partnership, trust, limited liability company, association or</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other entity</w:t>
      </w:r>
      <w:r>
        <w:rPr>
          <w:rFonts w:ascii="Arial" w:cs="Arial" w:eastAsia="Arial" w:hAnsi="Arial"/>
          <w:sz w:val="22"/>
          <w:szCs w:val="22"/>
          <w:color w:val="0000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2" w:right="339" w:bottom="1440" w:gutter="0" w:footer="0" w:header="0"/>
        </w:sectPr>
      </w:pPr>
    </w:p>
    <w:bookmarkStart w:id="262" w:name="page263"/>
    <w:bookmarkEnd w:id="262"/>
    <w:p>
      <w:pPr>
        <w:jc w:val="both"/>
        <w:ind w:firstLine="1296"/>
        <w:spacing w:after="0" w:line="287" w:lineRule="auto"/>
        <w:rPr>
          <w:sz w:val="20"/>
          <w:szCs w:val="20"/>
          <w:color w:val="auto"/>
        </w:rPr>
      </w:pPr>
      <w:r>
        <w:rPr>
          <w:rFonts w:ascii="Arial" w:cs="Arial" w:eastAsia="Arial" w:hAnsi="Arial"/>
          <w:sz w:val="19"/>
          <w:szCs w:val="19"/>
          <w:color w:val="auto"/>
        </w:rPr>
        <w:t>1.24 “</w:t>
      </w:r>
      <w:r>
        <w:rPr>
          <w:rFonts w:ascii="Arial" w:cs="Arial" w:eastAsia="Arial" w:hAnsi="Arial"/>
          <w:sz w:val="19"/>
          <w:szCs w:val="19"/>
          <w:b w:val="1"/>
          <w:bCs w:val="1"/>
          <w:color w:val="auto"/>
        </w:rPr>
        <w:t>Registrable Securities</w:t>
      </w:r>
      <w:r>
        <w:rPr>
          <w:rFonts w:ascii="Arial" w:cs="Arial" w:eastAsia="Arial" w:hAnsi="Arial"/>
          <w:sz w:val="19"/>
          <w:szCs w:val="19"/>
          <w:color w:val="auto"/>
        </w:rPr>
        <w:t>” means (i) the Class A Common Stock issuable or issued upon conversion of th</w:t>
      </w:r>
      <w:r>
        <w:rPr>
          <w:rFonts w:ascii="Arial" w:cs="Arial" w:eastAsia="Arial" w:hAnsi="Arial"/>
          <w:sz w:val="19"/>
          <w:szCs w:val="19"/>
          <w:b w:val="1"/>
          <w:bCs w:val="1"/>
          <w:color w:val="auto"/>
        </w:rPr>
        <w:t>e</w:t>
      </w:r>
      <w:r>
        <w:rPr>
          <w:rFonts w:ascii="Arial" w:cs="Arial" w:eastAsia="Arial" w:hAnsi="Arial"/>
          <w:sz w:val="19"/>
          <w:szCs w:val="19"/>
          <w:color w:val="auto"/>
        </w:rPr>
        <w:t xml:space="preserve"> Series A Preferred Stock; (ii) any Common Stock, or any Common Stock issued or issuable (directly or indirectly) upon conversion and/or exercise of any other securities of the Company</w:t>
      </w:r>
      <w:r>
        <w:rPr>
          <w:rFonts w:ascii="Arial" w:cs="Arial" w:eastAsia="Arial" w:hAnsi="Arial"/>
          <w:sz w:val="19"/>
          <w:szCs w:val="19"/>
          <w:b w:val="1"/>
          <w:bCs w:val="1"/>
          <w:color w:val="auto"/>
        </w:rPr>
        <w:t>,</w:t>
      </w:r>
      <w:r>
        <w:rPr>
          <w:rFonts w:ascii="Arial" w:cs="Arial" w:eastAsia="Arial" w:hAnsi="Arial"/>
          <w:sz w:val="19"/>
          <w:szCs w:val="19"/>
          <w:color w:val="auto"/>
        </w:rPr>
        <w:t xml:space="preserve"> acquired by the Investors after the date hereof; (iii) the Key Holder Registrable Securities,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such Key Holder Registrable Securities shall not be deemed Registrable Securities and the Key Holders shall not be deemed Holders for the purposes of </w:t>
      </w:r>
      <w:r>
        <w:rPr>
          <w:rFonts w:ascii="Arial" w:cs="Arial" w:eastAsia="Arial" w:hAnsi="Arial"/>
          <w:sz w:val="19"/>
          <w:szCs w:val="19"/>
          <w:u w:val="single" w:color="auto"/>
          <w:color w:val="auto"/>
        </w:rPr>
        <w:t>Subsections 2.1</w:t>
      </w:r>
      <w:r>
        <w:rPr>
          <w:rFonts w:ascii="Arial" w:cs="Arial" w:eastAsia="Arial" w:hAnsi="Arial"/>
          <w:sz w:val="19"/>
          <w:szCs w:val="19"/>
          <w:color w:val="auto"/>
        </w:rPr>
        <w:t xml:space="preserve">, </w:t>
      </w:r>
      <w:r>
        <w:rPr>
          <w:rFonts w:ascii="Arial" w:cs="Arial" w:eastAsia="Arial" w:hAnsi="Arial"/>
          <w:sz w:val="19"/>
          <w:szCs w:val="19"/>
          <w:u w:val="single" w:color="auto"/>
          <w:color w:val="auto"/>
        </w:rPr>
        <w:t>2.10</w:t>
      </w:r>
      <w:r>
        <w:rPr>
          <w:rFonts w:ascii="Arial" w:cs="Arial" w:eastAsia="Arial" w:hAnsi="Arial"/>
          <w:sz w:val="19"/>
          <w:szCs w:val="19"/>
          <w:color w:val="auto"/>
        </w:rPr>
        <w:t xml:space="preserve">, </w:t>
      </w:r>
      <w:r>
        <w:rPr>
          <w:rFonts w:ascii="Arial" w:cs="Arial" w:eastAsia="Arial" w:hAnsi="Arial"/>
          <w:sz w:val="19"/>
          <w:szCs w:val="19"/>
          <w:u w:val="single" w:color="auto"/>
          <w:color w:val="auto"/>
        </w:rPr>
        <w:t>3.1</w:t>
      </w:r>
      <w:r>
        <w:rPr>
          <w:rFonts w:ascii="Arial" w:cs="Arial" w:eastAsia="Arial" w:hAnsi="Arial"/>
          <w:sz w:val="19"/>
          <w:szCs w:val="19"/>
          <w:color w:val="auto"/>
        </w:rPr>
        <w:t xml:space="preserve">, </w:t>
      </w:r>
      <w:r>
        <w:rPr>
          <w:rFonts w:ascii="Arial" w:cs="Arial" w:eastAsia="Arial" w:hAnsi="Arial"/>
          <w:sz w:val="19"/>
          <w:szCs w:val="19"/>
          <w:u w:val="single" w:color="auto"/>
          <w:color w:val="auto"/>
        </w:rPr>
        <w:t>3.2</w:t>
      </w:r>
      <w:r>
        <w:rPr>
          <w:rFonts w:ascii="Arial" w:cs="Arial" w:eastAsia="Arial" w:hAnsi="Arial"/>
          <w:sz w:val="19"/>
          <w:szCs w:val="19"/>
          <w:color w:val="auto"/>
        </w:rPr>
        <w:t xml:space="preserve">, </w:t>
      </w:r>
      <w:r>
        <w:rPr>
          <w:rFonts w:ascii="Arial" w:cs="Arial" w:eastAsia="Arial" w:hAnsi="Arial"/>
          <w:sz w:val="19"/>
          <w:szCs w:val="19"/>
          <w:u w:val="single" w:color="auto"/>
          <w:color w:val="auto"/>
        </w:rPr>
        <w:t>4.1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6.6</w:t>
      </w:r>
      <w:r>
        <w:rPr>
          <w:rFonts w:ascii="Arial" w:cs="Arial" w:eastAsia="Arial" w:hAnsi="Arial"/>
          <w:sz w:val="19"/>
          <w:szCs w:val="19"/>
          <w:color w:val="auto"/>
        </w:rPr>
        <w:t>; and</w:t>
      </w:r>
    </w:p>
    <w:p>
      <w:pPr>
        <w:jc w:val="both"/>
        <w:ind w:firstLine="8"/>
        <w:spacing w:after="0" w:line="281" w:lineRule="auto"/>
        <w:tabs>
          <w:tab w:leader="none" w:pos="391" w:val="left"/>
        </w:tabs>
        <w:numPr>
          <w:ilvl w:val="0"/>
          <w:numId w:val="191"/>
        </w:numPr>
        <w:rPr>
          <w:rFonts w:ascii="Arial" w:cs="Arial" w:eastAsia="Arial" w:hAnsi="Arial"/>
          <w:sz w:val="19"/>
          <w:szCs w:val="19"/>
          <w:color w:val="auto"/>
        </w:rPr>
      </w:pPr>
      <w:r>
        <w:rPr>
          <w:rFonts w:ascii="Arial" w:cs="Arial" w:eastAsia="Arial" w:hAnsi="Arial"/>
          <w:sz w:val="19"/>
          <w:szCs w:val="19"/>
          <w:color w:val="auto"/>
        </w:rPr>
        <w:t>any Common Stock issued as (or issuable upon the conversion or exercise of any warrant, right, or other security that is issued as) a dividend or other distribution with respect to, or in exchange for or in replacement of, the shares referenced in clauses</w:t>
      </w:r>
    </w:p>
    <w:p>
      <w:pPr>
        <w:spacing w:after="0" w:line="1" w:lineRule="exact"/>
        <w:rPr>
          <w:rFonts w:ascii="Arial" w:cs="Arial" w:eastAsia="Arial" w:hAnsi="Arial"/>
          <w:sz w:val="19"/>
          <w:szCs w:val="19"/>
          <w:color w:val="auto"/>
        </w:rPr>
      </w:pPr>
    </w:p>
    <w:p>
      <w:pPr>
        <w:jc w:val="both"/>
        <w:ind w:firstLine="8"/>
        <w:spacing w:after="0" w:line="262" w:lineRule="auto"/>
        <w:tabs>
          <w:tab w:leader="none" w:pos="285" w:val="left"/>
        </w:tabs>
        <w:numPr>
          <w:ilvl w:val="0"/>
          <w:numId w:val="192"/>
        </w:numPr>
        <w:rPr>
          <w:rFonts w:ascii="Arial" w:cs="Arial" w:eastAsia="Arial" w:hAnsi="Arial"/>
          <w:sz w:val="21"/>
          <w:szCs w:val="21"/>
          <w:u w:val="single" w:color="auto"/>
          <w:color w:val="auto"/>
        </w:rPr>
      </w:pPr>
      <w:r>
        <w:rPr>
          <w:rFonts w:ascii="Arial" w:cs="Arial" w:eastAsia="Arial" w:hAnsi="Arial"/>
          <w:sz w:val="21"/>
          <w:szCs w:val="21"/>
          <w:color w:val="auto"/>
        </w:rPr>
        <w:t xml:space="preserve">and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above; excluding in all cases, however, any Registrable Securities sold by a Person in a transaction in which the applicable rights under this Agreement are not assigned pursuant to </w:t>
      </w:r>
      <w:r>
        <w:rPr>
          <w:rFonts w:ascii="Arial" w:cs="Arial" w:eastAsia="Arial" w:hAnsi="Arial"/>
          <w:sz w:val="21"/>
          <w:szCs w:val="21"/>
          <w:u w:val="single" w:color="auto"/>
          <w:color w:val="auto"/>
        </w:rPr>
        <w:t>Subsection 6.1</w:t>
      </w:r>
      <w:r>
        <w:rPr>
          <w:rFonts w:ascii="Arial" w:cs="Arial" w:eastAsia="Arial" w:hAnsi="Arial"/>
          <w:sz w:val="21"/>
          <w:szCs w:val="21"/>
          <w:color w:val="auto"/>
        </w:rPr>
        <w:t xml:space="preserve">, and excluding for purposes of </w:t>
      </w:r>
      <w:r>
        <w:rPr>
          <w:rFonts w:ascii="Arial" w:cs="Arial" w:eastAsia="Arial" w:hAnsi="Arial"/>
          <w:sz w:val="21"/>
          <w:szCs w:val="21"/>
          <w:u w:val="single" w:color="auto"/>
          <w:color w:val="auto"/>
        </w:rPr>
        <w:t>Section 2</w:t>
      </w:r>
      <w:r>
        <w:rPr>
          <w:rFonts w:ascii="Arial" w:cs="Arial" w:eastAsia="Arial" w:hAnsi="Arial"/>
          <w:sz w:val="21"/>
          <w:szCs w:val="21"/>
          <w:color w:val="auto"/>
        </w:rPr>
        <w:t xml:space="preserve"> any shares for which registration rights have terminated pursuant to </w:t>
      </w:r>
      <w:r>
        <w:rPr>
          <w:rFonts w:ascii="Arial" w:cs="Arial" w:eastAsia="Arial" w:hAnsi="Arial"/>
          <w:sz w:val="21"/>
          <w:szCs w:val="21"/>
          <w:u w:val="single" w:color="auto"/>
          <w:color w:val="auto"/>
        </w:rPr>
        <w:t>Subsection 2.13</w:t>
      </w:r>
      <w:r>
        <w:rPr>
          <w:rFonts w:ascii="Arial" w:cs="Arial" w:eastAsia="Arial" w:hAnsi="Arial"/>
          <w:sz w:val="21"/>
          <w:szCs w:val="21"/>
          <w:color w:val="auto"/>
        </w:rPr>
        <w:t xml:space="preserve"> of this Agreement.</w:t>
      </w:r>
    </w:p>
    <w:p>
      <w:pPr>
        <w:spacing w:after="0" w:line="117" w:lineRule="exact"/>
        <w:rPr>
          <w:sz w:val="20"/>
          <w:szCs w:val="20"/>
          <w:color w:val="auto"/>
        </w:rPr>
      </w:pPr>
    </w:p>
    <w:p>
      <w:pPr>
        <w:jc w:val="both"/>
        <w:ind w:firstLine="1296"/>
        <w:spacing w:after="0" w:line="315" w:lineRule="auto"/>
        <w:rPr>
          <w:sz w:val="20"/>
          <w:szCs w:val="20"/>
          <w:color w:val="auto"/>
        </w:rPr>
      </w:pPr>
      <w:r>
        <w:rPr>
          <w:rFonts w:ascii="Arial" w:cs="Arial" w:eastAsia="Arial" w:hAnsi="Arial"/>
          <w:sz w:val="19"/>
          <w:szCs w:val="19"/>
          <w:color w:val="auto"/>
        </w:rPr>
        <w:t>1.25 “</w:t>
      </w:r>
      <w:r>
        <w:rPr>
          <w:rFonts w:ascii="Arial" w:cs="Arial" w:eastAsia="Arial" w:hAnsi="Arial"/>
          <w:sz w:val="19"/>
          <w:szCs w:val="19"/>
          <w:b w:val="1"/>
          <w:bCs w:val="1"/>
          <w:color w:val="auto"/>
        </w:rPr>
        <w:t>Registrable Securities then outstanding</w:t>
      </w:r>
      <w:r>
        <w:rPr>
          <w:rFonts w:ascii="Arial" w:cs="Arial" w:eastAsia="Arial" w:hAnsi="Arial"/>
          <w:sz w:val="19"/>
          <w:szCs w:val="19"/>
          <w:color w:val="auto"/>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spacing w:after="0" w:line="71"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1.26 “</w:t>
      </w:r>
      <w:r>
        <w:rPr>
          <w:rFonts w:ascii="Arial" w:cs="Arial" w:eastAsia="Arial" w:hAnsi="Arial"/>
          <w:sz w:val="22"/>
          <w:szCs w:val="22"/>
          <w:b w:val="1"/>
          <w:bCs w:val="1"/>
          <w:color w:val="auto"/>
        </w:rPr>
        <w:t>Restricted Securities</w:t>
      </w:r>
      <w:r>
        <w:rPr>
          <w:rFonts w:ascii="Arial" w:cs="Arial" w:eastAsia="Arial" w:hAnsi="Arial"/>
          <w:sz w:val="22"/>
          <w:szCs w:val="22"/>
          <w:color w:val="auto"/>
        </w:rPr>
        <w:t xml:space="preserve">” means the securities of the Company required to be notated with the legend set forth in </w:t>
      </w:r>
      <w:r>
        <w:rPr>
          <w:rFonts w:ascii="Arial" w:cs="Arial" w:eastAsia="Arial" w:hAnsi="Arial"/>
          <w:sz w:val="22"/>
          <w:szCs w:val="22"/>
          <w:u w:val="single" w:color="auto"/>
          <w:color w:val="auto"/>
        </w:rPr>
        <w:t>Subsection 2.12(b)</w:t>
      </w:r>
      <w:r>
        <w:rPr>
          <w:rFonts w:ascii="Arial" w:cs="Arial" w:eastAsia="Arial" w:hAnsi="Arial"/>
          <w:sz w:val="22"/>
          <w:szCs w:val="22"/>
          <w:color w:val="auto"/>
        </w:rPr>
        <w:t xml:space="preserve"> hereof.</w:t>
      </w:r>
    </w:p>
    <w:p>
      <w:pPr>
        <w:spacing w:after="0" w:line="108"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auto"/>
        </w:rPr>
        <w:t>1.27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SEC</w:t>
      </w:r>
      <w:r>
        <w:rPr>
          <w:rFonts w:ascii="Arial" w:cs="Arial" w:eastAsia="Arial" w:hAnsi="Arial"/>
          <w:sz w:val="19"/>
          <w:szCs w:val="19"/>
          <w:color w:val="auto"/>
        </w:rPr>
        <w:t>” means the Securities and Exchange Commission.</w:t>
      </w:r>
    </w:p>
    <w:p>
      <w:pPr>
        <w:spacing w:after="0" w:line="166"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auto"/>
        </w:rPr>
        <w:t>1.28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SEC Rule 144</w:t>
      </w:r>
      <w:r>
        <w:rPr>
          <w:rFonts w:ascii="Arial" w:cs="Arial" w:eastAsia="Arial" w:hAnsi="Arial"/>
          <w:sz w:val="19"/>
          <w:szCs w:val="19"/>
          <w:color w:val="auto"/>
        </w:rPr>
        <w:t>” means Rule 144 promulgated by the SEC under the Securities Act. Securities Act.</w:t>
      </w:r>
    </w:p>
    <w:p>
      <w:pPr>
        <w:spacing w:after="0" w:line="166"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auto"/>
        </w:rPr>
        <w:t>1.29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SEC Rule 145</w:t>
      </w:r>
      <w:r>
        <w:rPr>
          <w:rFonts w:ascii="Arial" w:cs="Arial" w:eastAsia="Arial" w:hAnsi="Arial"/>
          <w:sz w:val="19"/>
          <w:szCs w:val="19"/>
          <w:color w:val="auto"/>
        </w:rPr>
        <w:t>” means Rule 145 promulgated by the SEC under the Securities Act.</w:t>
      </w:r>
    </w:p>
    <w:p>
      <w:pPr>
        <w:spacing w:after="0" w:line="166"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color w:val="auto"/>
        </w:rPr>
        <w:t>1.30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Securities Act</w:t>
      </w:r>
      <w:r>
        <w:rPr>
          <w:rFonts w:ascii="Arial" w:cs="Arial" w:eastAsia="Arial" w:hAnsi="Arial"/>
          <w:sz w:val="19"/>
          <w:szCs w:val="19"/>
          <w:color w:val="auto"/>
        </w:rPr>
        <w:t>” means the Securities Act of 1933, as amended, and the rules and regulations promulgated</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thereunder.</w:t>
      </w:r>
    </w:p>
    <w:p>
      <w:pPr>
        <w:spacing w:after="0" w:line="142"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1"/>
          <w:szCs w:val="21"/>
          <w:color w:val="auto"/>
        </w:rPr>
        <w:t>1.31 “</w:t>
      </w:r>
      <w:r>
        <w:rPr>
          <w:rFonts w:ascii="Arial" w:cs="Arial" w:eastAsia="Arial" w:hAnsi="Arial"/>
          <w:sz w:val="21"/>
          <w:szCs w:val="21"/>
          <w:b w:val="1"/>
          <w:bCs w:val="1"/>
          <w:color w:val="auto"/>
        </w:rPr>
        <w:t>Selling Expenses</w:t>
      </w:r>
      <w:r>
        <w:rPr>
          <w:rFonts w:ascii="Arial" w:cs="Arial" w:eastAsia="Arial" w:hAnsi="Arial"/>
          <w:sz w:val="21"/>
          <w:szCs w:val="21"/>
          <w:color w:val="auto"/>
        </w:rPr>
        <w:t xml:space="preserve">”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w:t>
      </w:r>
      <w:r>
        <w:rPr>
          <w:rFonts w:ascii="Arial" w:cs="Arial" w:eastAsia="Arial" w:hAnsi="Arial"/>
          <w:sz w:val="21"/>
          <w:szCs w:val="21"/>
          <w:u w:val="single" w:color="auto"/>
          <w:color w:val="auto"/>
        </w:rPr>
        <w:t>Subsection 2.6</w:t>
      </w:r>
      <w:r>
        <w:rPr>
          <w:rFonts w:ascii="Arial" w:cs="Arial" w:eastAsia="Arial" w:hAnsi="Arial"/>
          <w:sz w:val="21"/>
          <w:szCs w:val="21"/>
          <w:color w:val="auto"/>
        </w:rPr>
        <w:t>.</w:t>
      </w:r>
    </w:p>
    <w:p>
      <w:pPr>
        <w:spacing w:after="0" w:line="104" w:lineRule="exact"/>
        <w:rPr>
          <w:sz w:val="20"/>
          <w:szCs w:val="20"/>
          <w:color w:val="auto"/>
        </w:rPr>
      </w:pPr>
    </w:p>
    <w:p>
      <w:pPr>
        <w:jc w:val="both"/>
        <w:ind w:right="20" w:firstLine="1296"/>
        <w:spacing w:after="0" w:line="269" w:lineRule="auto"/>
        <w:rPr>
          <w:sz w:val="20"/>
          <w:szCs w:val="20"/>
          <w:color w:val="auto"/>
        </w:rPr>
      </w:pPr>
      <w:r>
        <w:rPr>
          <w:rFonts w:ascii="Arial" w:cs="Arial" w:eastAsia="Arial" w:hAnsi="Arial"/>
          <w:sz w:val="22"/>
          <w:szCs w:val="22"/>
          <w:color w:val="auto"/>
        </w:rPr>
        <w:t>1.32 “</w:t>
      </w:r>
      <w:r>
        <w:rPr>
          <w:rFonts w:ascii="Arial" w:cs="Arial" w:eastAsia="Arial" w:hAnsi="Arial"/>
          <w:sz w:val="22"/>
          <w:szCs w:val="22"/>
          <w:b w:val="1"/>
          <w:bCs w:val="1"/>
          <w:color w:val="auto"/>
        </w:rPr>
        <w:t>Series A Director</w:t>
      </w:r>
      <w:r>
        <w:rPr>
          <w:rFonts w:ascii="Arial" w:cs="Arial" w:eastAsia="Arial" w:hAnsi="Arial"/>
          <w:sz w:val="22"/>
          <w:szCs w:val="22"/>
          <w:color w:val="auto"/>
        </w:rPr>
        <w:t>” means any director of the Company that the holders of record of the Series A Preferred Stock are entitled to elect pursuant to the Company’s Certificate of Incorporation.</w:t>
      </w:r>
    </w:p>
    <w:p>
      <w:pPr>
        <w:spacing w:after="0" w:line="10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Series A Preferred Stock</w:t>
      </w:r>
      <w:r>
        <w:rPr>
          <w:rFonts w:ascii="Arial" w:cs="Arial" w:eastAsia="Arial" w:hAnsi="Arial"/>
          <w:sz w:val="19"/>
          <w:szCs w:val="19"/>
          <w:color w:val="auto"/>
        </w:rPr>
        <w:t>” means shares of the Company’s Series A Preferred Stock, par value $0.0001</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2" w:right="339" w:bottom="1440" w:gutter="0" w:footer="0" w:header="0"/>
        </w:sectPr>
      </w:pPr>
    </w:p>
    <w:bookmarkStart w:id="263" w:name="page264"/>
    <w:bookmarkEnd w:id="263"/>
    <w:p>
      <w:pPr>
        <w:ind w:left="1300" w:right="4300" w:hanging="644"/>
        <w:spacing w:after="0" w:line="397" w:lineRule="auto"/>
        <w:tabs>
          <w:tab w:leader="none" w:pos="1030" w:val="left"/>
        </w:tabs>
        <w:numPr>
          <w:ilvl w:val="1"/>
          <w:numId w:val="193"/>
        </w:numPr>
        <w:rPr>
          <w:rFonts w:ascii="Arial" w:cs="Arial" w:eastAsia="Arial" w:hAnsi="Arial"/>
          <w:sz w:val="22"/>
          <w:szCs w:val="22"/>
          <w:color w:val="auto"/>
        </w:rPr>
      </w:pPr>
      <w:r>
        <w:rPr>
          <w:rFonts w:ascii="Arial" w:cs="Arial" w:eastAsia="Arial" w:hAnsi="Arial"/>
          <w:sz w:val="22"/>
          <w:szCs w:val="22"/>
          <w:u w:val="single" w:color="auto"/>
          <w:color w:val="auto"/>
        </w:rPr>
        <w:t>Registration Rights</w:t>
      </w:r>
      <w:r>
        <w:rPr>
          <w:rFonts w:ascii="Arial" w:cs="Arial" w:eastAsia="Arial" w:hAnsi="Arial"/>
          <w:sz w:val="22"/>
          <w:szCs w:val="22"/>
          <w:color w:val="auto"/>
        </w:rPr>
        <w:t xml:space="preserve">. The Company covenants and agrees as follows: 2.1 </w:t>
      </w:r>
      <w:r>
        <w:rPr>
          <w:rFonts w:ascii="Arial" w:cs="Arial" w:eastAsia="Arial" w:hAnsi="Arial"/>
          <w:sz w:val="22"/>
          <w:szCs w:val="22"/>
          <w:u w:val="single" w:color="auto"/>
          <w:color w:val="auto"/>
        </w:rPr>
        <w:t>Demand Registration</w:t>
      </w:r>
      <w:r>
        <w:rPr>
          <w:rFonts w:ascii="Arial" w:cs="Arial" w:eastAsia="Arial" w:hAnsi="Arial"/>
          <w:sz w:val="22"/>
          <w:szCs w:val="22"/>
          <w:color w:val="auto"/>
        </w:rPr>
        <w:t>.</w:t>
      </w:r>
    </w:p>
    <w:p>
      <w:pPr>
        <w:jc w:val="both"/>
        <w:ind w:firstLine="1952"/>
        <w:spacing w:after="0" w:line="285" w:lineRule="auto"/>
        <w:tabs>
          <w:tab w:leader="none" w:pos="2413" w:val="left"/>
        </w:tabs>
        <w:numPr>
          <w:ilvl w:val="2"/>
          <w:numId w:val="193"/>
        </w:numPr>
        <w:rPr>
          <w:rFonts w:ascii="Arial" w:cs="Arial" w:eastAsia="Arial" w:hAnsi="Arial"/>
          <w:sz w:val="19"/>
          <w:szCs w:val="19"/>
          <w:color w:val="auto"/>
        </w:rPr>
      </w:pPr>
      <w:r>
        <w:rPr>
          <w:rFonts w:ascii="Arial" w:cs="Arial" w:eastAsia="Arial" w:hAnsi="Arial"/>
          <w:sz w:val="19"/>
          <w:szCs w:val="19"/>
          <w:u w:val="single" w:color="auto"/>
          <w:color w:val="auto"/>
        </w:rPr>
        <w:t>Form S-1 Demand</w:t>
      </w:r>
      <w:r>
        <w:rPr>
          <w:rFonts w:ascii="Arial" w:cs="Arial" w:eastAsia="Arial" w:hAnsi="Arial"/>
          <w:sz w:val="19"/>
          <w:szCs w:val="19"/>
          <w:color w:val="auto"/>
        </w:rPr>
        <w:t>. If at any time after the earlier of (i) five (5) years after the date of this Agreement or (ii) one hundred eighty (180) days after the effective date of the registration statement for the IPO, the Company receives a request from Holders of a majority of the Registrable Securities then outstanding that the Company file a Form S-1 registration statement with respect to at least forty percent (40%) of the Registrable Securities then outstanding (or a lesser percent if the anticipated aggregate offering price, net of Selling Expenses, would exceed $25 million), then the Company shall (x) within ten</w:t>
      </w:r>
    </w:p>
    <w:p>
      <w:pPr>
        <w:spacing w:after="0" w:line="3" w:lineRule="exact"/>
        <w:rPr>
          <w:rFonts w:ascii="Arial" w:cs="Arial" w:eastAsia="Arial" w:hAnsi="Arial"/>
          <w:sz w:val="19"/>
          <w:szCs w:val="19"/>
          <w:color w:val="auto"/>
        </w:rPr>
      </w:pPr>
    </w:p>
    <w:p>
      <w:pPr>
        <w:jc w:val="both"/>
        <w:ind w:firstLine="8"/>
        <w:spacing w:after="0" w:line="290" w:lineRule="auto"/>
        <w:tabs>
          <w:tab w:leader="none" w:pos="423" w:val="left"/>
        </w:tabs>
        <w:numPr>
          <w:ilvl w:val="0"/>
          <w:numId w:val="194"/>
        </w:numPr>
        <w:rPr>
          <w:rFonts w:ascii="Arial" w:cs="Arial" w:eastAsia="Arial" w:hAnsi="Arial"/>
          <w:sz w:val="19"/>
          <w:szCs w:val="19"/>
          <w:color w:val="auto"/>
        </w:rPr>
      </w:pPr>
      <w:r>
        <w:rPr>
          <w:rFonts w:ascii="Arial" w:cs="Arial" w:eastAsia="Arial" w:hAnsi="Arial"/>
          <w:sz w:val="19"/>
          <w:szCs w:val="19"/>
          <w:color w:val="auto"/>
        </w:rPr>
        <w:t>days after the date such request is given, give notice thereof (the “</w:t>
      </w:r>
      <w:r>
        <w:rPr>
          <w:rFonts w:ascii="Arial" w:cs="Arial" w:eastAsia="Arial" w:hAnsi="Arial"/>
          <w:sz w:val="19"/>
          <w:szCs w:val="19"/>
          <w:b w:val="1"/>
          <w:bCs w:val="1"/>
          <w:color w:val="auto"/>
        </w:rPr>
        <w:t>Demand Notice</w:t>
      </w:r>
      <w:r>
        <w:rPr>
          <w:rFonts w:ascii="Arial" w:cs="Arial" w:eastAsia="Arial" w:hAnsi="Arial"/>
          <w:sz w:val="19"/>
          <w:szCs w:val="19"/>
          <w:color w:val="auto"/>
        </w:rPr>
        <w:t xml:space="preserve">”) to all Holders other than the Initiating Holders; and (y) as soon as practicable, and in any event within sixty (60)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9"/>
          <w:szCs w:val="19"/>
          <w:u w:val="single" w:color="auto"/>
          <w:color w:val="auto"/>
        </w:rPr>
        <w:t>Subsections 2.1(c)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2.3.</w:t>
      </w:r>
    </w:p>
    <w:p>
      <w:pPr>
        <w:spacing w:after="0" w:line="99" w:lineRule="exact"/>
        <w:rPr>
          <w:rFonts w:ascii="Arial" w:cs="Arial" w:eastAsia="Arial" w:hAnsi="Arial"/>
          <w:sz w:val="19"/>
          <w:szCs w:val="19"/>
          <w:color w:val="auto"/>
        </w:rPr>
      </w:pPr>
    </w:p>
    <w:p>
      <w:pPr>
        <w:jc w:val="both"/>
        <w:ind w:firstLine="1952"/>
        <w:spacing w:after="0" w:line="289" w:lineRule="auto"/>
        <w:tabs>
          <w:tab w:leader="none" w:pos="2493" w:val="left"/>
        </w:tabs>
        <w:numPr>
          <w:ilvl w:val="2"/>
          <w:numId w:val="194"/>
        </w:numPr>
        <w:rPr>
          <w:rFonts w:ascii="Arial" w:cs="Arial" w:eastAsia="Arial" w:hAnsi="Arial"/>
          <w:sz w:val="19"/>
          <w:szCs w:val="19"/>
          <w:color w:val="auto"/>
        </w:rPr>
      </w:pPr>
      <w:r>
        <w:rPr>
          <w:rFonts w:ascii="Arial" w:cs="Arial" w:eastAsia="Arial" w:hAnsi="Arial"/>
          <w:sz w:val="19"/>
          <w:szCs w:val="19"/>
          <w:u w:val="single" w:color="auto"/>
          <w:color w:val="auto"/>
        </w:rPr>
        <w:t>Form S-3 Demand</w:t>
      </w:r>
      <w:r>
        <w:rPr>
          <w:rFonts w:ascii="Arial" w:cs="Arial" w:eastAsia="Arial" w:hAnsi="Arial"/>
          <w:sz w:val="19"/>
          <w:szCs w:val="19"/>
          <w:color w:val="auto"/>
        </w:rPr>
        <w:t xml:space="preserve">. If at any time when it is eligible to use a Form S-3 registration statement, the Company receives a request from Holders of at least twenty-five percent (25%) of the Registrable Securities then outstanding that the Company file a Form S-3 registration statement with respect to outstanding Registrable Securities of such Holders having an anticipated aggregate offering price, net of Selling Expenses, of at least $5 million, then the Company shall (i) within ten (10) days after the date such request is given, give a Demand Notice to all Holders other than the Initiating Holders; and (ii) as soon as practicable, and in any event within sixty (60)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9"/>
          <w:szCs w:val="19"/>
          <w:u w:val="single" w:color="auto"/>
          <w:color w:val="auto"/>
        </w:rPr>
        <w:t>Subsections 2.1(c)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2.3</w:t>
      </w:r>
      <w:r>
        <w:rPr>
          <w:rFonts w:ascii="Arial" w:cs="Arial" w:eastAsia="Arial" w:hAnsi="Arial"/>
          <w:sz w:val="19"/>
          <w:szCs w:val="19"/>
          <w:color w:val="auto"/>
        </w:rPr>
        <w:t>.</w:t>
      </w:r>
    </w:p>
    <w:p>
      <w:pPr>
        <w:spacing w:after="0" w:line="102" w:lineRule="exact"/>
        <w:rPr>
          <w:rFonts w:ascii="Arial" w:cs="Arial" w:eastAsia="Arial" w:hAnsi="Arial"/>
          <w:sz w:val="19"/>
          <w:szCs w:val="19"/>
          <w:color w:val="auto"/>
        </w:rPr>
      </w:pPr>
    </w:p>
    <w:p>
      <w:pPr>
        <w:jc w:val="both"/>
        <w:ind w:firstLine="1952"/>
        <w:spacing w:after="0" w:line="284" w:lineRule="auto"/>
        <w:tabs>
          <w:tab w:leader="none" w:pos="2612" w:val="left"/>
        </w:tabs>
        <w:numPr>
          <w:ilvl w:val="2"/>
          <w:numId w:val="194"/>
        </w:numPr>
        <w:rPr>
          <w:rFonts w:ascii="Arial" w:cs="Arial" w:eastAsia="Arial" w:hAnsi="Arial"/>
          <w:sz w:val="19"/>
          <w:szCs w:val="19"/>
          <w:color w:val="auto"/>
        </w:rPr>
      </w:pPr>
      <w:r>
        <w:rPr>
          <w:rFonts w:ascii="Arial" w:cs="Arial" w:eastAsia="Arial" w:hAnsi="Arial"/>
          <w:sz w:val="19"/>
          <w:szCs w:val="19"/>
          <w:color w:val="auto"/>
        </w:rPr>
        <w:t xml:space="preserve">Notwithstanding the foregoing obligations, if the Company furnishes to Holders requesting a registration pursuant to this </w:t>
      </w:r>
      <w:r>
        <w:rPr>
          <w:rFonts w:ascii="Arial" w:cs="Arial" w:eastAsia="Arial" w:hAnsi="Arial"/>
          <w:sz w:val="19"/>
          <w:szCs w:val="19"/>
          <w:u w:val="single" w:color="auto"/>
          <w:color w:val="auto"/>
        </w:rPr>
        <w:t>Subsection 2.1</w:t>
      </w:r>
      <w:r>
        <w:rPr>
          <w:rFonts w:ascii="Arial" w:cs="Arial" w:eastAsia="Arial" w:hAnsi="Arial"/>
          <w:sz w:val="19"/>
          <w:szCs w:val="19"/>
          <w:color w:val="auto"/>
        </w:rPr>
        <w:t xml:space="preserve"> a certificate signed by the Company’s chief executive officer stating that in the good faith judgment of the Company’s Board of Directors it would be materially detrimental to the Company and its stockholders for such registration statement to either become effective or remain effective for as long as such registration statement otherwise would be required to remain effective, then the Company shall have the right to defer taking action with respect to such filing for a period of not more than one hundred twenty (120) days after the request of the Initiating Holders is given;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Company may not invoke this right more than once in any twelve (12) month period;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Company shall not register any securities for its own account or that of any other stockholder during such one hundred twenty</w:t>
      </w:r>
    </w:p>
    <w:p>
      <w:pPr>
        <w:spacing w:after="0" w:line="1" w:lineRule="exact"/>
        <w:rPr>
          <w:rFonts w:ascii="Arial" w:cs="Arial" w:eastAsia="Arial" w:hAnsi="Arial"/>
          <w:sz w:val="19"/>
          <w:szCs w:val="19"/>
          <w:color w:val="auto"/>
        </w:rPr>
      </w:pPr>
    </w:p>
    <w:p>
      <w:pPr>
        <w:ind w:left="520" w:hanging="512"/>
        <w:spacing w:after="0"/>
        <w:tabs>
          <w:tab w:leader="none" w:pos="520" w:val="left"/>
        </w:tabs>
        <w:numPr>
          <w:ilvl w:val="0"/>
          <w:numId w:val="195"/>
        </w:numPr>
        <w:rPr>
          <w:rFonts w:ascii="Arial" w:cs="Arial" w:eastAsia="Arial" w:hAnsi="Arial"/>
          <w:sz w:val="21"/>
          <w:szCs w:val="21"/>
          <w:color w:val="auto"/>
        </w:rPr>
      </w:pPr>
      <w:r>
        <w:rPr>
          <w:rFonts w:ascii="Arial" w:cs="Arial" w:eastAsia="Arial" w:hAnsi="Arial"/>
          <w:sz w:val="21"/>
          <w:szCs w:val="21"/>
          <w:color w:val="auto"/>
        </w:rPr>
        <w:t>day period other than an Excluded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264" w:name="page265"/>
    <w:bookmarkEnd w:id="264"/>
    <w:p>
      <w:pPr>
        <w:jc w:val="both"/>
        <w:ind w:firstLine="1952"/>
        <w:spacing w:after="0" w:line="285" w:lineRule="auto"/>
        <w:tabs>
          <w:tab w:leader="none" w:pos="2413" w:val="left"/>
        </w:tabs>
        <w:numPr>
          <w:ilvl w:val="0"/>
          <w:numId w:val="196"/>
        </w:numPr>
        <w:rPr>
          <w:rFonts w:ascii="Arial" w:cs="Arial" w:eastAsia="Arial" w:hAnsi="Arial"/>
          <w:sz w:val="19"/>
          <w:szCs w:val="19"/>
          <w:color w:val="auto"/>
        </w:rPr>
      </w:pPr>
      <w:r>
        <w:rPr>
          <w:rFonts w:ascii="Arial" w:cs="Arial" w:eastAsia="Arial" w:hAnsi="Arial"/>
          <w:sz w:val="19"/>
          <w:szCs w:val="19"/>
          <w:color w:val="auto"/>
        </w:rPr>
        <w:t xml:space="preserve">The Company shall not be obligated to effect, or to take any action to effect, any registration pursuant to </w:t>
      </w:r>
      <w:r>
        <w:rPr>
          <w:rFonts w:ascii="Arial" w:cs="Arial" w:eastAsia="Arial" w:hAnsi="Arial"/>
          <w:sz w:val="19"/>
          <w:szCs w:val="19"/>
          <w:u w:val="single" w:color="auto"/>
          <w:color w:val="auto"/>
        </w:rPr>
        <w:t>Subsection 2.1(a)(i)</w:t>
      </w:r>
      <w:r>
        <w:rPr>
          <w:rFonts w:ascii="Arial" w:cs="Arial" w:eastAsia="Arial" w:hAnsi="Arial"/>
          <w:sz w:val="19"/>
          <w:szCs w:val="19"/>
          <w:color w:val="auto"/>
        </w:rPr>
        <w:t xml:space="preserve"> during the period that is sixty (60) days before the Company’s good faith estimate of the date of filing of, and ending on a date that is one hundred eighty (180) days after the effective date of, a Company-initiated registration,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is actively employing in good faith commercially reasonable efforts to cause such registration statement to become effective; (ii) after the Company has effected one registration pursuant to </w:t>
      </w:r>
      <w:r>
        <w:rPr>
          <w:rFonts w:ascii="Arial" w:cs="Arial" w:eastAsia="Arial" w:hAnsi="Arial"/>
          <w:sz w:val="19"/>
          <w:szCs w:val="19"/>
          <w:u w:val="single" w:color="auto"/>
          <w:color w:val="auto"/>
        </w:rPr>
        <w:t>Subsection 2.1(a)</w:t>
      </w:r>
      <w:r>
        <w:rPr>
          <w:rFonts w:ascii="Arial" w:cs="Arial" w:eastAsia="Arial" w:hAnsi="Arial"/>
          <w:sz w:val="19"/>
          <w:szCs w:val="19"/>
          <w:color w:val="auto"/>
        </w:rPr>
        <w:t xml:space="preserve">; or (iii) if the Initiating Holders propose to dispose of shares of Registrable Securities that may be immediately registered on Form S-3 pursuant to a request made pursuant to </w:t>
      </w:r>
      <w:r>
        <w:rPr>
          <w:rFonts w:ascii="Arial" w:cs="Arial" w:eastAsia="Arial" w:hAnsi="Arial"/>
          <w:sz w:val="19"/>
          <w:szCs w:val="19"/>
          <w:u w:val="single" w:color="auto"/>
          <w:color w:val="auto"/>
        </w:rPr>
        <w:t>Subsection 2.1(b)</w:t>
      </w:r>
      <w:r>
        <w:rPr>
          <w:rFonts w:ascii="Arial" w:cs="Arial" w:eastAsia="Arial" w:hAnsi="Arial"/>
          <w:sz w:val="19"/>
          <w:szCs w:val="19"/>
          <w:color w:val="auto"/>
        </w:rPr>
        <w:t xml:space="preserve">. The Company shall not be obligated to effect, or to take any action to effect, any registration pursuant to </w:t>
      </w:r>
      <w:r>
        <w:rPr>
          <w:rFonts w:ascii="Arial" w:cs="Arial" w:eastAsia="Arial" w:hAnsi="Arial"/>
          <w:sz w:val="19"/>
          <w:szCs w:val="19"/>
          <w:u w:val="single" w:color="auto"/>
          <w:color w:val="auto"/>
        </w:rPr>
        <w:t>Subsection 2.1(b)</w:t>
      </w:r>
      <w:r>
        <w:rPr>
          <w:rFonts w:ascii="Arial" w:cs="Arial" w:eastAsia="Arial" w:hAnsi="Arial"/>
          <w:sz w:val="19"/>
          <w:szCs w:val="19"/>
          <w:color w:val="auto"/>
        </w:rPr>
        <w:t xml:space="preserve"> (i) during the period that is thirty (30) days before the Company’s good faith estimate of the date of filing of, and ending on a date that is ninety (90) days after the effective date of, a Company-initiated registration,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is actively employing in good faith commercially reasonable efforts to cause such registration statement to become effective; or (ii) if the Company has effected two registrations pursuant to </w:t>
      </w:r>
      <w:r>
        <w:rPr>
          <w:rFonts w:ascii="Arial" w:cs="Arial" w:eastAsia="Arial" w:hAnsi="Arial"/>
          <w:sz w:val="19"/>
          <w:szCs w:val="19"/>
          <w:u w:val="single" w:color="auto"/>
          <w:color w:val="auto"/>
        </w:rPr>
        <w:t>Subsection 2.1(b)</w:t>
      </w:r>
      <w:r>
        <w:rPr>
          <w:rFonts w:ascii="Arial" w:cs="Arial" w:eastAsia="Arial" w:hAnsi="Arial"/>
          <w:sz w:val="19"/>
          <w:szCs w:val="19"/>
          <w:color w:val="auto"/>
        </w:rPr>
        <w:t xml:space="preserve"> within the twelve (12) month period immediately preceding the date of such request. A registration shall not be counted as “effected” for purposes of this </w:t>
      </w:r>
      <w:r>
        <w:rPr>
          <w:rFonts w:ascii="Arial" w:cs="Arial" w:eastAsia="Arial" w:hAnsi="Arial"/>
          <w:sz w:val="19"/>
          <w:szCs w:val="19"/>
          <w:u w:val="single" w:color="auto"/>
          <w:color w:val="auto"/>
        </w:rPr>
        <w:t>Subsection 2.1(d)</w:t>
      </w:r>
      <w:r>
        <w:rPr>
          <w:rFonts w:ascii="Arial" w:cs="Arial" w:eastAsia="Arial" w:hAnsi="Arial"/>
          <w:sz w:val="19"/>
          <w:szCs w:val="19"/>
          <w:color w:val="auto"/>
        </w:rPr>
        <w:t xml:space="preserve">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Arial" w:cs="Arial" w:eastAsia="Arial" w:hAnsi="Arial"/>
          <w:sz w:val="19"/>
          <w:szCs w:val="19"/>
          <w:u w:val="single" w:color="auto"/>
          <w:color w:val="auto"/>
        </w:rPr>
        <w:t>Subsection 2.6</w:t>
      </w:r>
      <w:r>
        <w:rPr>
          <w:rFonts w:ascii="Arial" w:cs="Arial" w:eastAsia="Arial" w:hAnsi="Arial"/>
          <w:sz w:val="19"/>
          <w:szCs w:val="19"/>
          <w:color w:val="auto"/>
        </w:rPr>
        <w:t xml:space="preserve">, in which case such withdrawn registration statement shall be counted as “effected” for purposes of this </w:t>
      </w:r>
      <w:r>
        <w:rPr>
          <w:rFonts w:ascii="Arial" w:cs="Arial" w:eastAsia="Arial" w:hAnsi="Arial"/>
          <w:sz w:val="19"/>
          <w:szCs w:val="19"/>
          <w:u w:val="single" w:color="auto"/>
          <w:color w:val="auto"/>
        </w:rPr>
        <w:t>Subsection 2.1(d)</w:t>
      </w:r>
      <w:r>
        <w:rPr>
          <w:rFonts w:ascii="Arial" w:cs="Arial" w:eastAsia="Arial" w:hAnsi="Arial"/>
          <w:sz w:val="19"/>
          <w:szCs w:val="19"/>
          <w:color w:val="auto"/>
        </w:rPr>
        <w:t>.</w:t>
      </w:r>
    </w:p>
    <w:p>
      <w:pPr>
        <w:spacing w:after="0" w:line="115"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Company Registration</w:t>
      </w:r>
      <w:r>
        <w:rPr>
          <w:rFonts w:ascii="Arial" w:cs="Arial" w:eastAsia="Arial" w:hAnsi="Arial"/>
          <w:sz w:val="19"/>
          <w:szCs w:val="19"/>
          <w:color w:val="auto"/>
        </w:rPr>
        <w:t xml:space="preserve">. If the Company proposes to register (including, for this purpose, a registration effected by the Company for stockholders other than the Holders) any of its securities under the Securities Act in connection with the public offering of such securities solely for cash (other than in an Excluded Registration), the Company shall, at such time, promptly give each Holder notice of such registration. Upon the request of each Holder given within twenty (20) days after such notice is given by the Company, the Company shall, subject to the provisions of </w:t>
      </w:r>
      <w:r>
        <w:rPr>
          <w:rFonts w:ascii="Arial" w:cs="Arial" w:eastAsia="Arial" w:hAnsi="Arial"/>
          <w:sz w:val="19"/>
          <w:szCs w:val="19"/>
          <w:u w:val="single" w:color="auto"/>
          <w:color w:val="auto"/>
        </w:rPr>
        <w:t>Subsection 2.3</w:t>
      </w:r>
      <w:r>
        <w:rPr>
          <w:rFonts w:ascii="Arial" w:cs="Arial" w:eastAsia="Arial" w:hAnsi="Arial"/>
          <w:sz w:val="19"/>
          <w:szCs w:val="19"/>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Arial" w:cs="Arial" w:eastAsia="Arial" w:hAnsi="Arial"/>
          <w:sz w:val="19"/>
          <w:szCs w:val="19"/>
          <w:u w:val="single" w:color="auto"/>
          <w:color w:val="auto"/>
        </w:rPr>
        <w:t>Subsection 2.2</w:t>
      </w:r>
      <w:r>
        <w:rPr>
          <w:rFonts w:ascii="Arial" w:cs="Arial" w:eastAsia="Arial" w:hAnsi="Arial"/>
          <w:sz w:val="19"/>
          <w:szCs w:val="19"/>
          <w:color w:val="auto"/>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Arial" w:cs="Arial" w:eastAsia="Arial" w:hAnsi="Arial"/>
          <w:sz w:val="19"/>
          <w:szCs w:val="19"/>
          <w:u w:val="single" w:color="auto"/>
          <w:color w:val="auto"/>
        </w:rPr>
        <w:t>Subsection 2.6</w:t>
      </w:r>
      <w:r>
        <w:rPr>
          <w:rFonts w:ascii="Arial" w:cs="Arial" w:eastAsia="Arial" w:hAnsi="Arial"/>
          <w:sz w:val="19"/>
          <w:szCs w:val="19"/>
          <w:color w:val="auto"/>
        </w:rPr>
        <w:t>.</w:t>
      </w:r>
    </w:p>
    <w:p>
      <w:pPr>
        <w:spacing w:after="0" w:line="103"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u w:val="single" w:color="auto"/>
          <w:color w:val="auto"/>
        </w:rPr>
        <w:t>Underwriting Requirements</w:t>
      </w:r>
      <w:r>
        <w:rPr>
          <w:rFonts w:ascii="Arial" w:cs="Arial" w:eastAsia="Arial" w:hAnsi="Arial"/>
          <w:sz w:val="19"/>
          <w:szCs w:val="19"/>
          <w:color w:val="auto"/>
        </w:rPr>
        <w:t>.</w:t>
      </w:r>
    </w:p>
    <w:p>
      <w:pPr>
        <w:spacing w:after="0" w:line="166" w:lineRule="exact"/>
        <w:rPr>
          <w:sz w:val="20"/>
          <w:szCs w:val="20"/>
          <w:color w:val="auto"/>
        </w:rPr>
      </w:pPr>
    </w:p>
    <w:p>
      <w:pPr>
        <w:jc w:val="both"/>
        <w:ind w:firstLine="1952"/>
        <w:spacing w:after="0" w:line="292" w:lineRule="auto"/>
        <w:tabs>
          <w:tab w:leader="none" w:pos="2485" w:val="left"/>
        </w:tabs>
        <w:numPr>
          <w:ilvl w:val="0"/>
          <w:numId w:val="197"/>
        </w:numPr>
        <w:rPr>
          <w:rFonts w:ascii="Arial" w:cs="Arial" w:eastAsia="Arial" w:hAnsi="Arial"/>
          <w:sz w:val="19"/>
          <w:szCs w:val="19"/>
          <w:color w:val="auto"/>
        </w:rPr>
      </w:pPr>
      <w:r>
        <w:rPr>
          <w:rFonts w:ascii="Arial" w:cs="Arial" w:eastAsia="Arial" w:hAnsi="Arial"/>
          <w:sz w:val="19"/>
          <w:szCs w:val="19"/>
          <w:color w:val="auto"/>
        </w:rPr>
        <w:t xml:space="preserve">If, pursuant to </w:t>
      </w:r>
      <w:r>
        <w:rPr>
          <w:rFonts w:ascii="Arial" w:cs="Arial" w:eastAsia="Arial" w:hAnsi="Arial"/>
          <w:sz w:val="19"/>
          <w:szCs w:val="19"/>
          <w:u w:val="single" w:color="auto"/>
          <w:color w:val="auto"/>
        </w:rPr>
        <w:t>Subsection 2.1</w:t>
      </w:r>
      <w:r>
        <w:rPr>
          <w:rFonts w:ascii="Arial" w:cs="Arial" w:eastAsia="Arial" w:hAnsi="Arial"/>
          <w:sz w:val="19"/>
          <w:szCs w:val="19"/>
          <w:color w:val="auto"/>
        </w:rPr>
        <w:t xml:space="preserve">, the Initiating Holders intend to distribute the Registrable Securities covered by their request by means of an underwriting, they shall so advise the Company as a part of their request made pursuant to </w:t>
      </w:r>
      <w:r>
        <w:rPr>
          <w:rFonts w:ascii="Arial" w:cs="Arial" w:eastAsia="Arial" w:hAnsi="Arial"/>
          <w:sz w:val="19"/>
          <w:szCs w:val="19"/>
          <w:u w:val="single" w:color="auto"/>
          <w:color w:val="auto"/>
        </w:rPr>
        <w:t>Subsection 2.1</w:t>
      </w:r>
      <w:r>
        <w:rPr>
          <w:rFonts w:ascii="Arial" w:cs="Arial" w:eastAsia="Arial" w:hAnsi="Arial"/>
          <w:sz w:val="19"/>
          <w:szCs w:val="19"/>
          <w:color w:val="auto"/>
        </w:rPr>
        <w:t>, and the Company shall include such information in the Demand Notice. The underwriter(s) will be selected by the Company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265" w:name="page266"/>
    <w:bookmarkEnd w:id="265"/>
    <w:p>
      <w:pPr>
        <w:jc w:val="both"/>
        <w:spacing w:after="0" w:line="287" w:lineRule="auto"/>
        <w:rPr>
          <w:sz w:val="20"/>
          <w:szCs w:val="20"/>
          <w:color w:val="auto"/>
        </w:rPr>
      </w:pPr>
      <w:r>
        <w:rPr>
          <w:rFonts w:ascii="Arial" w:cs="Arial" w:eastAsia="Arial" w:hAnsi="Arial"/>
          <w:sz w:val="19"/>
          <w:szCs w:val="19"/>
          <w:color w:val="auto"/>
        </w:rPr>
        <w:t xml:space="preserve">underwriting shall (together with the Company as provided in </w:t>
      </w:r>
      <w:r>
        <w:rPr>
          <w:rFonts w:ascii="Arial" w:cs="Arial" w:eastAsia="Arial" w:hAnsi="Arial"/>
          <w:sz w:val="19"/>
          <w:szCs w:val="19"/>
          <w:u w:val="single" w:color="auto"/>
          <w:color w:val="auto"/>
        </w:rPr>
        <w:t>Subsection 2.4(e)</w:t>
      </w:r>
      <w:r>
        <w:rPr>
          <w:rFonts w:ascii="Arial" w:cs="Arial" w:eastAsia="Arial" w:hAnsi="Arial"/>
          <w:sz w:val="19"/>
          <w:szCs w:val="19"/>
          <w:color w:val="auto"/>
        </w:rPr>
        <w:t xml:space="preserve">) enter into an underwriting agreement in customary form with the underwriter(s) selected for such underwriting. Notwithstanding any other provision of this </w:t>
      </w:r>
      <w:r>
        <w:rPr>
          <w:rFonts w:ascii="Arial" w:cs="Arial" w:eastAsia="Arial" w:hAnsi="Arial"/>
          <w:sz w:val="19"/>
          <w:szCs w:val="19"/>
          <w:u w:val="single" w:color="auto"/>
          <w:color w:val="auto"/>
        </w:rPr>
        <w:t>Subsection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2.3</w:t>
      </w:r>
      <w:r>
        <w:rPr>
          <w:rFonts w:ascii="Arial" w:cs="Arial" w:eastAsia="Arial" w:hAnsi="Arial"/>
          <w:sz w:val="19"/>
          <w:szCs w:val="19"/>
          <w:color w:val="auto"/>
        </w:rPr>
        <w:t xml:space="preserve">, if the managing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one hundred (100) shares.</w:t>
      </w:r>
    </w:p>
    <w:p>
      <w:pPr>
        <w:spacing w:after="0" w:line="109" w:lineRule="exact"/>
        <w:rPr>
          <w:sz w:val="20"/>
          <w:szCs w:val="20"/>
          <w:color w:val="auto"/>
        </w:rPr>
      </w:pPr>
    </w:p>
    <w:p>
      <w:pPr>
        <w:jc w:val="both"/>
        <w:ind w:firstLine="1952"/>
        <w:spacing w:after="0" w:line="285" w:lineRule="auto"/>
        <w:tabs>
          <w:tab w:leader="none" w:pos="2460" w:val="left"/>
        </w:tabs>
        <w:numPr>
          <w:ilvl w:val="0"/>
          <w:numId w:val="198"/>
        </w:numPr>
        <w:rPr>
          <w:rFonts w:ascii="Arial" w:cs="Arial" w:eastAsia="Arial" w:hAnsi="Arial"/>
          <w:sz w:val="19"/>
          <w:szCs w:val="19"/>
          <w:color w:val="auto"/>
        </w:rPr>
      </w:pPr>
      <w:r>
        <w:rPr>
          <w:rFonts w:ascii="Arial" w:cs="Arial" w:eastAsia="Arial" w:hAnsi="Arial"/>
          <w:sz w:val="19"/>
          <w:szCs w:val="19"/>
          <w:color w:val="auto"/>
        </w:rPr>
        <w:t xml:space="preserve">In connection with any offering involving an underwriting of shares of the Company’s capital stock pursuant to </w:t>
      </w:r>
      <w:r>
        <w:rPr>
          <w:rFonts w:ascii="Arial" w:cs="Arial" w:eastAsia="Arial" w:hAnsi="Arial"/>
          <w:sz w:val="19"/>
          <w:szCs w:val="19"/>
          <w:u w:val="single" w:color="auto"/>
          <w:color w:val="auto"/>
        </w:rPr>
        <w:t>Subsection 2.2</w:t>
      </w:r>
      <w:r>
        <w:rPr>
          <w:rFonts w:ascii="Arial" w:cs="Arial" w:eastAsia="Arial" w:hAnsi="Arial"/>
          <w:sz w:val="19"/>
          <w:szCs w:val="19"/>
          <w:color w:val="auto"/>
        </w:rPr>
        <w:t>,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one hundred (100) shares. Notwithstanding the foregoing, in no event shall (i) the number of Registrable Securities included in the offering be reduced unless all other securities (other than securities to be sold by the Company) are first entirely excluded from the offering, (ii) the number of Registrable Securities included in the offering be reduced below twenty-five percent (25%) of the total number of securities included in such offering, unless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266" w:name="page267"/>
    <w:bookmarkEnd w:id="266"/>
    <w:p>
      <w:pPr>
        <w:jc w:val="both"/>
        <w:spacing w:after="0" w:line="258" w:lineRule="auto"/>
        <w:rPr>
          <w:sz w:val="20"/>
          <w:szCs w:val="20"/>
          <w:color w:val="auto"/>
        </w:rPr>
      </w:pPr>
      <w:r>
        <w:rPr>
          <w:rFonts w:ascii="Arial" w:cs="Arial" w:eastAsia="Arial" w:hAnsi="Arial"/>
          <w:sz w:val="21"/>
          <w:szCs w:val="21"/>
          <w:color w:val="auto"/>
        </w:rPr>
        <w:t xml:space="preserve">offering is the IPO, in which case the selling Holders may be excluded further if the underwriters make the determination described above and no other stockholder’s securities are included in such offering or (iii) notwithstanding (ii) above, any Registrable Securities which are not Key Holder Registrable Securities be excluded from such underwriting unless all Key Holder Registrable Securities are first excluded from such offering. For purposes of the provision in this </w:t>
      </w:r>
      <w:r>
        <w:rPr>
          <w:rFonts w:ascii="Arial" w:cs="Arial" w:eastAsia="Arial" w:hAnsi="Arial"/>
          <w:sz w:val="21"/>
          <w:szCs w:val="21"/>
          <w:u w:val="single" w:color="auto"/>
          <w:color w:val="auto"/>
        </w:rPr>
        <w:t>Subsection 2.3(b)</w:t>
      </w:r>
      <w:r>
        <w:rPr>
          <w:rFonts w:ascii="Arial" w:cs="Arial" w:eastAsia="Arial" w:hAnsi="Arial"/>
          <w:sz w:val="21"/>
          <w:szCs w:val="21"/>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131" w:lineRule="exact"/>
        <w:rPr>
          <w:sz w:val="20"/>
          <w:szCs w:val="20"/>
          <w:color w:val="auto"/>
        </w:rPr>
      </w:pPr>
    </w:p>
    <w:p>
      <w:pPr>
        <w:jc w:val="both"/>
        <w:ind w:firstLine="1952"/>
        <w:spacing w:after="0" w:line="312" w:lineRule="auto"/>
        <w:tabs>
          <w:tab w:leader="none" w:pos="2454" w:val="left"/>
        </w:tabs>
        <w:numPr>
          <w:ilvl w:val="0"/>
          <w:numId w:val="199"/>
        </w:numPr>
        <w:rPr>
          <w:rFonts w:ascii="Arial" w:cs="Arial" w:eastAsia="Arial" w:hAnsi="Arial"/>
          <w:sz w:val="19"/>
          <w:szCs w:val="19"/>
          <w:color w:val="auto"/>
        </w:rPr>
      </w:pPr>
      <w:r>
        <w:rPr>
          <w:rFonts w:ascii="Arial" w:cs="Arial" w:eastAsia="Arial" w:hAnsi="Arial"/>
          <w:sz w:val="19"/>
          <w:szCs w:val="19"/>
          <w:color w:val="auto"/>
        </w:rPr>
        <w:t xml:space="preserve">For purposes of </w:t>
      </w:r>
      <w:r>
        <w:rPr>
          <w:rFonts w:ascii="Arial" w:cs="Arial" w:eastAsia="Arial" w:hAnsi="Arial"/>
          <w:sz w:val="19"/>
          <w:szCs w:val="19"/>
          <w:u w:val="single" w:color="auto"/>
          <w:color w:val="auto"/>
        </w:rPr>
        <w:t>Subsection 2.1</w:t>
      </w:r>
      <w:r>
        <w:rPr>
          <w:rFonts w:ascii="Arial" w:cs="Arial" w:eastAsia="Arial" w:hAnsi="Arial"/>
          <w:sz w:val="19"/>
          <w:szCs w:val="19"/>
          <w:color w:val="auto"/>
        </w:rPr>
        <w:t xml:space="preserve">, a registration shall not be counted as “effected” if, as a result of an exercise of the underwriter’s cutback provisions in </w:t>
      </w:r>
      <w:r>
        <w:rPr>
          <w:rFonts w:ascii="Arial" w:cs="Arial" w:eastAsia="Arial" w:hAnsi="Arial"/>
          <w:sz w:val="19"/>
          <w:szCs w:val="19"/>
          <w:u w:val="single" w:color="auto"/>
          <w:color w:val="auto"/>
        </w:rPr>
        <w:t>Subsection 2.3(a)</w:t>
      </w:r>
      <w:r>
        <w:rPr>
          <w:rFonts w:ascii="Arial" w:cs="Arial" w:eastAsia="Arial" w:hAnsi="Arial"/>
          <w:sz w:val="19"/>
          <w:szCs w:val="19"/>
          <w:color w:val="auto"/>
        </w:rPr>
        <w:t>, fewer than fifty percent (50%) of the total number of Registrable Securities that Holders have requested to be included in such registration statement are actually included.</w:t>
      </w:r>
    </w:p>
    <w:p>
      <w:pPr>
        <w:spacing w:after="0" w:line="7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21"/>
          <w:szCs w:val="21"/>
          <w:u w:val="single" w:color="auto"/>
          <w:color w:val="auto"/>
        </w:rPr>
        <w:t>Obligations of the Company</w:t>
      </w:r>
      <w:r>
        <w:rPr>
          <w:rFonts w:ascii="Arial" w:cs="Arial" w:eastAsia="Arial" w:hAnsi="Arial"/>
          <w:sz w:val="21"/>
          <w:szCs w:val="21"/>
          <w:color w:val="auto"/>
        </w:rPr>
        <w:t>. Whenever required under this</w:t>
      </w:r>
      <w:r>
        <w:rPr>
          <w:rFonts w:ascii="Arial" w:cs="Arial" w:eastAsia="Arial" w:hAnsi="Arial"/>
          <w:sz w:val="21"/>
          <w:szCs w:val="21"/>
          <w:u w:val="single" w:color="auto"/>
          <w:color w:val="auto"/>
        </w:rPr>
        <w:t xml:space="preserve"> Section 2 </w:t>
      </w:r>
      <w:r>
        <w:rPr>
          <w:rFonts w:ascii="Arial" w:cs="Arial" w:eastAsia="Arial" w:hAnsi="Arial"/>
          <w:sz w:val="21"/>
          <w:szCs w:val="21"/>
          <w:color w:val="auto"/>
        </w:rPr>
        <w:t>to effect the registration of any</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Registrable Securities, the Company shall, as expeditiously as reasonably possible:</w:t>
      </w:r>
    </w:p>
    <w:p>
      <w:pPr>
        <w:spacing w:after="0" w:line="148" w:lineRule="exact"/>
        <w:rPr>
          <w:sz w:val="20"/>
          <w:szCs w:val="20"/>
          <w:color w:val="auto"/>
        </w:rPr>
      </w:pPr>
    </w:p>
    <w:p>
      <w:pPr>
        <w:jc w:val="both"/>
        <w:ind w:firstLine="1952"/>
        <w:spacing w:after="0" w:line="258" w:lineRule="auto"/>
        <w:tabs>
          <w:tab w:leader="none" w:pos="2422" w:val="left"/>
        </w:tabs>
        <w:numPr>
          <w:ilvl w:val="0"/>
          <w:numId w:val="200"/>
        </w:numPr>
        <w:rPr>
          <w:rFonts w:ascii="Arial" w:cs="Arial" w:eastAsia="Arial" w:hAnsi="Arial"/>
          <w:sz w:val="21"/>
          <w:szCs w:val="21"/>
          <w:color w:val="auto"/>
        </w:rPr>
      </w:pPr>
      <w:r>
        <w:rPr>
          <w:rFonts w:ascii="Arial" w:cs="Arial" w:eastAsia="Arial" w:hAnsi="Arial"/>
          <w:sz w:val="21"/>
          <w:szCs w:val="21"/>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 such one hundred twenty (120) day period shall be extended for a period of time equal to the period the Holder refrains, at the request of an underwriter of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one hundred twenty (120) day period shall be extended for up to sixty (60) days, if necessary, to keep the registration statement effective until all such Registrable Securities are sold;</w:t>
      </w:r>
    </w:p>
    <w:p>
      <w:pPr>
        <w:spacing w:after="0" w:line="131" w:lineRule="exact"/>
        <w:rPr>
          <w:rFonts w:ascii="Arial" w:cs="Arial" w:eastAsia="Arial" w:hAnsi="Arial"/>
          <w:sz w:val="21"/>
          <w:szCs w:val="21"/>
          <w:color w:val="auto"/>
        </w:rPr>
      </w:pPr>
    </w:p>
    <w:p>
      <w:pPr>
        <w:jc w:val="both"/>
        <w:ind w:firstLine="1952"/>
        <w:spacing w:after="0" w:line="253" w:lineRule="auto"/>
        <w:tabs>
          <w:tab w:leader="none" w:pos="2445" w:val="left"/>
        </w:tabs>
        <w:numPr>
          <w:ilvl w:val="0"/>
          <w:numId w:val="200"/>
        </w:numPr>
        <w:rPr>
          <w:rFonts w:ascii="Arial" w:cs="Arial" w:eastAsia="Arial" w:hAnsi="Arial"/>
          <w:sz w:val="22"/>
          <w:szCs w:val="22"/>
          <w:color w:val="auto"/>
        </w:rPr>
      </w:pPr>
      <w:r>
        <w:rPr>
          <w:rFonts w:ascii="Arial" w:cs="Arial" w:eastAsia="Arial" w:hAnsi="Arial"/>
          <w:sz w:val="22"/>
          <w:szCs w:val="22"/>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131" w:lineRule="exact"/>
        <w:rPr>
          <w:rFonts w:ascii="Arial" w:cs="Arial" w:eastAsia="Arial" w:hAnsi="Arial"/>
          <w:sz w:val="22"/>
          <w:szCs w:val="22"/>
          <w:color w:val="auto"/>
        </w:rPr>
      </w:pPr>
    </w:p>
    <w:p>
      <w:pPr>
        <w:ind w:right="20" w:firstLine="1952"/>
        <w:spacing w:after="0" w:line="263" w:lineRule="auto"/>
        <w:tabs>
          <w:tab w:leader="none" w:pos="2559" w:val="left"/>
        </w:tabs>
        <w:numPr>
          <w:ilvl w:val="0"/>
          <w:numId w:val="200"/>
        </w:numPr>
        <w:rPr>
          <w:rFonts w:ascii="Arial" w:cs="Arial" w:eastAsia="Arial" w:hAnsi="Arial"/>
          <w:sz w:val="22"/>
          <w:szCs w:val="22"/>
          <w:color w:val="auto"/>
        </w:rPr>
      </w:pPr>
      <w:r>
        <w:rPr>
          <w:rFonts w:ascii="Arial" w:cs="Arial" w:eastAsia="Arial" w:hAnsi="Arial"/>
          <w:sz w:val="22"/>
          <w:szCs w:val="22"/>
          <w:color w:val="auto"/>
        </w:rPr>
        <w:t>furnish to the selling Holders such numbers of copies of a prospectus, including a preliminary prospectus, as required by the Securities Act, and such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267" w:name="page268"/>
    <w:bookmarkEnd w:id="267"/>
    <w:p>
      <w:pPr>
        <w:spacing w:after="0"/>
        <w:rPr>
          <w:sz w:val="20"/>
          <w:szCs w:val="20"/>
          <w:color w:val="auto"/>
        </w:rPr>
      </w:pPr>
      <w:r>
        <w:rPr>
          <w:rFonts w:ascii="Arial" w:cs="Arial" w:eastAsia="Arial" w:hAnsi="Arial"/>
          <w:sz w:val="21"/>
          <w:szCs w:val="21"/>
          <w:color w:val="auto"/>
        </w:rPr>
        <w:t>documents as the Holders may reasonably request in order to facilitate their disposition of their Registrable Securities;</w:t>
      </w:r>
    </w:p>
    <w:p>
      <w:pPr>
        <w:spacing w:after="0" w:line="177" w:lineRule="exact"/>
        <w:rPr>
          <w:sz w:val="20"/>
          <w:szCs w:val="20"/>
          <w:color w:val="auto"/>
        </w:rPr>
      </w:pPr>
    </w:p>
    <w:p>
      <w:pPr>
        <w:jc w:val="both"/>
        <w:ind w:firstLine="1952"/>
        <w:spacing w:after="0" w:line="248" w:lineRule="auto"/>
        <w:tabs>
          <w:tab w:leader="none" w:pos="2609" w:val="left"/>
        </w:tabs>
        <w:numPr>
          <w:ilvl w:val="0"/>
          <w:numId w:val="201"/>
        </w:numPr>
        <w:rPr>
          <w:rFonts w:ascii="Arial" w:cs="Arial" w:eastAsia="Arial" w:hAnsi="Arial"/>
          <w:sz w:val="22"/>
          <w:szCs w:val="22"/>
          <w:color w:val="auto"/>
        </w:rPr>
      </w:pPr>
      <w:r>
        <w:rPr>
          <w:rFonts w:ascii="Arial" w:cs="Arial" w:eastAsia="Arial" w:hAnsi="Arial"/>
          <w:sz w:val="22"/>
          <w:szCs w:val="22"/>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37" w:lineRule="exact"/>
        <w:rPr>
          <w:rFonts w:ascii="Arial" w:cs="Arial" w:eastAsia="Arial" w:hAnsi="Arial"/>
          <w:sz w:val="22"/>
          <w:szCs w:val="22"/>
          <w:color w:val="auto"/>
        </w:rPr>
      </w:pPr>
    </w:p>
    <w:p>
      <w:pPr>
        <w:ind w:right="20" w:firstLine="1952"/>
        <w:spacing w:after="0" w:line="263" w:lineRule="auto"/>
        <w:tabs>
          <w:tab w:leader="none" w:pos="2525" w:val="left"/>
        </w:tabs>
        <w:numPr>
          <w:ilvl w:val="0"/>
          <w:numId w:val="201"/>
        </w:numPr>
        <w:rPr>
          <w:rFonts w:ascii="Arial" w:cs="Arial" w:eastAsia="Arial" w:hAnsi="Arial"/>
          <w:sz w:val="22"/>
          <w:szCs w:val="22"/>
          <w:color w:val="auto"/>
        </w:rPr>
      </w:pPr>
      <w:r>
        <w:rPr>
          <w:rFonts w:ascii="Arial" w:cs="Arial" w:eastAsia="Arial" w:hAnsi="Arial"/>
          <w:sz w:val="22"/>
          <w:szCs w:val="22"/>
          <w:color w:val="auto"/>
        </w:rPr>
        <w:t>in the event of any underwritten public offering, enter into and perform its obligations under an underwriting agreement, in usual and customary form, with the underwriter(s) of such offering;</w:t>
      </w:r>
    </w:p>
    <w:p>
      <w:pPr>
        <w:spacing w:after="0" w:line="120" w:lineRule="exact"/>
        <w:rPr>
          <w:rFonts w:ascii="Arial" w:cs="Arial" w:eastAsia="Arial" w:hAnsi="Arial"/>
          <w:sz w:val="22"/>
          <w:szCs w:val="22"/>
          <w:color w:val="auto"/>
        </w:rPr>
      </w:pPr>
    </w:p>
    <w:p>
      <w:pPr>
        <w:jc w:val="both"/>
        <w:ind w:firstLine="1952"/>
        <w:spacing w:after="0" w:line="253" w:lineRule="auto"/>
        <w:tabs>
          <w:tab w:leader="none" w:pos="2516" w:val="left"/>
        </w:tabs>
        <w:numPr>
          <w:ilvl w:val="0"/>
          <w:numId w:val="201"/>
        </w:numPr>
        <w:rPr>
          <w:rFonts w:ascii="Arial" w:cs="Arial" w:eastAsia="Arial" w:hAnsi="Arial"/>
          <w:sz w:val="22"/>
          <w:szCs w:val="22"/>
          <w:color w:val="auto"/>
        </w:rPr>
      </w:pPr>
      <w:r>
        <w:rPr>
          <w:rFonts w:ascii="Arial" w:cs="Arial" w:eastAsia="Arial" w:hAnsi="Arial"/>
          <w:sz w:val="22"/>
          <w:szCs w:val="22"/>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131" w:lineRule="exact"/>
        <w:rPr>
          <w:rFonts w:ascii="Arial" w:cs="Arial" w:eastAsia="Arial" w:hAnsi="Arial"/>
          <w:sz w:val="22"/>
          <w:szCs w:val="22"/>
          <w:color w:val="auto"/>
        </w:rPr>
      </w:pPr>
    </w:p>
    <w:p>
      <w:pPr>
        <w:jc w:val="both"/>
        <w:ind w:firstLine="1952"/>
        <w:spacing w:after="0" w:line="253" w:lineRule="auto"/>
        <w:tabs>
          <w:tab w:leader="none" w:pos="2606" w:val="left"/>
        </w:tabs>
        <w:numPr>
          <w:ilvl w:val="0"/>
          <w:numId w:val="201"/>
        </w:numPr>
        <w:rPr>
          <w:rFonts w:ascii="Arial" w:cs="Arial" w:eastAsia="Arial" w:hAnsi="Arial"/>
          <w:sz w:val="22"/>
          <w:szCs w:val="22"/>
          <w:color w:val="auto"/>
        </w:rPr>
      </w:pPr>
      <w:r>
        <w:rPr>
          <w:rFonts w:ascii="Arial" w:cs="Arial" w:eastAsia="Arial" w:hAnsi="Arial"/>
          <w:sz w:val="22"/>
          <w:szCs w:val="22"/>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131" w:lineRule="exact"/>
        <w:rPr>
          <w:rFonts w:ascii="Arial" w:cs="Arial" w:eastAsia="Arial" w:hAnsi="Arial"/>
          <w:sz w:val="22"/>
          <w:szCs w:val="22"/>
          <w:color w:val="auto"/>
        </w:rPr>
      </w:pPr>
    </w:p>
    <w:p>
      <w:pPr>
        <w:jc w:val="both"/>
        <w:ind w:firstLine="1952"/>
        <w:spacing w:after="0" w:line="246" w:lineRule="auto"/>
        <w:tabs>
          <w:tab w:leader="none" w:pos="2639" w:val="left"/>
        </w:tabs>
        <w:numPr>
          <w:ilvl w:val="0"/>
          <w:numId w:val="201"/>
        </w:numPr>
        <w:rPr>
          <w:rFonts w:ascii="Arial" w:cs="Arial" w:eastAsia="Arial" w:hAnsi="Arial"/>
          <w:sz w:val="22"/>
          <w:szCs w:val="22"/>
          <w:color w:val="auto"/>
        </w:rPr>
      </w:pPr>
      <w:r>
        <w:rPr>
          <w:rFonts w:ascii="Arial" w:cs="Arial" w:eastAsia="Arial" w:hAnsi="Arial"/>
          <w:sz w:val="22"/>
          <w:szCs w:val="22"/>
          <w:color w:val="auto"/>
        </w:rPr>
        <w:t>promptly make available for inspection by the selling Holders, any managing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142" w:lineRule="exact"/>
        <w:rPr>
          <w:rFonts w:ascii="Arial" w:cs="Arial" w:eastAsia="Arial" w:hAnsi="Arial"/>
          <w:sz w:val="22"/>
          <w:szCs w:val="22"/>
          <w:color w:val="auto"/>
        </w:rPr>
      </w:pPr>
    </w:p>
    <w:p>
      <w:pPr>
        <w:jc w:val="both"/>
        <w:ind w:firstLine="1952"/>
        <w:spacing w:after="0" w:line="253" w:lineRule="auto"/>
        <w:tabs>
          <w:tab w:leader="none" w:pos="2372" w:val="left"/>
        </w:tabs>
        <w:numPr>
          <w:ilvl w:val="0"/>
          <w:numId w:val="201"/>
        </w:numPr>
        <w:rPr>
          <w:rFonts w:ascii="Arial" w:cs="Arial" w:eastAsia="Arial" w:hAnsi="Arial"/>
          <w:sz w:val="22"/>
          <w:szCs w:val="22"/>
          <w:color w:val="auto"/>
        </w:rPr>
      </w:pPr>
      <w:r>
        <w:rPr>
          <w:rFonts w:ascii="Arial" w:cs="Arial" w:eastAsia="Arial" w:hAnsi="Arial"/>
          <w:sz w:val="22"/>
          <w:szCs w:val="22"/>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131" w:lineRule="exact"/>
        <w:rPr>
          <w:rFonts w:ascii="Arial" w:cs="Arial" w:eastAsia="Arial" w:hAnsi="Arial"/>
          <w:sz w:val="22"/>
          <w:szCs w:val="22"/>
          <w:color w:val="auto"/>
        </w:rPr>
      </w:pPr>
    </w:p>
    <w:p>
      <w:pPr>
        <w:ind w:firstLine="1952"/>
        <w:spacing w:after="0" w:line="263" w:lineRule="auto"/>
        <w:tabs>
          <w:tab w:leader="none" w:pos="2421" w:val="left"/>
        </w:tabs>
        <w:numPr>
          <w:ilvl w:val="0"/>
          <w:numId w:val="201"/>
        </w:numPr>
        <w:rPr>
          <w:rFonts w:ascii="Arial" w:cs="Arial" w:eastAsia="Arial" w:hAnsi="Arial"/>
          <w:sz w:val="22"/>
          <w:szCs w:val="22"/>
          <w:color w:val="auto"/>
        </w:rPr>
      </w:pPr>
      <w:r>
        <w:rPr>
          <w:rFonts w:ascii="Arial" w:cs="Arial" w:eastAsia="Arial" w:hAnsi="Arial"/>
          <w:sz w:val="22"/>
          <w:szCs w:val="22"/>
          <w:color w:val="auto"/>
        </w:rPr>
        <w:t>after such registration statement becomes effective, notify each selling Holder of any request by the SEC that the Company amend or supplement such registration statement or prospectus.</w:t>
      </w:r>
    </w:p>
    <w:p>
      <w:pPr>
        <w:spacing w:after="0" w:line="121"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color w:val="auto"/>
        </w:rPr>
        <w:t>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8" w:right="339" w:bottom="1440" w:gutter="0" w:footer="0" w:header="0"/>
        </w:sectPr>
      </w:pPr>
    </w:p>
    <w:bookmarkStart w:id="268" w:name="page269"/>
    <w:bookmarkEnd w:id="268"/>
    <w:p>
      <w:pPr>
        <w:jc w:val="both"/>
        <w:ind w:firstLine="1296"/>
        <w:spacing w:after="0" w:line="302" w:lineRule="auto"/>
        <w:rPr>
          <w:sz w:val="20"/>
          <w:szCs w:val="20"/>
          <w:color w:val="auto"/>
        </w:rPr>
      </w:pPr>
      <w:r>
        <w:rPr>
          <w:rFonts w:ascii="Arial" w:cs="Arial" w:eastAsia="Arial" w:hAnsi="Arial"/>
          <w:sz w:val="19"/>
          <w:szCs w:val="19"/>
          <w:color w:val="auto"/>
        </w:rPr>
        <w:t xml:space="preserve">2.5 </w:t>
      </w:r>
      <w:r>
        <w:rPr>
          <w:rFonts w:ascii="Arial" w:cs="Arial" w:eastAsia="Arial" w:hAnsi="Arial"/>
          <w:sz w:val="19"/>
          <w:szCs w:val="19"/>
          <w:u w:val="single" w:color="auto"/>
          <w:color w:val="auto"/>
        </w:rPr>
        <w:t>Furnish Information</w:t>
      </w:r>
      <w:r>
        <w:rPr>
          <w:rFonts w:ascii="Arial" w:cs="Arial" w:eastAsia="Arial" w:hAnsi="Arial"/>
          <w:sz w:val="19"/>
          <w:szCs w:val="19"/>
          <w:color w:val="auto"/>
        </w:rPr>
        <w:t xml:space="preserve">. It shall be a condition precedent to the obligations of the Company to take any action pursuant to this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88"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Expenses of Registration</w:t>
      </w:r>
      <w:r>
        <w:rPr>
          <w:rFonts w:ascii="Arial" w:cs="Arial" w:eastAsia="Arial" w:hAnsi="Arial"/>
          <w:sz w:val="19"/>
          <w:szCs w:val="19"/>
          <w:color w:val="auto"/>
        </w:rPr>
        <w:t xml:space="preserve">. All expenses (other than Selling Expenses) incurred in connection with registrations, filings, or qualifications pursuant to </w:t>
      </w:r>
      <w:r>
        <w:rPr>
          <w:rFonts w:ascii="Arial" w:cs="Arial" w:eastAsia="Arial" w:hAnsi="Arial"/>
          <w:sz w:val="19"/>
          <w:szCs w:val="19"/>
          <w:u w:val="single" w:color="auto"/>
          <w:color w:val="auto"/>
        </w:rPr>
        <w:t>Section 2</w:t>
      </w:r>
      <w:r>
        <w:rPr>
          <w:rFonts w:ascii="Arial" w:cs="Arial" w:eastAsia="Arial" w:hAnsi="Arial"/>
          <w:sz w:val="19"/>
          <w:szCs w:val="19"/>
          <w:color w:val="auto"/>
        </w:rPr>
        <w:t>, including all registration, filing, and qualification fees; printers’ and accounting fees; fees and disbursements of counsel for the Company; and the reasonable fees and disbursements of one counsel for the selling Holders (“</w:t>
      </w:r>
      <w:r>
        <w:rPr>
          <w:rFonts w:ascii="Arial" w:cs="Arial" w:eastAsia="Arial" w:hAnsi="Arial"/>
          <w:sz w:val="19"/>
          <w:szCs w:val="19"/>
          <w:b w:val="1"/>
          <w:bCs w:val="1"/>
          <w:color w:val="auto"/>
        </w:rPr>
        <w:t>Selling Holder Counsel</w:t>
      </w:r>
      <w:r>
        <w:rPr>
          <w:rFonts w:ascii="Arial" w:cs="Arial" w:eastAsia="Arial" w:hAnsi="Arial"/>
          <w:sz w:val="19"/>
          <w:szCs w:val="19"/>
          <w:color w:val="auto"/>
        </w:rPr>
        <w:t xml:space="preserve">”), shall be borne and paid by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Company shall not be required to pay for any expenses of any registration proceeding begun pursuant to </w:t>
      </w:r>
      <w:r>
        <w:rPr>
          <w:rFonts w:ascii="Arial" w:cs="Arial" w:eastAsia="Arial" w:hAnsi="Arial"/>
          <w:sz w:val="19"/>
          <w:szCs w:val="19"/>
          <w:u w:val="single" w:color="auto"/>
          <w:color w:val="auto"/>
        </w:rPr>
        <w:t>Subsection 2.1</w:t>
      </w:r>
      <w:r>
        <w:rPr>
          <w:rFonts w:ascii="Arial" w:cs="Arial" w:eastAsia="Arial" w:hAnsi="Arial"/>
          <w:sz w:val="19"/>
          <w:szCs w:val="19"/>
          <w:color w:val="auto"/>
        </w:rPr>
        <w:t xml:space="preserve">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Arial" w:cs="Arial" w:eastAsia="Arial" w:hAnsi="Arial"/>
          <w:sz w:val="19"/>
          <w:szCs w:val="19"/>
          <w:u w:val="single" w:color="auto"/>
          <w:color w:val="auto"/>
        </w:rPr>
        <w:t>Subsections 2.1(a)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2.1(b)</w:t>
      </w:r>
      <w:r>
        <w:rPr>
          <w:rFonts w:ascii="Arial" w:cs="Arial" w:eastAsia="Arial" w:hAnsi="Arial"/>
          <w:sz w:val="19"/>
          <w:szCs w:val="19"/>
          <w:color w:val="auto"/>
        </w:rPr>
        <w:t xml:space="preserve">, as the case may be. All Selling Expenses relating to Registrable Securities registered pursuant to this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shall be borne and paid by the Holders pro rata on the basis of the number of Registrable Securities registered on their behalf.</w:t>
      </w:r>
    </w:p>
    <w:p>
      <w:pPr>
        <w:spacing w:after="0" w:line="109"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2.7 </w:t>
      </w:r>
      <w:r>
        <w:rPr>
          <w:rFonts w:ascii="Arial" w:cs="Arial" w:eastAsia="Arial" w:hAnsi="Arial"/>
          <w:sz w:val="22"/>
          <w:szCs w:val="22"/>
          <w:u w:val="single" w:color="auto"/>
          <w:color w:val="auto"/>
        </w:rPr>
        <w:t>Delay of Registration</w:t>
      </w:r>
      <w:r>
        <w:rPr>
          <w:rFonts w:ascii="Arial" w:cs="Arial" w:eastAsia="Arial" w:hAnsi="Arial"/>
          <w:sz w:val="22"/>
          <w:szCs w:val="22"/>
          <w:color w:val="auto"/>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Arial" w:cs="Arial" w:eastAsia="Arial" w:hAnsi="Arial"/>
          <w:sz w:val="22"/>
          <w:szCs w:val="22"/>
          <w:u w:val="single" w:color="auto"/>
          <w:color w:val="auto"/>
        </w:rPr>
        <w:t>Section 2</w:t>
      </w:r>
      <w:r>
        <w:rPr>
          <w:rFonts w:ascii="Arial" w:cs="Arial" w:eastAsia="Arial" w:hAnsi="Arial"/>
          <w:sz w:val="22"/>
          <w:szCs w:val="22"/>
          <w:color w:val="auto"/>
        </w:rPr>
        <w:t>.</w:t>
      </w:r>
    </w:p>
    <w:p>
      <w:pPr>
        <w:spacing w:after="0" w:line="131" w:lineRule="exact"/>
        <w:rPr>
          <w:sz w:val="20"/>
          <w:szCs w:val="20"/>
          <w:color w:val="auto"/>
        </w:rPr>
      </w:pPr>
    </w:p>
    <w:p>
      <w:pPr>
        <w:ind w:left="1300"/>
        <w:spacing w:after="0"/>
        <w:tabs>
          <w:tab w:leader="none" w:pos="1780" w:val="left"/>
          <w:tab w:leader="none" w:pos="342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22"/>
          <w:szCs w:val="22"/>
          <w:u w:val="single" w:color="auto"/>
          <w:color w:val="auto"/>
        </w:rPr>
        <w:t>Indemnification</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 xml:space="preserve">If any Registrable Securities are included in a registration statement under this </w:t>
      </w:r>
      <w:r>
        <w:rPr>
          <w:rFonts w:ascii="Arial" w:cs="Arial" w:eastAsia="Arial" w:hAnsi="Arial"/>
          <w:sz w:val="19"/>
          <w:szCs w:val="19"/>
          <w:u w:val="single" w:color="auto"/>
          <w:color w:val="auto"/>
        </w:rPr>
        <w:t>Section 2</w:t>
      </w:r>
      <w:r>
        <w:rPr>
          <w:rFonts w:ascii="Arial" w:cs="Arial" w:eastAsia="Arial" w:hAnsi="Arial"/>
          <w:sz w:val="19"/>
          <w:szCs w:val="19"/>
          <w:color w:val="auto"/>
        </w:rPr>
        <w:t>:</w:t>
      </w:r>
    </w:p>
    <w:p>
      <w:pPr>
        <w:spacing w:after="0" w:line="166" w:lineRule="exact"/>
        <w:rPr>
          <w:sz w:val="20"/>
          <w:szCs w:val="20"/>
          <w:color w:val="auto"/>
        </w:rPr>
      </w:pPr>
    </w:p>
    <w:p>
      <w:pPr>
        <w:jc w:val="both"/>
        <w:ind w:firstLine="1952"/>
        <w:spacing w:after="0" w:line="288" w:lineRule="auto"/>
        <w:tabs>
          <w:tab w:leader="none" w:pos="2438" w:val="left"/>
        </w:tabs>
        <w:numPr>
          <w:ilvl w:val="0"/>
          <w:numId w:val="202"/>
        </w:numPr>
        <w:rPr>
          <w:rFonts w:ascii="Arial" w:cs="Arial" w:eastAsia="Arial" w:hAnsi="Arial"/>
          <w:sz w:val="19"/>
          <w:szCs w:val="19"/>
          <w:color w:val="auto"/>
        </w:rPr>
      </w:pPr>
      <w:r>
        <w:rPr>
          <w:rFonts w:ascii="Arial" w:cs="Arial" w:eastAsia="Arial" w:hAnsi="Arial"/>
          <w:sz w:val="19"/>
          <w:szCs w:val="19"/>
          <w:color w:val="auto"/>
        </w:rPr>
        <w:t xml:space="preserve">To the extent permitted by law, the Company will indemnify and hold harmless each selling Holder, and the partners, members, officers, directors, and stockholders of each such Holder; legal counsel and accountants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indemnity agreement contained in this </w:t>
      </w:r>
      <w:r>
        <w:rPr>
          <w:rFonts w:ascii="Arial" w:cs="Arial" w:eastAsia="Arial" w:hAnsi="Arial"/>
          <w:sz w:val="19"/>
          <w:szCs w:val="19"/>
          <w:u w:val="single" w:color="auto"/>
          <w:color w:val="auto"/>
        </w:rPr>
        <w:t>Subsection 2.8(a)</w:t>
      </w:r>
      <w:r>
        <w:rPr>
          <w:rFonts w:ascii="Arial" w:cs="Arial" w:eastAsia="Arial" w:hAnsi="Arial"/>
          <w:sz w:val="19"/>
          <w:szCs w:val="19"/>
          <w:color w:val="auto"/>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269" w:name="page270"/>
    <w:bookmarkEnd w:id="269"/>
    <w:p>
      <w:pPr>
        <w:spacing w:after="0"/>
        <w:rPr>
          <w:sz w:val="20"/>
          <w:szCs w:val="20"/>
          <w:color w:val="auto"/>
        </w:rPr>
      </w:pPr>
      <w:r>
        <w:rPr>
          <w:rFonts w:ascii="Arial" w:cs="Arial" w:eastAsia="Arial" w:hAnsi="Arial"/>
          <w:sz w:val="19"/>
          <w:szCs w:val="19"/>
          <w:color w:val="auto"/>
        </w:rPr>
        <w:t>Holder, underwriter, controlling Person, or other aforementioned Person expressly for use in connection with such registration.</w:t>
      </w:r>
    </w:p>
    <w:p>
      <w:pPr>
        <w:spacing w:after="0" w:line="200" w:lineRule="exact"/>
        <w:rPr>
          <w:sz w:val="20"/>
          <w:szCs w:val="20"/>
          <w:color w:val="auto"/>
        </w:rPr>
      </w:pPr>
    </w:p>
    <w:p>
      <w:pPr>
        <w:jc w:val="both"/>
        <w:ind w:firstLine="1952"/>
        <w:spacing w:after="0" w:line="286" w:lineRule="auto"/>
        <w:tabs>
          <w:tab w:leader="none" w:pos="2413" w:val="left"/>
        </w:tabs>
        <w:numPr>
          <w:ilvl w:val="0"/>
          <w:numId w:val="203"/>
        </w:numPr>
        <w:rPr>
          <w:rFonts w:ascii="Arial" w:cs="Arial" w:eastAsia="Arial" w:hAnsi="Arial"/>
          <w:sz w:val="19"/>
          <w:szCs w:val="19"/>
          <w:color w:val="auto"/>
        </w:rPr>
      </w:pPr>
      <w:r>
        <w:rPr>
          <w:rFonts w:ascii="Arial" w:cs="Arial" w:eastAsia="Arial" w:hAnsi="Arial"/>
          <w:sz w:val="19"/>
          <w:szCs w:val="19"/>
          <w:color w:val="auto"/>
        </w:rPr>
        <w:t xml:space="preserve">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indemnity agreement contained in this </w:t>
      </w:r>
      <w:r>
        <w:rPr>
          <w:rFonts w:ascii="Arial" w:cs="Arial" w:eastAsia="Arial" w:hAnsi="Arial"/>
          <w:sz w:val="19"/>
          <w:szCs w:val="19"/>
          <w:u w:val="single" w:color="auto"/>
          <w:color w:val="auto"/>
        </w:rPr>
        <w:t>Subsection 2.8(b)</w:t>
      </w:r>
      <w:r>
        <w:rPr>
          <w:rFonts w:ascii="Arial" w:cs="Arial" w:eastAsia="Arial" w:hAnsi="Arial"/>
          <w:sz w:val="19"/>
          <w:szCs w:val="19"/>
          <w:color w:val="auto"/>
        </w:rPr>
        <w:t xml:space="preserve"> shall not apply to amounts paid in settlement of any such claim or proceeding if such settlement is effected without the consent of the Holder, which consent shall not be unreasonably withheld;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in no event shall the aggregate amounts payable by any Holder by way of indemnity or contribution under </w:t>
      </w:r>
      <w:r>
        <w:rPr>
          <w:rFonts w:ascii="Arial" w:cs="Arial" w:eastAsia="Arial" w:hAnsi="Arial"/>
          <w:sz w:val="19"/>
          <w:szCs w:val="19"/>
          <w:u w:val="single" w:color="auto"/>
          <w:color w:val="auto"/>
        </w:rPr>
        <w:t>Subsections 2.8(b)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2.8(d)</w:t>
      </w:r>
      <w:r>
        <w:rPr>
          <w:rFonts w:ascii="Arial" w:cs="Arial" w:eastAsia="Arial" w:hAnsi="Arial"/>
          <w:sz w:val="19"/>
          <w:szCs w:val="19"/>
          <w:color w:val="auto"/>
        </w:rPr>
        <w:t xml:space="preserve"> exceed the proceeds from the offering received by such Holder (net of any Selling Expenses paid by such Holder), except in the case of fraud or willful misconduct by such Holder.</w:t>
      </w:r>
    </w:p>
    <w:p>
      <w:pPr>
        <w:spacing w:after="0" w:line="107" w:lineRule="exact"/>
        <w:rPr>
          <w:rFonts w:ascii="Arial" w:cs="Arial" w:eastAsia="Arial" w:hAnsi="Arial"/>
          <w:sz w:val="19"/>
          <w:szCs w:val="19"/>
          <w:color w:val="auto"/>
        </w:rPr>
      </w:pPr>
    </w:p>
    <w:p>
      <w:pPr>
        <w:jc w:val="both"/>
        <w:ind w:firstLine="1952"/>
        <w:spacing w:after="0" w:line="286" w:lineRule="auto"/>
        <w:tabs>
          <w:tab w:leader="none" w:pos="2666" w:val="left"/>
        </w:tabs>
        <w:numPr>
          <w:ilvl w:val="0"/>
          <w:numId w:val="203"/>
        </w:numPr>
        <w:rPr>
          <w:rFonts w:ascii="Arial" w:cs="Arial" w:eastAsia="Arial" w:hAnsi="Arial"/>
          <w:sz w:val="19"/>
          <w:szCs w:val="19"/>
          <w:color w:val="auto"/>
        </w:rPr>
      </w:pPr>
      <w:r>
        <w:rPr>
          <w:rFonts w:ascii="Arial" w:cs="Arial" w:eastAsia="Arial" w:hAnsi="Arial"/>
          <w:sz w:val="19"/>
          <w:szCs w:val="19"/>
          <w:color w:val="auto"/>
        </w:rPr>
        <w:t xml:space="preserve">Promptly after receipt by an indemnified party under this </w:t>
      </w:r>
      <w:r>
        <w:rPr>
          <w:rFonts w:ascii="Arial" w:cs="Arial" w:eastAsia="Arial" w:hAnsi="Arial"/>
          <w:sz w:val="19"/>
          <w:szCs w:val="19"/>
          <w:u w:val="single" w:color="auto"/>
          <w:color w:val="auto"/>
        </w:rPr>
        <w:t>Subsection 2.8</w:t>
      </w:r>
      <w:r>
        <w:rPr>
          <w:rFonts w:ascii="Arial" w:cs="Arial" w:eastAsia="Arial" w:hAnsi="Arial"/>
          <w:sz w:val="19"/>
          <w:szCs w:val="19"/>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Arial" w:cs="Arial" w:eastAsia="Arial" w:hAnsi="Arial"/>
          <w:sz w:val="19"/>
          <w:szCs w:val="19"/>
          <w:u w:val="single" w:color="auto"/>
          <w:color w:val="auto"/>
        </w:rPr>
        <w:t>Subsection 2.8</w:t>
      </w:r>
      <w:r>
        <w:rPr>
          <w:rFonts w:ascii="Arial" w:cs="Arial" w:eastAsia="Arial" w:hAnsi="Arial"/>
          <w:sz w:val="19"/>
          <w:szCs w:val="19"/>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w:t>
      </w:r>
      <w:r>
        <w:rPr>
          <w:rFonts w:ascii="Arial" w:cs="Arial" w:eastAsia="Arial" w:hAnsi="Arial"/>
          <w:sz w:val="19"/>
          <w:szCs w:val="19"/>
          <w:u w:val="single" w:color="auto"/>
          <w:color w:val="auto"/>
        </w:rPr>
        <w:t>Subsection 2.8</w:t>
      </w:r>
      <w:r>
        <w:rPr>
          <w:rFonts w:ascii="Arial" w:cs="Arial" w:eastAsia="Arial" w:hAnsi="Arial"/>
          <w:sz w:val="19"/>
          <w:szCs w:val="19"/>
          <w:color w:val="auto"/>
        </w:rPr>
        <w:t xml:space="preserve">,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Arial" w:cs="Arial" w:eastAsia="Arial" w:hAnsi="Arial"/>
          <w:sz w:val="19"/>
          <w:szCs w:val="19"/>
          <w:u w:val="single" w:color="auto"/>
          <w:color w:val="auto"/>
        </w:rPr>
        <w:t>Subsection 2.8</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270" w:name="page271"/>
    <w:bookmarkEnd w:id="270"/>
    <w:p>
      <w:pPr>
        <w:jc w:val="both"/>
        <w:ind w:firstLine="1952"/>
        <w:spacing w:after="0" w:line="284" w:lineRule="auto"/>
        <w:tabs>
          <w:tab w:leader="none" w:pos="2431" w:val="left"/>
        </w:tabs>
        <w:numPr>
          <w:ilvl w:val="0"/>
          <w:numId w:val="204"/>
        </w:numPr>
        <w:rPr>
          <w:rFonts w:ascii="Arial" w:cs="Arial" w:eastAsia="Arial" w:hAnsi="Arial"/>
          <w:sz w:val="19"/>
          <w:szCs w:val="19"/>
          <w:color w:val="auto"/>
        </w:rPr>
      </w:pPr>
      <w:r>
        <w:rPr>
          <w:rFonts w:ascii="Arial" w:cs="Arial" w:eastAsia="Arial" w:hAnsi="Arial"/>
          <w:sz w:val="19"/>
          <w:szCs w:val="19"/>
          <w:color w:val="auto"/>
        </w:rPr>
        <w:t xml:space="preserve">To provide for just and equitable contribution to joint liability under the Securities Act in any case in which either: (i) any party otherwise entitled to indemnification hereunder makes a claim for indemnification pursuant to this </w:t>
      </w:r>
      <w:r>
        <w:rPr>
          <w:rFonts w:ascii="Arial" w:cs="Arial" w:eastAsia="Arial" w:hAnsi="Arial"/>
          <w:sz w:val="19"/>
          <w:szCs w:val="19"/>
          <w:u w:val="single" w:color="auto"/>
          <w:color w:val="auto"/>
        </w:rPr>
        <w:t>Subsection 2.8</w:t>
      </w:r>
      <w:r>
        <w:rPr>
          <w:rFonts w:ascii="Arial" w:cs="Arial" w:eastAsia="Arial" w:hAnsi="Arial"/>
          <w:sz w:val="19"/>
          <w:szCs w:val="19"/>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9"/>
          <w:szCs w:val="19"/>
          <w:u w:val="single" w:color="auto"/>
          <w:color w:val="auto"/>
        </w:rPr>
        <w:t>Subsection 2.8</w:t>
      </w:r>
      <w:r>
        <w:rPr>
          <w:rFonts w:ascii="Arial" w:cs="Arial" w:eastAsia="Arial" w:hAnsi="Arial"/>
          <w:sz w:val="19"/>
          <w:szCs w:val="19"/>
          <w:color w:val="auto"/>
        </w:rPr>
        <w:t xml:space="preserve"> provides for indemnification in such case, or (ii) contribution under the Securities Act may be required on the part of any party hereto for which indemnification is provided under this </w:t>
      </w:r>
      <w:r>
        <w:rPr>
          <w:rFonts w:ascii="Arial" w:cs="Arial" w:eastAsia="Arial" w:hAnsi="Arial"/>
          <w:sz w:val="19"/>
          <w:szCs w:val="19"/>
          <w:u w:val="single" w:color="auto"/>
          <w:color w:val="auto"/>
        </w:rPr>
        <w:t>Subsection 2.8</w:t>
      </w:r>
      <w:r>
        <w:rPr>
          <w:rFonts w:ascii="Arial" w:cs="Arial" w:eastAsia="Arial" w:hAnsi="Arial"/>
          <w:sz w:val="19"/>
          <w:szCs w:val="19"/>
          <w:color w:val="auto"/>
        </w:rPr>
        <w:t xml:space="preserve">,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in no event shall a Holder’s liability pursuant to this </w:t>
      </w:r>
      <w:r>
        <w:rPr>
          <w:rFonts w:ascii="Arial" w:cs="Arial" w:eastAsia="Arial" w:hAnsi="Arial"/>
          <w:sz w:val="19"/>
          <w:szCs w:val="19"/>
          <w:u w:val="single" w:color="auto"/>
          <w:color w:val="auto"/>
        </w:rPr>
        <w:t>Subsection 2.8(d)</w:t>
      </w:r>
      <w:r>
        <w:rPr>
          <w:rFonts w:ascii="Arial" w:cs="Arial" w:eastAsia="Arial" w:hAnsi="Arial"/>
          <w:sz w:val="19"/>
          <w:szCs w:val="19"/>
          <w:color w:val="auto"/>
        </w:rPr>
        <w:t xml:space="preserve">, when combined with the amounts paid or payable by such Holder pursuant to </w:t>
      </w:r>
      <w:r>
        <w:rPr>
          <w:rFonts w:ascii="Arial" w:cs="Arial" w:eastAsia="Arial" w:hAnsi="Arial"/>
          <w:sz w:val="19"/>
          <w:szCs w:val="19"/>
          <w:u w:val="single" w:color="auto"/>
          <w:color w:val="auto"/>
        </w:rPr>
        <w:t>Subsection 2.8(b)</w:t>
      </w:r>
      <w:r>
        <w:rPr>
          <w:rFonts w:ascii="Arial" w:cs="Arial" w:eastAsia="Arial" w:hAnsi="Arial"/>
          <w:sz w:val="19"/>
          <w:szCs w:val="19"/>
          <w:color w:val="auto"/>
        </w:rPr>
        <w:t>, exceed the proceeds from the offering received by such Holder (net of any Selling Expenses paid by such Holder), except in the case of willful misconduct or fraud by such Holder.</w:t>
      </w:r>
    </w:p>
    <w:p>
      <w:pPr>
        <w:spacing w:after="0" w:line="377" w:lineRule="exact"/>
        <w:rPr>
          <w:rFonts w:ascii="Arial" w:cs="Arial" w:eastAsia="Arial" w:hAnsi="Arial"/>
          <w:sz w:val="19"/>
          <w:szCs w:val="19"/>
          <w:color w:val="auto"/>
        </w:rPr>
      </w:pPr>
    </w:p>
    <w:p>
      <w:pPr>
        <w:jc w:val="both"/>
        <w:ind w:firstLine="1952"/>
        <w:spacing w:after="0" w:line="253" w:lineRule="auto"/>
        <w:tabs>
          <w:tab w:leader="none" w:pos="2444" w:val="left"/>
        </w:tabs>
        <w:numPr>
          <w:ilvl w:val="0"/>
          <w:numId w:val="204"/>
        </w:numPr>
        <w:rPr>
          <w:rFonts w:ascii="Arial" w:cs="Arial" w:eastAsia="Arial" w:hAnsi="Arial"/>
          <w:sz w:val="22"/>
          <w:szCs w:val="22"/>
          <w:color w:val="auto"/>
        </w:rPr>
      </w:pPr>
      <w:r>
        <w:rPr>
          <w:rFonts w:ascii="Arial" w:cs="Arial" w:eastAsia="Arial" w:hAnsi="Arial"/>
          <w:sz w:val="22"/>
          <w:szCs w:val="22"/>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31" w:lineRule="exact"/>
        <w:rPr>
          <w:rFonts w:ascii="Arial" w:cs="Arial" w:eastAsia="Arial" w:hAnsi="Arial"/>
          <w:sz w:val="22"/>
          <w:szCs w:val="22"/>
          <w:color w:val="auto"/>
        </w:rPr>
      </w:pPr>
    </w:p>
    <w:p>
      <w:pPr>
        <w:jc w:val="both"/>
        <w:ind w:firstLine="1952"/>
        <w:spacing w:after="0" w:line="250" w:lineRule="auto"/>
        <w:tabs>
          <w:tab w:leader="none" w:pos="2538" w:val="left"/>
        </w:tabs>
        <w:numPr>
          <w:ilvl w:val="0"/>
          <w:numId w:val="204"/>
        </w:numPr>
        <w:rPr>
          <w:rFonts w:ascii="Arial" w:cs="Arial" w:eastAsia="Arial" w:hAnsi="Arial"/>
          <w:sz w:val="22"/>
          <w:szCs w:val="22"/>
          <w:color w:val="auto"/>
        </w:rPr>
      </w:pPr>
      <w:r>
        <w:rPr>
          <w:rFonts w:ascii="Arial" w:cs="Arial" w:eastAsia="Arial" w:hAnsi="Arial"/>
          <w:sz w:val="22"/>
          <w:szCs w:val="22"/>
          <w:color w:val="auto"/>
        </w:rPr>
        <w:t xml:space="preserve">Unless otherwise superseded by an underwriting agreement entered into in connection with the underwritten public offering, the obligations of the Company and Holders under this </w:t>
      </w:r>
      <w:r>
        <w:rPr>
          <w:rFonts w:ascii="Arial" w:cs="Arial" w:eastAsia="Arial" w:hAnsi="Arial"/>
          <w:sz w:val="22"/>
          <w:szCs w:val="22"/>
          <w:u w:val="single" w:color="auto"/>
          <w:color w:val="auto"/>
        </w:rPr>
        <w:t>Subsection 2.8</w:t>
      </w:r>
      <w:r>
        <w:rPr>
          <w:rFonts w:ascii="Arial" w:cs="Arial" w:eastAsia="Arial" w:hAnsi="Arial"/>
          <w:sz w:val="22"/>
          <w:szCs w:val="22"/>
          <w:color w:val="auto"/>
        </w:rPr>
        <w:t xml:space="preserve"> shall survive the completion of any offering of Registrable Securities in a registration under this </w:t>
      </w:r>
      <w:r>
        <w:rPr>
          <w:rFonts w:ascii="Arial" w:cs="Arial" w:eastAsia="Arial" w:hAnsi="Arial"/>
          <w:sz w:val="22"/>
          <w:szCs w:val="22"/>
          <w:u w:val="single" w:color="auto"/>
          <w:color w:val="auto"/>
        </w:rPr>
        <w:t>Section 2</w:t>
      </w:r>
      <w:r>
        <w:rPr>
          <w:rFonts w:ascii="Arial" w:cs="Arial" w:eastAsia="Arial" w:hAnsi="Arial"/>
          <w:sz w:val="22"/>
          <w:szCs w:val="22"/>
          <w:color w:val="auto"/>
        </w:rPr>
        <w:t>, and otherwise shall survive the termination of this Agreement.</w:t>
      </w:r>
    </w:p>
    <w:p>
      <w:pPr>
        <w:spacing w:after="0" w:line="134"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2.9 </w:t>
      </w:r>
      <w:r>
        <w:rPr>
          <w:rFonts w:ascii="Arial" w:cs="Arial" w:eastAsia="Arial" w:hAnsi="Arial"/>
          <w:sz w:val="22"/>
          <w:szCs w:val="22"/>
          <w:u w:val="single" w:color="auto"/>
          <w:color w:val="auto"/>
        </w:rPr>
        <w:t>Reports Under Exchange Act</w:t>
      </w:r>
      <w:r>
        <w:rPr>
          <w:rFonts w:ascii="Arial" w:cs="Arial" w:eastAsia="Arial" w:hAnsi="Arial"/>
          <w:sz w:val="22"/>
          <w:szCs w:val="22"/>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271" w:name="page272"/>
    <w:bookmarkEnd w:id="271"/>
    <w:p>
      <w:pPr>
        <w:ind w:firstLine="1952"/>
        <w:spacing w:after="0" w:line="343" w:lineRule="auto"/>
        <w:tabs>
          <w:tab w:leader="none" w:pos="2520" w:val="left"/>
        </w:tabs>
        <w:numPr>
          <w:ilvl w:val="1"/>
          <w:numId w:val="205"/>
        </w:numPr>
        <w:rPr>
          <w:rFonts w:ascii="Arial" w:cs="Arial" w:eastAsia="Arial" w:hAnsi="Arial"/>
          <w:sz w:val="19"/>
          <w:szCs w:val="19"/>
          <w:color w:val="auto"/>
        </w:rPr>
      </w:pPr>
      <w:r>
        <w:rPr>
          <w:rFonts w:ascii="Arial" w:cs="Arial" w:eastAsia="Arial" w:hAnsi="Arial"/>
          <w:sz w:val="19"/>
          <w:szCs w:val="19"/>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50" w:lineRule="exact"/>
        <w:rPr>
          <w:rFonts w:ascii="Arial" w:cs="Arial" w:eastAsia="Arial" w:hAnsi="Arial"/>
          <w:sz w:val="19"/>
          <w:szCs w:val="19"/>
          <w:color w:val="auto"/>
        </w:rPr>
      </w:pPr>
    </w:p>
    <w:p>
      <w:pPr>
        <w:jc w:val="both"/>
        <w:ind w:firstLine="1952"/>
        <w:spacing w:after="0" w:line="253" w:lineRule="auto"/>
        <w:tabs>
          <w:tab w:leader="none" w:pos="2504" w:val="left"/>
        </w:tabs>
        <w:numPr>
          <w:ilvl w:val="1"/>
          <w:numId w:val="205"/>
        </w:numPr>
        <w:rPr>
          <w:rFonts w:ascii="Arial" w:cs="Arial" w:eastAsia="Arial" w:hAnsi="Arial"/>
          <w:sz w:val="22"/>
          <w:szCs w:val="22"/>
          <w:color w:val="auto"/>
        </w:rPr>
      </w:pPr>
      <w:r>
        <w:rPr>
          <w:rFonts w:ascii="Arial" w:cs="Arial" w:eastAsia="Arial" w:hAnsi="Arial"/>
          <w:sz w:val="22"/>
          <w:szCs w:val="22"/>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131" w:lineRule="exact"/>
        <w:rPr>
          <w:rFonts w:ascii="Arial" w:cs="Arial" w:eastAsia="Arial" w:hAnsi="Arial"/>
          <w:sz w:val="22"/>
          <w:szCs w:val="22"/>
          <w:color w:val="auto"/>
        </w:rPr>
      </w:pPr>
    </w:p>
    <w:p>
      <w:pPr>
        <w:ind w:left="2440" w:hanging="488"/>
        <w:spacing w:after="0"/>
        <w:tabs>
          <w:tab w:leader="none" w:pos="2440" w:val="left"/>
        </w:tabs>
        <w:numPr>
          <w:ilvl w:val="1"/>
          <w:numId w:val="205"/>
        </w:numPr>
        <w:rPr>
          <w:rFonts w:ascii="Arial" w:cs="Arial" w:eastAsia="Arial" w:hAnsi="Arial"/>
          <w:sz w:val="19"/>
          <w:szCs w:val="19"/>
          <w:color w:val="auto"/>
        </w:rPr>
      </w:pPr>
      <w:r>
        <w:rPr>
          <w:rFonts w:ascii="Arial" w:cs="Arial" w:eastAsia="Arial" w:hAnsi="Arial"/>
          <w:sz w:val="19"/>
          <w:szCs w:val="19"/>
          <w:color w:val="auto"/>
        </w:rPr>
        <w:t>furnish to any Holder, so long as the Holder owns any Registrable Securities, forthwith upon request</w:t>
      </w:r>
    </w:p>
    <w:p>
      <w:pPr>
        <w:spacing w:after="0" w:line="55" w:lineRule="exact"/>
        <w:rPr>
          <w:rFonts w:ascii="Arial" w:cs="Arial" w:eastAsia="Arial" w:hAnsi="Arial"/>
          <w:sz w:val="19"/>
          <w:szCs w:val="19"/>
          <w:color w:val="auto"/>
        </w:rPr>
      </w:pPr>
    </w:p>
    <w:p>
      <w:pPr>
        <w:jc w:val="both"/>
        <w:ind w:firstLine="8"/>
        <w:spacing w:after="0" w:line="281" w:lineRule="auto"/>
        <w:tabs>
          <w:tab w:leader="none" w:pos="268" w:val="left"/>
        </w:tabs>
        <w:numPr>
          <w:ilvl w:val="0"/>
          <w:numId w:val="206"/>
        </w:numPr>
        <w:rPr>
          <w:rFonts w:ascii="Arial" w:cs="Arial" w:eastAsia="Arial" w:hAnsi="Arial"/>
          <w:sz w:val="19"/>
          <w:szCs w:val="19"/>
          <w:color w:val="auto"/>
        </w:rPr>
      </w:pPr>
      <w:r>
        <w:rPr>
          <w:rFonts w:ascii="Arial" w:cs="Arial" w:eastAsia="Arial" w:hAnsi="Arial"/>
          <w:sz w:val="19"/>
          <w:szCs w:val="19"/>
          <w:color w:val="auto"/>
        </w:rPr>
        <w:t>to the extent accurate, a written statement by the Company that it has complied with the reporting requirements of SEC Rule 144 (at any time after ninety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and</w:t>
      </w:r>
    </w:p>
    <w:p>
      <w:pPr>
        <w:spacing w:after="0" w:line="2" w:lineRule="exact"/>
        <w:rPr>
          <w:rFonts w:ascii="Arial" w:cs="Arial" w:eastAsia="Arial" w:hAnsi="Arial"/>
          <w:sz w:val="19"/>
          <w:szCs w:val="19"/>
          <w:color w:val="auto"/>
        </w:rPr>
      </w:pPr>
    </w:p>
    <w:p>
      <w:pPr>
        <w:jc w:val="both"/>
        <w:ind w:firstLine="8"/>
        <w:spacing w:after="0" w:line="302" w:lineRule="auto"/>
        <w:tabs>
          <w:tab w:leader="none" w:pos="347" w:val="left"/>
        </w:tabs>
        <w:numPr>
          <w:ilvl w:val="0"/>
          <w:numId w:val="206"/>
        </w:numPr>
        <w:rPr>
          <w:rFonts w:ascii="Arial" w:cs="Arial" w:eastAsia="Arial" w:hAnsi="Arial"/>
          <w:sz w:val="19"/>
          <w:szCs w:val="19"/>
          <w:color w:val="auto"/>
        </w:rPr>
      </w:pPr>
      <w:r>
        <w:rPr>
          <w:rFonts w:ascii="Arial" w:cs="Arial" w:eastAsia="Arial" w:hAnsi="Arial"/>
          <w:sz w:val="19"/>
          <w:szCs w:val="19"/>
          <w:color w:val="auto"/>
        </w:rPr>
        <w:t>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89"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1"/>
          <w:szCs w:val="21"/>
          <w:color w:val="auto"/>
        </w:rPr>
        <w:t xml:space="preserve">2.10 </w:t>
      </w:r>
      <w:r>
        <w:rPr>
          <w:rFonts w:ascii="Arial" w:cs="Arial" w:eastAsia="Arial" w:hAnsi="Arial"/>
          <w:sz w:val="21"/>
          <w:szCs w:val="21"/>
          <w:u w:val="single" w:color="auto"/>
          <w:color w:val="auto"/>
        </w:rPr>
        <w:t>Limitations on Subsequent Registration Rights</w:t>
      </w:r>
      <w:r>
        <w:rPr>
          <w:rFonts w:ascii="Arial" w:cs="Arial" w:eastAsia="Arial" w:hAnsi="Arial"/>
          <w:sz w:val="21"/>
          <w:szCs w:val="21"/>
          <w:color w:val="auto"/>
        </w:rPr>
        <w:t xml:space="preserve">. From and after the date of this Agreement, the Company shall not, without the prior written consent of the Holders of a majority of the Registrable Securities then outstanding, enter into any agreement with any holder or prospective holder of any securities of the Company that (i) would provide to such holder the right to include securities in any registration on other than either a pro rata basis with respect to the Registrable Securities or on a subordinate basis after all Holders have had the opportunity to include in the registration and offering all shares of Registrable Securities that they wish to so include;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this limitation shall not apply to any additional Investor who becomes a party to this Agreement in accordance with </w:t>
      </w:r>
      <w:r>
        <w:rPr>
          <w:rFonts w:ascii="Arial" w:cs="Arial" w:eastAsia="Arial" w:hAnsi="Arial"/>
          <w:sz w:val="21"/>
          <w:szCs w:val="21"/>
          <w:u w:val="single" w:color="auto"/>
          <w:color w:val="auto"/>
        </w:rPr>
        <w:t>Subsection 6.9</w:t>
      </w:r>
      <w:r>
        <w:rPr>
          <w:rFonts w:ascii="Arial" w:cs="Arial" w:eastAsia="Arial" w:hAnsi="Arial"/>
          <w:sz w:val="21"/>
          <w:szCs w:val="21"/>
          <w:color w:val="auto"/>
        </w:rPr>
        <w:t>.</w:t>
      </w:r>
    </w:p>
    <w:p>
      <w:pPr>
        <w:spacing w:after="0" w:line="12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1"/>
          <w:szCs w:val="21"/>
          <w:color w:val="auto"/>
        </w:rPr>
        <w:t xml:space="preserve">2.11 </w:t>
      </w:r>
      <w:r>
        <w:rPr>
          <w:rFonts w:ascii="Arial" w:cs="Arial" w:eastAsia="Arial" w:hAnsi="Arial"/>
          <w:sz w:val="21"/>
          <w:szCs w:val="21"/>
          <w:u w:val="single" w:color="auto"/>
          <w:color w:val="auto"/>
        </w:rPr>
        <w:t>“Market Stand-off” Agreement</w:t>
      </w:r>
      <w:r>
        <w:rPr>
          <w:rFonts w:ascii="Arial" w:cs="Arial" w:eastAsia="Arial" w:hAnsi="Arial"/>
          <w:sz w:val="21"/>
          <w:szCs w:val="21"/>
          <w:color w:val="auto"/>
        </w:rPr>
        <w:t>. Each Holder hereby agrees that it will not, without the prior written consent of the managing underwriter, during the period commencing on the date of the final prospectus relating to the registration by the Company for its own behalf of shares of its Common Stock or any other equity securities under the Securities Act on a registration statement on Form S-1 or Form S-3, and ending on the date specified by the Company and the managing underwriter (such period not to exceed one hundred eighty (180) days in the case of the IPO, or such other period as may be requested by the Company or an underwriter to accommodate regulatory restrictions on (1) the publication or other distribution of research reports, and (2) analyst recommendations and opinions, including, but not limited to, the restrictions contained in FINRA Rule 2711(f)(4) or NYSE Rule 472(f)(4), or any successor provisions or amendments thereto), or ninety (90) days in the case of any registration other than the IPO, or such other period as may be requested by the Company or an underwriter to accommodate regulatory restrictions on (1) the publication or other distribution of research reports and (2) analyst recommendations and opinions, including, but not limited to, the restrictions contained in FINRA Rule 2711(f)(4) or NYSE Rule 472(f)(4), or any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272" w:name="page273"/>
    <w:bookmarkEnd w:id="272"/>
    <w:p>
      <w:pPr>
        <w:jc w:val="both"/>
        <w:spacing w:after="0" w:line="285" w:lineRule="auto"/>
        <w:rPr>
          <w:sz w:val="20"/>
          <w:szCs w:val="20"/>
          <w:color w:val="auto"/>
        </w:rPr>
      </w:pPr>
      <w:r>
        <w:rPr>
          <w:rFonts w:ascii="Arial" w:cs="Arial" w:eastAsia="Arial" w:hAnsi="Arial"/>
          <w:sz w:val="19"/>
          <w:szCs w:val="19"/>
          <w:color w:val="auto"/>
        </w:rPr>
        <w:t xml:space="preserve">provisions or amendments thereto),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(whether such shares or any such securities are then owned by the Holder or are thereafter acquired) or (ii) 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The foregoing provisions of this </w:t>
      </w:r>
      <w:r>
        <w:rPr>
          <w:rFonts w:ascii="Arial" w:cs="Arial" w:eastAsia="Arial" w:hAnsi="Arial"/>
          <w:sz w:val="19"/>
          <w:szCs w:val="19"/>
          <w:u w:val="single" w:color="auto"/>
          <w:color w:val="auto"/>
        </w:rPr>
        <w:t>Subsection 2.11</w:t>
      </w:r>
      <w:r>
        <w:rPr>
          <w:rFonts w:ascii="Arial" w:cs="Arial" w:eastAsia="Arial" w:hAnsi="Arial"/>
          <w:sz w:val="19"/>
          <w:szCs w:val="19"/>
          <w:color w:val="auto"/>
        </w:rPr>
        <w:t xml:space="preserve"> shall apply only to the IPO, shall not apply to the sale of any shares to an underwriter pursuant to an underwriting agreement, or the transfer of any shares to any trust for the direct or indirect benefit of the Holder or the immediate family of the Holder,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trustee of the trust agrees to be bound in writing by the restrictions set forth herein,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any such transfer shall not involve a disposition for value, and shall be applicable to the Holders only if all officers and directors are subject to the same restrictions. The underwriters in connection with such registration are intended third-party beneficiaries of this </w:t>
      </w:r>
      <w:r>
        <w:rPr>
          <w:rFonts w:ascii="Arial" w:cs="Arial" w:eastAsia="Arial" w:hAnsi="Arial"/>
          <w:sz w:val="19"/>
          <w:szCs w:val="19"/>
          <w:u w:val="single" w:color="auto"/>
          <w:color w:val="auto"/>
        </w:rPr>
        <w:t>Subsection 2.11</w:t>
      </w:r>
      <w:r>
        <w:rPr>
          <w:rFonts w:ascii="Arial" w:cs="Arial" w:eastAsia="Arial" w:hAnsi="Arial"/>
          <w:sz w:val="19"/>
          <w:szCs w:val="19"/>
          <w:color w:val="auto"/>
        </w:rPr>
        <w:t xml:space="preserve">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Arial" w:cs="Arial" w:eastAsia="Arial" w:hAnsi="Arial"/>
          <w:sz w:val="19"/>
          <w:szCs w:val="19"/>
          <w:u w:val="single" w:color="auto"/>
          <w:color w:val="auto"/>
        </w:rPr>
        <w:t>Subsection 2.11</w:t>
      </w:r>
      <w:r>
        <w:rPr>
          <w:rFonts w:ascii="Arial" w:cs="Arial" w:eastAsia="Arial" w:hAnsi="Arial"/>
          <w:sz w:val="19"/>
          <w:szCs w:val="19"/>
          <w:color w:val="auto"/>
        </w:rPr>
        <w:t xml:space="preserve"> or that are necessary to give further effect thereto. Any discretionary waiver or termination of the restrictions of any or all of such agreements by the Company or the underwriters shall apply pro rata to all Holders subject to such agreements, based on the number of shares subject to such agreements.</w:t>
      </w:r>
    </w:p>
    <w:p>
      <w:pPr>
        <w:spacing w:after="0" w:line="112"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9"/>
          <w:szCs w:val="19"/>
          <w:u w:val="single" w:color="auto"/>
          <w:color w:val="auto"/>
        </w:rPr>
        <w:t>Restrictions on Transfer</w:t>
      </w:r>
      <w:r>
        <w:rPr>
          <w:rFonts w:ascii="Arial" w:cs="Arial" w:eastAsia="Arial" w:hAnsi="Arial"/>
          <w:sz w:val="19"/>
          <w:szCs w:val="19"/>
          <w:color w:val="auto"/>
        </w:rPr>
        <w:t>.</w:t>
      </w:r>
    </w:p>
    <w:p>
      <w:pPr>
        <w:spacing w:after="0" w:line="166" w:lineRule="exact"/>
        <w:rPr>
          <w:sz w:val="20"/>
          <w:szCs w:val="20"/>
          <w:color w:val="auto"/>
        </w:rPr>
      </w:pPr>
    </w:p>
    <w:p>
      <w:pPr>
        <w:jc w:val="both"/>
        <w:ind w:firstLine="1952"/>
        <w:spacing w:after="0" w:line="294" w:lineRule="auto"/>
        <w:tabs>
          <w:tab w:leader="none" w:pos="2444" w:val="left"/>
        </w:tabs>
        <w:numPr>
          <w:ilvl w:val="0"/>
          <w:numId w:val="207"/>
        </w:numPr>
        <w:rPr>
          <w:rFonts w:ascii="Arial" w:cs="Arial" w:eastAsia="Arial" w:hAnsi="Arial"/>
          <w:sz w:val="19"/>
          <w:szCs w:val="19"/>
          <w:color w:val="auto"/>
        </w:rPr>
      </w:pPr>
      <w:r>
        <w:rPr>
          <w:rFonts w:ascii="Arial" w:cs="Arial" w:eastAsia="Arial" w:hAnsi="Arial"/>
          <w:sz w:val="19"/>
          <w:szCs w:val="19"/>
          <w:color w:val="auto"/>
        </w:rPr>
        <w:t>The Series A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 proposed purchaser, pledgee, or transferee of the Series A Preferred Stock and the Registrable Securities held by such Holder to agree to take and hold such securities subject to the provisions and upon the conditions specified in this Agreement.</w:t>
      </w:r>
    </w:p>
    <w:p>
      <w:pPr>
        <w:spacing w:after="0" w:line="95" w:lineRule="exact"/>
        <w:rPr>
          <w:rFonts w:ascii="Arial" w:cs="Arial" w:eastAsia="Arial" w:hAnsi="Arial"/>
          <w:sz w:val="19"/>
          <w:szCs w:val="19"/>
          <w:color w:val="auto"/>
        </w:rPr>
      </w:pPr>
    </w:p>
    <w:p>
      <w:pPr>
        <w:jc w:val="both"/>
        <w:ind w:firstLine="1952"/>
        <w:spacing w:after="0" w:line="265" w:lineRule="auto"/>
        <w:tabs>
          <w:tab w:leader="none" w:pos="2541" w:val="left"/>
        </w:tabs>
        <w:numPr>
          <w:ilvl w:val="0"/>
          <w:numId w:val="207"/>
        </w:numPr>
        <w:rPr>
          <w:rFonts w:ascii="Arial" w:cs="Arial" w:eastAsia="Arial" w:hAnsi="Arial"/>
          <w:sz w:val="21"/>
          <w:szCs w:val="21"/>
          <w:color w:val="auto"/>
        </w:rPr>
      </w:pPr>
      <w:r>
        <w:rPr>
          <w:rFonts w:ascii="Arial" w:cs="Arial" w:eastAsia="Arial" w:hAnsi="Arial"/>
          <w:sz w:val="21"/>
          <w:szCs w:val="21"/>
          <w:color w:val="auto"/>
        </w:rPr>
        <w:t xml:space="preserve">Each certificate, instrument, or book entry representing (i) the Series A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w:t>
      </w:r>
      <w:r>
        <w:rPr>
          <w:rFonts w:ascii="Arial" w:cs="Arial" w:eastAsia="Arial" w:hAnsi="Arial"/>
          <w:sz w:val="21"/>
          <w:szCs w:val="21"/>
          <w:u w:val="single" w:color="auto"/>
          <w:color w:val="auto"/>
        </w:rPr>
        <w:t>Subsection 2.12(c)</w:t>
      </w:r>
      <w:r>
        <w:rPr>
          <w:rFonts w:ascii="Arial" w:cs="Arial" w:eastAsia="Arial" w:hAnsi="Arial"/>
          <w:sz w:val="21"/>
          <w:szCs w:val="21"/>
          <w:color w:val="auto"/>
        </w:rPr>
        <w:t>) be notated with a legend substantially in the following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8" w:right="339" w:bottom="1440" w:gutter="0" w:footer="0" w:header="0"/>
        </w:sectPr>
      </w:pPr>
    </w:p>
    <w:bookmarkStart w:id="273" w:name="page274"/>
    <w:bookmarkEnd w:id="273"/>
    <w:p>
      <w:pPr>
        <w:jc w:val="both"/>
        <w:ind w:left="660" w:right="660"/>
        <w:spacing w:after="0" w:line="302" w:lineRule="auto"/>
        <w:rPr>
          <w:sz w:val="20"/>
          <w:szCs w:val="20"/>
          <w:color w:val="auto"/>
        </w:rPr>
      </w:pPr>
      <w:r>
        <w:rPr>
          <w:rFonts w:ascii="Arial" w:cs="Arial" w:eastAsia="Arial" w:hAnsi="Arial"/>
          <w:sz w:val="19"/>
          <w:szCs w:val="19"/>
          <w:color w:val="auto"/>
        </w:rPr>
        <w:t>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w:t>
      </w:r>
    </w:p>
    <w:p>
      <w:pPr>
        <w:spacing w:after="0" w:line="88" w:lineRule="exact"/>
        <w:rPr>
          <w:sz w:val="20"/>
          <w:szCs w:val="20"/>
          <w:color w:val="auto"/>
        </w:rPr>
      </w:pPr>
    </w:p>
    <w:p>
      <w:pPr>
        <w:jc w:val="both"/>
        <w:ind w:left="660" w:right="660"/>
        <w:spacing w:after="0" w:line="253" w:lineRule="auto"/>
        <w:rPr>
          <w:sz w:val="20"/>
          <w:szCs w:val="20"/>
          <w:color w:val="auto"/>
        </w:rPr>
      </w:pPr>
      <w:r>
        <w:rPr>
          <w:rFonts w:ascii="Arial" w:cs="Arial" w:eastAsia="Arial" w:hAnsi="Arial"/>
          <w:sz w:val="22"/>
          <w:szCs w:val="22"/>
          <w:color w:val="auto"/>
        </w:rPr>
        <w:t>THE SECURITIES REPRESENTED HEREBY MAY BE TRANSFERRED ONLY IN ACCORDANCE WITH THE TERMS OF AN AGREEMENT BETWEEN THE COMPANY AND THE STOCKHOLDER, A COPY OF WHICH IS ON FILE WITH THE SECRETARY OF THE COMPANY.</w:t>
      </w:r>
    </w:p>
    <w:p>
      <w:pPr>
        <w:spacing w:after="0" w:line="131" w:lineRule="exact"/>
        <w:rPr>
          <w:sz w:val="20"/>
          <w:szCs w:val="20"/>
          <w:color w:val="auto"/>
        </w:rPr>
      </w:pPr>
    </w:p>
    <w:p>
      <w:pPr>
        <w:ind w:firstLine="1296"/>
        <w:spacing w:after="0" w:line="343" w:lineRule="auto"/>
        <w:rPr>
          <w:sz w:val="20"/>
          <w:szCs w:val="20"/>
          <w:color w:val="auto"/>
        </w:rPr>
      </w:pPr>
      <w:r>
        <w:rPr>
          <w:rFonts w:ascii="Arial" w:cs="Arial" w:eastAsia="Arial" w:hAnsi="Arial"/>
          <w:sz w:val="19"/>
          <w:szCs w:val="19"/>
          <w:color w:val="auto"/>
        </w:rPr>
        <w:t xml:space="preserve">The Holders consent to the Company making a notation in its records and giving instructions to any transfer agent of the Restricted Securities in order to implement the restrictions on transfer set forth in this </w:t>
      </w:r>
      <w:r>
        <w:rPr>
          <w:rFonts w:ascii="Arial" w:cs="Arial" w:eastAsia="Arial" w:hAnsi="Arial"/>
          <w:sz w:val="19"/>
          <w:szCs w:val="19"/>
          <w:u w:val="single" w:color="auto"/>
          <w:color w:val="auto"/>
        </w:rPr>
        <w:t>Subsection 2.12</w:t>
      </w:r>
      <w:r>
        <w:rPr>
          <w:rFonts w:ascii="Arial" w:cs="Arial" w:eastAsia="Arial" w:hAnsi="Arial"/>
          <w:sz w:val="19"/>
          <w:szCs w:val="19"/>
          <w:color w:val="auto"/>
        </w:rPr>
        <w:t>.</w:t>
      </w:r>
    </w:p>
    <w:p>
      <w:pPr>
        <w:spacing w:after="0" w:line="50" w:lineRule="exact"/>
        <w:rPr>
          <w:sz w:val="20"/>
          <w:szCs w:val="20"/>
          <w:color w:val="auto"/>
        </w:rPr>
      </w:pPr>
    </w:p>
    <w:p>
      <w:pPr>
        <w:jc w:val="both"/>
        <w:ind w:firstLine="1952"/>
        <w:spacing w:after="0" w:line="284" w:lineRule="auto"/>
        <w:tabs>
          <w:tab w:leader="none" w:pos="2419" w:val="left"/>
        </w:tabs>
        <w:numPr>
          <w:ilvl w:val="0"/>
          <w:numId w:val="208"/>
        </w:numPr>
        <w:rPr>
          <w:rFonts w:ascii="Arial" w:cs="Arial" w:eastAsia="Arial" w:hAnsi="Arial"/>
          <w:sz w:val="19"/>
          <w:szCs w:val="19"/>
          <w:color w:val="auto"/>
        </w:rPr>
      </w:pPr>
      <w:r>
        <w:rPr>
          <w:rFonts w:ascii="Arial" w:cs="Arial" w:eastAsia="Arial" w:hAnsi="Arial"/>
          <w:sz w:val="19"/>
          <w:szCs w:val="19"/>
          <w:color w:val="auto"/>
        </w:rPr>
        <w:t xml:space="preserve">The holder of such Restricted Securities, by acceptance of ownership thereof, agrees to comply in all respects with the provisions of this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Before any proposed sale, pledge, or transfer of any Restricted Securities, unless there is in effect a registration statement under the Securities Act covering the proposed transaction,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SEC Rule 144; or (y) in any transaction in which such Holder distributes Restricted Securities to an Affiliate of such Holder for no consideration;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transferee agrees in writing to be subject to the terms of this </w:t>
      </w:r>
      <w:r>
        <w:rPr>
          <w:rFonts w:ascii="Arial" w:cs="Arial" w:eastAsia="Arial" w:hAnsi="Arial"/>
          <w:sz w:val="19"/>
          <w:szCs w:val="19"/>
          <w:u w:val="single" w:color="auto"/>
          <w:color w:val="auto"/>
        </w:rPr>
        <w:t>Subsection 2.12</w:t>
      </w:r>
      <w:r>
        <w:rPr>
          <w:rFonts w:ascii="Arial" w:cs="Arial" w:eastAsia="Arial" w:hAnsi="Arial"/>
          <w:sz w:val="19"/>
          <w:szCs w:val="19"/>
          <w:color w:val="auto"/>
        </w:rPr>
        <w:t xml:space="preserve">. Each certificate, instrument, or book entry representing the Restricted Securities transferred as above provided shall be notated with, except if such transfer is made pursuant to SEC Rule 144, the appropriate restrictive legend set forth in </w:t>
      </w:r>
      <w:r>
        <w:rPr>
          <w:rFonts w:ascii="Arial" w:cs="Arial" w:eastAsia="Arial" w:hAnsi="Arial"/>
          <w:sz w:val="19"/>
          <w:szCs w:val="19"/>
          <w:u w:val="single" w:color="auto"/>
          <w:color w:val="auto"/>
        </w:rPr>
        <w:t>Subsection 2.12(b)</w:t>
      </w:r>
      <w:r>
        <w:rPr>
          <w:rFonts w:ascii="Arial" w:cs="Arial" w:eastAsia="Arial" w:hAnsi="Arial"/>
          <w:sz w:val="19"/>
          <w:szCs w:val="19"/>
          <w:color w:val="auto"/>
        </w:rPr>
        <w:t>, except that such certificate instrument, or book entry shall not be notated with such restrictive legend if, in the opinion of counsel for such Holder and the Company, such legend is not required in order to establish compliance with any provisions of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8" w:right="339" w:bottom="1440" w:gutter="0" w:footer="0" w:header="0"/>
        </w:sectPr>
      </w:pPr>
    </w:p>
    <w:bookmarkStart w:id="274" w:name="page275"/>
    <w:bookmarkEnd w:id="274"/>
    <w:p>
      <w:pPr>
        <w:ind w:left="1300"/>
        <w:spacing w:after="0"/>
        <w:tabs>
          <w:tab w:leader="none" w:pos="208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21"/>
          <w:szCs w:val="21"/>
          <w:u w:val="single" w:color="auto"/>
          <w:color w:val="auto"/>
        </w:rPr>
        <w:t>Termination of Registration Rights</w:t>
      </w:r>
      <w:r>
        <w:rPr>
          <w:rFonts w:ascii="Arial" w:cs="Arial" w:eastAsia="Arial" w:hAnsi="Arial"/>
          <w:sz w:val="21"/>
          <w:szCs w:val="21"/>
          <w:color w:val="auto"/>
        </w:rPr>
        <w:t>. The right of any Holder to request registration or inclusion of</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Registrable Securities in any registration pursuant to </w:t>
      </w:r>
      <w:r>
        <w:rPr>
          <w:rFonts w:ascii="Arial" w:cs="Arial" w:eastAsia="Arial" w:hAnsi="Arial"/>
          <w:sz w:val="21"/>
          <w:szCs w:val="21"/>
          <w:u w:val="single" w:color="auto"/>
          <w:color w:val="auto"/>
        </w:rPr>
        <w:t>Subsections 2.1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2.2</w:t>
      </w:r>
      <w:r>
        <w:rPr>
          <w:rFonts w:ascii="Arial" w:cs="Arial" w:eastAsia="Arial" w:hAnsi="Arial"/>
          <w:sz w:val="21"/>
          <w:szCs w:val="21"/>
          <w:color w:val="auto"/>
        </w:rPr>
        <w:t xml:space="preserve"> shall terminate upon the earliest to occur of:</w:t>
      </w:r>
    </w:p>
    <w:p>
      <w:pPr>
        <w:spacing w:after="0" w:line="159" w:lineRule="exact"/>
        <w:rPr>
          <w:sz w:val="20"/>
          <w:szCs w:val="20"/>
          <w:color w:val="auto"/>
        </w:rPr>
      </w:pPr>
    </w:p>
    <w:p>
      <w:pPr>
        <w:ind w:left="2460" w:hanging="508"/>
        <w:spacing w:after="0"/>
        <w:tabs>
          <w:tab w:leader="none" w:pos="2460" w:val="left"/>
        </w:tabs>
        <w:numPr>
          <w:ilvl w:val="0"/>
          <w:numId w:val="209"/>
        </w:numPr>
        <w:rPr>
          <w:rFonts w:ascii="Arial" w:cs="Arial" w:eastAsia="Arial" w:hAnsi="Arial"/>
          <w:sz w:val="19"/>
          <w:szCs w:val="19"/>
          <w:color w:val="auto"/>
        </w:rPr>
      </w:pPr>
      <w:r>
        <w:rPr>
          <w:rFonts w:ascii="Arial" w:cs="Arial" w:eastAsia="Arial" w:hAnsi="Arial"/>
          <w:sz w:val="19"/>
          <w:szCs w:val="19"/>
          <w:color w:val="auto"/>
        </w:rPr>
        <w:t>the closing of a Deemed Liquidation Event, as such term is defined in the Company’s Certificate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Incorporation;</w:t>
      </w:r>
    </w:p>
    <w:p>
      <w:pPr>
        <w:spacing w:after="0" w:line="148" w:lineRule="exact"/>
        <w:rPr>
          <w:sz w:val="20"/>
          <w:szCs w:val="20"/>
          <w:color w:val="auto"/>
        </w:rPr>
      </w:pPr>
    </w:p>
    <w:p>
      <w:pPr>
        <w:ind w:firstLine="1952"/>
        <w:spacing w:after="0" w:line="263" w:lineRule="auto"/>
        <w:tabs>
          <w:tab w:leader="none" w:pos="2445" w:val="left"/>
        </w:tabs>
        <w:numPr>
          <w:ilvl w:val="1"/>
          <w:numId w:val="210"/>
        </w:numPr>
        <w:rPr>
          <w:rFonts w:ascii="Arial" w:cs="Arial" w:eastAsia="Arial" w:hAnsi="Arial"/>
          <w:sz w:val="22"/>
          <w:szCs w:val="22"/>
          <w:color w:val="auto"/>
        </w:rPr>
      </w:pPr>
      <w:r>
        <w:rPr>
          <w:rFonts w:ascii="Arial" w:cs="Arial" w:eastAsia="Arial" w:hAnsi="Arial"/>
          <w:sz w:val="22"/>
          <w:szCs w:val="22"/>
          <w:color w:val="auto"/>
        </w:rPr>
        <w:t>such time as Rule 144 or another similar exemption under the Securities Act is available for the sale of all of such Holder’s shares without limitation during a three-month period without registration; and</w:t>
      </w:r>
    </w:p>
    <w:p>
      <w:pPr>
        <w:spacing w:after="0" w:line="120" w:lineRule="exact"/>
        <w:rPr>
          <w:rFonts w:ascii="Arial" w:cs="Arial" w:eastAsia="Arial" w:hAnsi="Arial"/>
          <w:sz w:val="22"/>
          <w:szCs w:val="22"/>
          <w:color w:val="auto"/>
        </w:rPr>
      </w:pPr>
    </w:p>
    <w:p>
      <w:pPr>
        <w:ind w:left="2400" w:hanging="448"/>
        <w:spacing w:after="0"/>
        <w:tabs>
          <w:tab w:leader="none" w:pos="2400" w:val="left"/>
        </w:tabs>
        <w:numPr>
          <w:ilvl w:val="1"/>
          <w:numId w:val="210"/>
        </w:numPr>
        <w:rPr>
          <w:rFonts w:ascii="Arial" w:cs="Arial" w:eastAsia="Arial" w:hAnsi="Arial"/>
          <w:sz w:val="22"/>
          <w:szCs w:val="22"/>
          <w:color w:val="auto"/>
        </w:rPr>
      </w:pPr>
      <w:r>
        <w:rPr>
          <w:rFonts w:ascii="Arial" w:cs="Arial" w:eastAsia="Arial" w:hAnsi="Arial"/>
          <w:sz w:val="22"/>
          <w:szCs w:val="22"/>
          <w:color w:val="auto"/>
        </w:rPr>
        <w:t>the three year anniversary of the IPO.</w:t>
      </w:r>
    </w:p>
    <w:p>
      <w:pPr>
        <w:spacing w:after="0" w:line="165" w:lineRule="exact"/>
        <w:rPr>
          <w:rFonts w:ascii="Arial" w:cs="Arial" w:eastAsia="Arial" w:hAnsi="Arial"/>
          <w:sz w:val="22"/>
          <w:szCs w:val="22"/>
          <w:color w:val="auto"/>
        </w:rPr>
      </w:pPr>
    </w:p>
    <w:p>
      <w:pPr>
        <w:ind w:left="1040" w:hanging="384"/>
        <w:spacing w:after="0"/>
        <w:tabs>
          <w:tab w:leader="none" w:pos="1040" w:val="left"/>
        </w:tabs>
        <w:numPr>
          <w:ilvl w:val="0"/>
          <w:numId w:val="211"/>
        </w:numPr>
        <w:rPr>
          <w:rFonts w:ascii="Arial" w:cs="Arial" w:eastAsia="Arial" w:hAnsi="Arial"/>
          <w:sz w:val="22"/>
          <w:szCs w:val="22"/>
          <w:color w:val="auto"/>
        </w:rPr>
      </w:pPr>
      <w:r>
        <w:rPr>
          <w:rFonts w:ascii="Arial" w:cs="Arial" w:eastAsia="Arial" w:hAnsi="Arial"/>
          <w:sz w:val="22"/>
          <w:szCs w:val="22"/>
          <w:u w:val="single" w:color="auto"/>
          <w:color w:val="auto"/>
        </w:rPr>
        <w:t>Information and Observer Rights</w:t>
      </w:r>
      <w:r>
        <w:rPr>
          <w:rFonts w:ascii="Arial" w:cs="Arial" w:eastAsia="Arial" w:hAnsi="Arial"/>
          <w:sz w:val="22"/>
          <w:szCs w:val="22"/>
          <w:color w:val="auto"/>
        </w:rPr>
        <w:t>.</w:t>
      </w:r>
    </w:p>
    <w:p>
      <w:pPr>
        <w:spacing w:after="0" w:line="166"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Delivery of Financial Statements</w:t>
      </w:r>
      <w:r>
        <w:rPr>
          <w:rFonts w:ascii="Arial" w:cs="Arial" w:eastAsia="Arial" w:hAnsi="Arial"/>
          <w:sz w:val="19"/>
          <w:szCs w:val="19"/>
          <w:color w:val="auto"/>
        </w:rPr>
        <w:t>. The Company shall deliver to each Major Investor,</w:t>
      </w:r>
      <w:r>
        <w:rPr>
          <w:rFonts w:ascii="Arial" w:cs="Arial" w:eastAsia="Arial" w:hAnsi="Arial"/>
          <w:sz w:val="19"/>
          <w:szCs w:val="19"/>
          <w:u w:val="single" w:color="auto"/>
          <w:color w:val="auto"/>
        </w:rPr>
        <w:t xml:space="preserve"> provided </w:t>
      </w:r>
      <w:r>
        <w:rPr>
          <w:rFonts w:ascii="Arial" w:cs="Arial" w:eastAsia="Arial" w:hAnsi="Arial"/>
          <w:sz w:val="19"/>
          <w:szCs w:val="19"/>
          <w:color w:val="auto"/>
        </w:rPr>
        <w:t>that the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Board of Directors has not reasonably determined that such Major Investor is a competitor of the Company:</w:t>
      </w:r>
    </w:p>
    <w:p>
      <w:pPr>
        <w:spacing w:after="0" w:line="148" w:lineRule="exact"/>
        <w:rPr>
          <w:sz w:val="20"/>
          <w:szCs w:val="20"/>
          <w:color w:val="auto"/>
        </w:rPr>
      </w:pPr>
    </w:p>
    <w:p>
      <w:pPr>
        <w:jc w:val="both"/>
        <w:ind w:firstLine="1952"/>
        <w:spacing w:after="0" w:line="265" w:lineRule="auto"/>
        <w:tabs>
          <w:tab w:leader="none" w:pos="2454" w:val="left"/>
        </w:tabs>
        <w:numPr>
          <w:ilvl w:val="0"/>
          <w:numId w:val="212"/>
        </w:numPr>
        <w:rPr>
          <w:rFonts w:ascii="Arial" w:cs="Arial" w:eastAsia="Arial" w:hAnsi="Arial"/>
          <w:sz w:val="21"/>
          <w:szCs w:val="21"/>
          <w:color w:val="auto"/>
        </w:rPr>
      </w:pPr>
      <w:r>
        <w:rPr>
          <w:rFonts w:ascii="Arial" w:cs="Arial" w:eastAsia="Arial" w:hAnsi="Arial"/>
          <w:sz w:val="21"/>
          <w:szCs w:val="21"/>
          <w:color w:val="auto"/>
        </w:rPr>
        <w:t>as soon as practicable, but in any event within one hundred twenty (120) days after the end of each fiscal year of the Company (i) a balance sheet as of the end of such year, (ii) statements of income and of cash flows for such year, and (iii) a statement of stockholders’ equity as of the end of such year, all such financial statements audited and certified by independent public accountants of nationally recognized standing selected by the Company;</w:t>
      </w:r>
    </w:p>
    <w:p>
      <w:pPr>
        <w:spacing w:after="0" w:line="121" w:lineRule="exact"/>
        <w:rPr>
          <w:rFonts w:ascii="Arial" w:cs="Arial" w:eastAsia="Arial" w:hAnsi="Arial"/>
          <w:sz w:val="21"/>
          <w:szCs w:val="21"/>
          <w:color w:val="auto"/>
        </w:rPr>
      </w:pPr>
    </w:p>
    <w:p>
      <w:pPr>
        <w:jc w:val="both"/>
        <w:ind w:firstLine="1952"/>
        <w:spacing w:after="0" w:line="263" w:lineRule="auto"/>
        <w:tabs>
          <w:tab w:leader="none" w:pos="2468" w:val="left"/>
        </w:tabs>
        <w:numPr>
          <w:ilvl w:val="0"/>
          <w:numId w:val="212"/>
        </w:numPr>
        <w:rPr>
          <w:rFonts w:ascii="Arial" w:cs="Arial" w:eastAsia="Arial" w:hAnsi="Arial"/>
          <w:sz w:val="21"/>
          <w:szCs w:val="21"/>
          <w:color w:val="auto"/>
        </w:rPr>
      </w:pPr>
      <w:r>
        <w:rPr>
          <w:rFonts w:ascii="Arial" w:cs="Arial" w:eastAsia="Arial" w:hAnsi="Arial"/>
          <w:sz w:val="21"/>
          <w:szCs w:val="21"/>
          <w:color w:val="auto"/>
        </w:rPr>
        <w:t>as soon as practicable, but in any event within forty-five (45) days after the end of each of the first three (3) quarters of each fiscal year of the Company, unaudited statements of income and cash flows for such fiscal quarter, and an unaudited balance sheet and a statement of stockholders’ equity as of the end of such fiscal quarter, all prepared in accordance with GAAP (except that such financial statements may (i) be subject to normal year- end audit adjustments; and (ii) not contain all notes thereto that may be required in accordance with GAAP);</w:t>
      </w:r>
    </w:p>
    <w:p>
      <w:pPr>
        <w:spacing w:after="0" w:line="121" w:lineRule="exact"/>
        <w:rPr>
          <w:rFonts w:ascii="Arial" w:cs="Arial" w:eastAsia="Arial" w:hAnsi="Arial"/>
          <w:sz w:val="21"/>
          <w:szCs w:val="21"/>
          <w:color w:val="auto"/>
        </w:rPr>
      </w:pPr>
    </w:p>
    <w:p>
      <w:pPr>
        <w:jc w:val="both"/>
        <w:ind w:firstLine="1952"/>
        <w:spacing w:after="0" w:line="248" w:lineRule="auto"/>
        <w:tabs>
          <w:tab w:leader="none" w:pos="2407" w:val="left"/>
        </w:tabs>
        <w:numPr>
          <w:ilvl w:val="0"/>
          <w:numId w:val="212"/>
        </w:numPr>
        <w:rPr>
          <w:rFonts w:ascii="Arial" w:cs="Arial" w:eastAsia="Arial" w:hAnsi="Arial"/>
          <w:sz w:val="22"/>
          <w:szCs w:val="22"/>
          <w:color w:val="auto"/>
        </w:rPr>
      </w:pPr>
      <w:r>
        <w:rPr>
          <w:rFonts w:ascii="Arial" w:cs="Arial" w:eastAsia="Arial" w:hAnsi="Arial"/>
          <w:sz w:val="22"/>
          <w:szCs w:val="22"/>
          <w:color w:val="auto"/>
        </w:rPr>
        <w:t>as soon as practicable, but in any event within thirty (30) days of the end of each month, an unaudited income statement and statement of cash flows for such month, and an unaudited balance sheet and statement of stockholders’ equity as of the end of such month, all prepared in accordance with GAAP (except that such financial statements may (i) be subject to normal year-end audit adjustments and (ii) not contain all notes thereto that may be required in accordance with GAAP);</w:t>
      </w:r>
    </w:p>
    <w:p>
      <w:pPr>
        <w:spacing w:after="0" w:line="137" w:lineRule="exact"/>
        <w:rPr>
          <w:rFonts w:ascii="Arial" w:cs="Arial" w:eastAsia="Arial" w:hAnsi="Arial"/>
          <w:sz w:val="22"/>
          <w:szCs w:val="22"/>
          <w:color w:val="auto"/>
        </w:rPr>
      </w:pPr>
    </w:p>
    <w:p>
      <w:pPr>
        <w:jc w:val="both"/>
        <w:ind w:firstLine="1952"/>
        <w:spacing w:after="0" w:line="250" w:lineRule="auto"/>
        <w:tabs>
          <w:tab w:leader="none" w:pos="2464" w:val="left"/>
        </w:tabs>
        <w:numPr>
          <w:ilvl w:val="0"/>
          <w:numId w:val="212"/>
        </w:numPr>
        <w:rPr>
          <w:rFonts w:ascii="Arial" w:cs="Arial" w:eastAsia="Arial" w:hAnsi="Arial"/>
          <w:sz w:val="22"/>
          <w:szCs w:val="22"/>
          <w:color w:val="auto"/>
        </w:rPr>
      </w:pPr>
      <w:r>
        <w:rPr>
          <w:rFonts w:ascii="Arial" w:cs="Arial" w:eastAsia="Arial" w:hAnsi="Arial"/>
          <w:sz w:val="22"/>
          <w:szCs w:val="22"/>
          <w:color w:val="auto"/>
        </w:rPr>
        <w:t>as soon as practicable, but in any event thirty (30) days before the end of each fiscal year, a budget and business plan for the next fiscal year (collectively, the “</w:t>
      </w:r>
      <w:r>
        <w:rPr>
          <w:rFonts w:ascii="Arial" w:cs="Arial" w:eastAsia="Arial" w:hAnsi="Arial"/>
          <w:sz w:val="22"/>
          <w:szCs w:val="22"/>
          <w:b w:val="1"/>
          <w:bCs w:val="1"/>
          <w:color w:val="auto"/>
        </w:rPr>
        <w:t>Budget</w:t>
      </w:r>
      <w:r>
        <w:rPr>
          <w:rFonts w:ascii="Arial" w:cs="Arial" w:eastAsia="Arial" w:hAnsi="Arial"/>
          <w:sz w:val="22"/>
          <w:szCs w:val="22"/>
          <w:color w:val="auto"/>
        </w:rPr>
        <w:t>”), approved by the Board of Directors and prepared on a monthly basis, including balance sheets, income statements, and statements of cash flow for such months and, promptly after prepared, any other budgets or revised budgets prepared by the Company;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8" w:right="339" w:bottom="1440" w:gutter="0" w:footer="0" w:header="0"/>
        </w:sectPr>
      </w:pPr>
    </w:p>
    <w:bookmarkStart w:id="275" w:name="page276"/>
    <w:bookmarkEnd w:id="275"/>
    <w:p>
      <w:pPr>
        <w:jc w:val="both"/>
        <w:ind w:firstLine="1952"/>
        <w:spacing w:after="0" w:line="247" w:lineRule="auto"/>
        <w:tabs>
          <w:tab w:leader="none" w:pos="2438" w:val="left"/>
        </w:tabs>
        <w:numPr>
          <w:ilvl w:val="0"/>
          <w:numId w:val="213"/>
        </w:numPr>
        <w:rPr>
          <w:rFonts w:ascii="Arial" w:cs="Arial" w:eastAsia="Arial" w:hAnsi="Arial"/>
          <w:sz w:val="22"/>
          <w:szCs w:val="22"/>
          <w:color w:val="auto"/>
        </w:rPr>
      </w:pPr>
      <w:r>
        <w:rPr>
          <w:rFonts w:ascii="Arial" w:cs="Arial" w:eastAsia="Arial" w:hAnsi="Arial"/>
          <w:sz w:val="22"/>
          <w:szCs w:val="22"/>
          <w:color w:val="auto"/>
        </w:rPr>
        <w:t xml:space="preserve">such other information relating to the financial condition, business, prospects, or corporate affairs of the Company as any Major Investor may from time to time reasonably request;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the Company shall not be obligated under this </w:t>
      </w:r>
      <w:r>
        <w:rPr>
          <w:rFonts w:ascii="Arial" w:cs="Arial" w:eastAsia="Arial" w:hAnsi="Arial"/>
          <w:sz w:val="22"/>
          <w:szCs w:val="22"/>
          <w:u w:val="single" w:color="auto"/>
          <w:color w:val="auto"/>
        </w:rPr>
        <w:t>Subsection 3.1</w:t>
      </w:r>
      <w:r>
        <w:rPr>
          <w:rFonts w:ascii="Arial" w:cs="Arial" w:eastAsia="Arial" w:hAnsi="Arial"/>
          <w:sz w:val="22"/>
          <w:szCs w:val="22"/>
          <w:color w:val="auto"/>
        </w:rPr>
        <w:t xml:space="preserve"> to provide information (i) that the Company reasonably determines in good faith to be a trade secret or confidential information (unless covered by an enforceable confidentiality agreement, in a form acceptable to the Company); or (ii) the disclosure of which would adversely affect the attorney-client privilege between the Company and its counsel.</w:t>
      </w:r>
    </w:p>
    <w:p>
      <w:pPr>
        <w:spacing w:after="0" w:line="139"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31"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 xml:space="preserve">Notwithstanding anything else in this </w:t>
      </w:r>
      <w:r>
        <w:rPr>
          <w:rFonts w:ascii="Arial" w:cs="Arial" w:eastAsia="Arial" w:hAnsi="Arial"/>
          <w:sz w:val="21"/>
          <w:szCs w:val="21"/>
          <w:u w:val="single" w:color="auto"/>
          <w:color w:val="auto"/>
        </w:rPr>
        <w:t>Subsection 3.1</w:t>
      </w:r>
      <w:r>
        <w:rPr>
          <w:rFonts w:ascii="Arial" w:cs="Arial" w:eastAsia="Arial" w:hAnsi="Arial"/>
          <w:sz w:val="21"/>
          <w:szCs w:val="21"/>
          <w:color w:val="auto"/>
        </w:rPr>
        <w:t xml:space="preserve"> to the contrary, the Company may cease providing the information set forth in this </w:t>
      </w:r>
      <w:r>
        <w:rPr>
          <w:rFonts w:ascii="Arial" w:cs="Arial" w:eastAsia="Arial" w:hAnsi="Arial"/>
          <w:sz w:val="21"/>
          <w:szCs w:val="21"/>
          <w:u w:val="single" w:color="auto"/>
          <w:color w:val="auto"/>
        </w:rPr>
        <w:t>Subsection 3.1</w:t>
      </w:r>
      <w:r>
        <w:rPr>
          <w:rFonts w:ascii="Arial" w:cs="Arial" w:eastAsia="Arial" w:hAnsi="Arial"/>
          <w:sz w:val="21"/>
          <w:szCs w:val="21"/>
          <w:color w:val="auto"/>
        </w:rPr>
        <w:t xml:space="preserve"> during the period starting with the date </w:t>
      </w:r>
      <w:r>
        <w:rPr>
          <w:rFonts w:ascii="Arial" w:cs="Arial" w:eastAsia="Arial" w:hAnsi="Arial"/>
          <w:sz w:val="21"/>
          <w:szCs w:val="21"/>
          <w:b w:val="1"/>
          <w:bCs w:val="1"/>
          <w:color w:val="auto"/>
        </w:rPr>
        <w:t>sixty (60</w:t>
      </w:r>
      <w:r>
        <w:rPr>
          <w:rFonts w:ascii="Arial" w:cs="Arial" w:eastAsia="Arial" w:hAnsi="Arial"/>
          <w:sz w:val="21"/>
          <w:szCs w:val="21"/>
          <w:color w:val="auto"/>
        </w:rPr>
        <w:t xml:space="preserve">) days before the Company’s good-faith estimate of the date of filing of a registration statement if it reasonably concludes it must do so to comply with the SEC rules applicable to such registration statement and related offering;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Company’s covenants under this </w:t>
      </w:r>
      <w:r>
        <w:rPr>
          <w:rFonts w:ascii="Arial" w:cs="Arial" w:eastAsia="Arial" w:hAnsi="Arial"/>
          <w:sz w:val="21"/>
          <w:szCs w:val="21"/>
          <w:u w:val="single" w:color="auto"/>
          <w:color w:val="auto"/>
        </w:rPr>
        <w:t>Subsection 3.1</w:t>
      </w:r>
      <w:r>
        <w:rPr>
          <w:rFonts w:ascii="Arial" w:cs="Arial" w:eastAsia="Arial" w:hAnsi="Arial"/>
          <w:sz w:val="21"/>
          <w:szCs w:val="21"/>
          <w:color w:val="auto"/>
        </w:rPr>
        <w:t xml:space="preserve"> shall be reinstated at such time as the Company is no longer actively employing its commercially reasonable efforts to cause such registration statement to become effective.</w:t>
      </w:r>
    </w:p>
    <w:p>
      <w:pPr>
        <w:spacing w:after="0" w:line="1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u w:val="single" w:color="auto"/>
          <w:color w:val="auto"/>
        </w:rPr>
        <w:t>Inspection</w:t>
      </w:r>
      <w:r>
        <w:rPr>
          <w:rFonts w:ascii="Arial" w:cs="Arial" w:eastAsia="Arial" w:hAnsi="Arial"/>
          <w:sz w:val="21"/>
          <w:szCs w:val="21"/>
          <w:color w:val="auto"/>
        </w:rPr>
        <w:t>. The Company shall permit each Major Investor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Board of Directors has not reasonably determined that such Major Investor is a competitor of the Company), at such Major Investor’s expense, to visit and inspect the Company’s properties; examine its books of account and records; and discuss the Company’s affairs, finances, and accounts with its officers, during normal business hours of the Company as may be reasonably requested by the Major Investor;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the Company shall not be obligated pursuant to this </w:t>
      </w:r>
      <w:r>
        <w:rPr>
          <w:rFonts w:ascii="Arial" w:cs="Arial" w:eastAsia="Arial" w:hAnsi="Arial"/>
          <w:sz w:val="21"/>
          <w:szCs w:val="21"/>
          <w:u w:val="single" w:color="auto"/>
          <w:color w:val="auto"/>
        </w:rPr>
        <w:t>Subsection 3.2</w:t>
      </w:r>
      <w:r>
        <w:rPr>
          <w:rFonts w:ascii="Arial" w:cs="Arial" w:eastAsia="Arial" w:hAnsi="Arial"/>
          <w:sz w:val="21"/>
          <w:szCs w:val="21"/>
          <w:color w:val="auto"/>
        </w:rPr>
        <w:t xml:space="preserve"> to provide access to any information that it reasonably and in good faith considers to be a trade secret or confidential information (unless covered by an enforceable confidentiality agreement, in form acceptable to the Company) or the disclosure of which would adversely affect the attorney-client privilege between the Company and its counsel.</w:t>
      </w:r>
    </w:p>
    <w:p>
      <w:pPr>
        <w:spacing w:after="0" w:line="129"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Termination of Information</w:t>
      </w:r>
      <w:r>
        <w:rPr>
          <w:rFonts w:ascii="Arial" w:cs="Arial" w:eastAsia="Arial" w:hAnsi="Arial"/>
          <w:sz w:val="19"/>
          <w:szCs w:val="19"/>
          <w:color w:val="auto"/>
        </w:rPr>
        <w:t xml:space="preserve">. The covenants set forth in </w:t>
      </w:r>
      <w:r>
        <w:rPr>
          <w:rFonts w:ascii="Arial" w:cs="Arial" w:eastAsia="Arial" w:hAnsi="Arial"/>
          <w:sz w:val="19"/>
          <w:szCs w:val="19"/>
          <w:u w:val="single" w:color="auto"/>
          <w:color w:val="auto"/>
        </w:rPr>
        <w:t>Subsection 3.1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Subsection 3.2</w:t>
      </w:r>
      <w:r>
        <w:rPr>
          <w:rFonts w:ascii="Arial" w:cs="Arial" w:eastAsia="Arial" w:hAnsi="Arial"/>
          <w:sz w:val="19"/>
          <w:szCs w:val="19"/>
          <w:color w:val="auto"/>
        </w:rPr>
        <w:t xml:space="preserve"> shall terminate and be of no further force or effect (i) immediately before the consummation of the IPO, (ii) when the Company first becomes subject to the periodic reporting requirements of Section 12(g) or 15(d) of the Exchange Act, or (iii) upon a Deemed Liquidation Event, as such term is defined in the Company’s Certificate of Incorporation, whichever event occurs first.</w:t>
      </w:r>
    </w:p>
    <w:p>
      <w:pPr>
        <w:spacing w:after="0" w:line="88"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Confidentiality</w:t>
      </w:r>
      <w:r>
        <w:rPr>
          <w:rFonts w:ascii="Arial" w:cs="Arial" w:eastAsia="Arial" w:hAnsi="Arial"/>
          <w:sz w:val="22"/>
          <w:szCs w:val="22"/>
          <w:color w:val="auto"/>
        </w:rPr>
        <w:t xml:space="preserve">. Each Investor agrees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w:t>
      </w:r>
      <w:r>
        <w:rPr>
          <w:rFonts w:ascii="Arial" w:cs="Arial" w:eastAsia="Arial" w:hAnsi="Arial"/>
          <w:sz w:val="22"/>
          <w:szCs w:val="22"/>
          <w:u w:val="single" w:color="auto"/>
          <w:color w:val="auto"/>
        </w:rPr>
        <w:t>Subsection 3.4</w:t>
      </w:r>
      <w:r>
        <w:rPr>
          <w:rFonts w:ascii="Arial" w:cs="Arial" w:eastAsia="Arial" w:hAnsi="Arial"/>
          <w:sz w:val="22"/>
          <w:szCs w:val="22"/>
          <w:color w:val="auto"/>
        </w:rPr>
        <w:t xml:space="preserve"> by such Investor), (b) is or has been independently developed or conceived by the Investor without use of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8" w:right="339" w:bottom="1440" w:gutter="0" w:footer="0" w:header="0"/>
        </w:sectPr>
      </w:pPr>
    </w:p>
    <w:bookmarkStart w:id="276" w:name="page277"/>
    <w:bookmarkEnd w:id="276"/>
    <w:p>
      <w:pPr>
        <w:jc w:val="both"/>
        <w:spacing w:after="0" w:line="258" w:lineRule="auto"/>
        <w:rPr>
          <w:sz w:val="20"/>
          <w:szCs w:val="20"/>
          <w:color w:val="auto"/>
        </w:rPr>
      </w:pPr>
      <w:r>
        <w:rPr>
          <w:rFonts w:ascii="Arial" w:cs="Arial" w:eastAsia="Arial" w:hAnsi="Arial"/>
          <w:sz w:val="21"/>
          <w:szCs w:val="21"/>
          <w:color w:val="auto"/>
        </w:rPr>
        <w:t xml:space="preserve">confidential information, or (c) is or has been made known or disclosed to the Investor by a third party without a breach of any obligation of confidentiality such third party may have to the Company;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an Investor may disclose confidential information (i) to its attorneys, accountants, consultants, and other professionals to the extent necessary to obtain their services in connection with monitoring its investment in the Company; (ii) to any prospective purchaser of any Registrable Securities from such Investor, if such prospective purchaser agrees to be bound by the provisions of this </w:t>
      </w:r>
      <w:r>
        <w:rPr>
          <w:rFonts w:ascii="Arial" w:cs="Arial" w:eastAsia="Arial" w:hAnsi="Arial"/>
          <w:sz w:val="21"/>
          <w:szCs w:val="21"/>
          <w:u w:val="single" w:color="auto"/>
          <w:color w:val="auto"/>
        </w:rPr>
        <w:t>Subsection 3.4</w:t>
      </w:r>
      <w:r>
        <w:rPr>
          <w:rFonts w:ascii="Arial" w:cs="Arial" w:eastAsia="Arial" w:hAnsi="Arial"/>
          <w:sz w:val="21"/>
          <w:szCs w:val="21"/>
          <w:color w:val="auto"/>
        </w:rPr>
        <w:t xml:space="preserve">; (iii) to any existing or prospective Affiliate, partner, member, stockholder, or wholly owned subsidiary of such Investor in the ordinary course of business,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Investor informs such Person that such information is confidential and directs such Person to maintain the confidentiality of such information; or (iv) as may otherwise be required by law,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Investor promptly notifies the Company of such disclosure and takes reasonable steps to minimize the extent of any such required disclosure.</w:t>
      </w:r>
    </w:p>
    <w:p>
      <w:pPr>
        <w:spacing w:after="0" w:line="131"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u w:val="single" w:color="auto"/>
          <w:color w:val="auto"/>
        </w:rPr>
        <w:t>Observer Rights</w:t>
      </w:r>
      <w:r>
        <w:rPr>
          <w:rFonts w:ascii="Arial" w:cs="Arial" w:eastAsia="Arial" w:hAnsi="Arial"/>
          <w:sz w:val="19"/>
          <w:szCs w:val="19"/>
          <w:color w:val="auto"/>
        </w:rPr>
        <w:t xml:space="preserve">. As long as iGlobe International Limited (“iGlobe”) continues to own beneficially at least 1,000,000 shares of Series A Preferred Stock (or shares of Common Stock issued upon conversion thereof), the Company shall invite a representative of iGlobe to attend all meetings of the Board in a nonvoting observer capacity and, in this respect, shall give such representative copies of all notices, minutes, consents and other materials that it provides to its directors at the same time and in the same manner as provided to such directors;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such representative shall agree to hold in confidence and trust and to act in a fiduciary manner with respect to all information so provided;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Company reserves the right to withhold any information and to exclude such representative from any meeting or portion thereof if access to such information or attendance at such meeting could adversely affect the attorney-client privilege between the Company and its counsel or result in disclosure of trade secrets. Notwithstanding anything in this Agreement to the contrary, the rights granted under this </w:t>
      </w:r>
      <w:r>
        <w:rPr>
          <w:rFonts w:ascii="Arial" w:cs="Arial" w:eastAsia="Arial" w:hAnsi="Arial"/>
          <w:sz w:val="19"/>
          <w:szCs w:val="19"/>
          <w:u w:val="single" w:color="auto"/>
          <w:color w:val="auto"/>
        </w:rPr>
        <w:t>Subsection 3.5</w:t>
      </w:r>
      <w:r>
        <w:rPr>
          <w:rFonts w:ascii="Arial" w:cs="Arial" w:eastAsia="Arial" w:hAnsi="Arial"/>
          <w:sz w:val="19"/>
          <w:szCs w:val="19"/>
          <w:color w:val="auto"/>
        </w:rPr>
        <w:t xml:space="preserve"> shall terminate and be of no force and effect immediately upon the consummation by the Company of a sale of its Series B Preferred Stock (or similar transaction).</w:t>
      </w:r>
    </w:p>
    <w:p>
      <w:pPr>
        <w:spacing w:after="0" w:line="109" w:lineRule="exact"/>
        <w:rPr>
          <w:sz w:val="20"/>
          <w:szCs w:val="20"/>
          <w:color w:val="auto"/>
        </w:rPr>
      </w:pPr>
    </w:p>
    <w:p>
      <w:pPr>
        <w:ind w:left="1040" w:hanging="384"/>
        <w:spacing w:after="0"/>
        <w:tabs>
          <w:tab w:leader="none" w:pos="1040" w:val="left"/>
        </w:tabs>
        <w:numPr>
          <w:ilvl w:val="0"/>
          <w:numId w:val="214"/>
        </w:numPr>
        <w:rPr>
          <w:rFonts w:ascii="Arial" w:cs="Arial" w:eastAsia="Arial" w:hAnsi="Arial"/>
          <w:sz w:val="22"/>
          <w:szCs w:val="22"/>
          <w:color w:val="auto"/>
        </w:rPr>
      </w:pPr>
      <w:r>
        <w:rPr>
          <w:rFonts w:ascii="Arial" w:cs="Arial" w:eastAsia="Arial" w:hAnsi="Arial"/>
          <w:sz w:val="22"/>
          <w:szCs w:val="22"/>
          <w:u w:val="single" w:color="auto"/>
          <w:color w:val="auto"/>
        </w:rPr>
        <w:t>Rights to Future Stock Issuances</w:t>
      </w:r>
      <w:r>
        <w:rPr>
          <w:rFonts w:ascii="Arial" w:cs="Arial" w:eastAsia="Arial" w:hAnsi="Arial"/>
          <w:sz w:val="22"/>
          <w:szCs w:val="22"/>
          <w:color w:val="auto"/>
        </w:rPr>
        <w:t>.</w:t>
      </w:r>
    </w:p>
    <w:p>
      <w:pPr>
        <w:spacing w:after="0" w:line="166"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Right of First Offer</w:t>
      </w:r>
      <w:r>
        <w:rPr>
          <w:rFonts w:ascii="Arial" w:cs="Arial" w:eastAsia="Arial" w:hAnsi="Arial"/>
          <w:sz w:val="19"/>
          <w:szCs w:val="19"/>
          <w:color w:val="auto"/>
        </w:rPr>
        <w:t xml:space="preserve">. Subject to the terms and conditions of this </w:t>
      </w:r>
      <w:r>
        <w:rPr>
          <w:rFonts w:ascii="Arial" w:cs="Arial" w:eastAsia="Arial" w:hAnsi="Arial"/>
          <w:sz w:val="19"/>
          <w:szCs w:val="19"/>
          <w:u w:val="single" w:color="auto"/>
          <w:color w:val="auto"/>
        </w:rPr>
        <w:t>Subsection 4.1</w:t>
      </w:r>
      <w:r>
        <w:rPr>
          <w:rFonts w:ascii="Arial" w:cs="Arial" w:eastAsia="Arial" w:hAnsi="Arial"/>
          <w:sz w:val="19"/>
          <w:szCs w:val="19"/>
          <w:color w:val="auto"/>
        </w:rPr>
        <w:t xml:space="preserve"> and applicable securities laws, if the Company proposes to offer or sell any New Securities, the Company shall first offer such New Securities to each Major Investor. A Major Investor shall be entitled to apportion the right of first offer hereby granted to it in such proportions as it deems appropriate, among (i) itself, and (ii) its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such Affiliate (x) is not a Competitor or FOIA Party, unless such party’s purchase of New Securities is otherwise consented to by the Board of Directors, (y) agrees to enter into this Agreement and each of the Voting Agreement and Right of First Refusal and Co-Sale Agreement of even date herewith among the Company, the Investors and the other parties named therein, as an “</w:t>
      </w:r>
      <w:r>
        <w:rPr>
          <w:rFonts w:ascii="Arial" w:cs="Arial" w:eastAsia="Arial" w:hAnsi="Arial"/>
          <w:sz w:val="19"/>
          <w:szCs w:val="19"/>
          <w:b w:val="1"/>
          <w:bCs w:val="1"/>
          <w:color w:val="auto"/>
        </w:rPr>
        <w:t>Investor</w:t>
      </w:r>
      <w:r>
        <w:rPr>
          <w:rFonts w:ascii="Arial" w:cs="Arial" w:eastAsia="Arial" w:hAnsi="Arial"/>
          <w:sz w:val="19"/>
          <w:szCs w:val="19"/>
          <w:color w:val="auto"/>
        </w:rPr>
        <w:t>” under each such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Competitor or FOIA Party shall not be entitled to any rights as a Major Investor under </w:t>
      </w:r>
      <w:r>
        <w:rPr>
          <w:rFonts w:ascii="Arial" w:cs="Arial" w:eastAsia="Arial" w:hAnsi="Arial"/>
          <w:sz w:val="19"/>
          <w:szCs w:val="19"/>
          <w:u w:val="single" w:color="auto"/>
          <w:color w:val="auto"/>
        </w:rPr>
        <w:t>Subsections 3.1</w:t>
      </w:r>
      <w:r>
        <w:rPr>
          <w:rFonts w:ascii="Arial" w:cs="Arial" w:eastAsia="Arial" w:hAnsi="Arial"/>
          <w:sz w:val="19"/>
          <w:szCs w:val="19"/>
          <w:color w:val="auto"/>
        </w:rPr>
        <w:t xml:space="preserve">, </w:t>
      </w:r>
      <w:r>
        <w:rPr>
          <w:rFonts w:ascii="Arial" w:cs="Arial" w:eastAsia="Arial" w:hAnsi="Arial"/>
          <w:sz w:val="19"/>
          <w:szCs w:val="19"/>
          <w:u w:val="single" w:color="auto"/>
          <w:color w:val="auto"/>
        </w:rPr>
        <w:t>3.2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4.1</w:t>
      </w:r>
      <w:r>
        <w:rPr>
          <w:rFonts w:ascii="Arial" w:cs="Arial" w:eastAsia="Arial" w:hAnsi="Arial"/>
          <w:sz w:val="19"/>
          <w:szCs w:val="19"/>
          <w:color w:val="auto"/>
        </w:rPr>
        <w:t xml:space="preserve"> hereof), and agrees to purchase at least such number of New Securities as are allocable hereunder to the Major Investor holding the fewest number of Series A Preferred Stock and any other Derivative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28" w:right="339" w:bottom="1440" w:gutter="0" w:footer="0" w:header="0"/>
        </w:sectPr>
      </w:pPr>
    </w:p>
    <w:bookmarkStart w:id="277" w:name="page278"/>
    <w:bookmarkEnd w:id="277"/>
    <w:p>
      <w:pPr>
        <w:jc w:val="both"/>
        <w:ind w:right="20" w:firstLine="1952"/>
        <w:spacing w:after="0" w:line="256" w:lineRule="auto"/>
        <w:tabs>
          <w:tab w:leader="none" w:pos="2434" w:val="left"/>
        </w:tabs>
        <w:numPr>
          <w:ilvl w:val="0"/>
          <w:numId w:val="215"/>
        </w:numPr>
        <w:rPr>
          <w:rFonts w:ascii="Arial" w:cs="Arial" w:eastAsia="Arial" w:hAnsi="Arial"/>
          <w:sz w:val="22"/>
          <w:szCs w:val="22"/>
          <w:color w:val="auto"/>
        </w:rPr>
      </w:pPr>
      <w:r>
        <w:rPr>
          <w:rFonts w:ascii="Arial" w:cs="Arial" w:eastAsia="Arial" w:hAnsi="Arial"/>
          <w:sz w:val="22"/>
          <w:szCs w:val="22"/>
          <w:color w:val="auto"/>
        </w:rPr>
        <w:t>The Company shall give notice (the “</w:t>
      </w:r>
      <w:r>
        <w:rPr>
          <w:rFonts w:ascii="Arial" w:cs="Arial" w:eastAsia="Arial" w:hAnsi="Arial"/>
          <w:sz w:val="22"/>
          <w:szCs w:val="22"/>
          <w:b w:val="1"/>
          <w:bCs w:val="1"/>
          <w:color w:val="auto"/>
        </w:rPr>
        <w:t>Offer Notice</w:t>
      </w:r>
      <w:r>
        <w:rPr>
          <w:rFonts w:ascii="Arial" w:cs="Arial" w:eastAsia="Arial" w:hAnsi="Arial"/>
          <w:sz w:val="22"/>
          <w:szCs w:val="22"/>
          <w:color w:val="auto"/>
        </w:rPr>
        <w:t>”) to each Major Investor, stating (i) its bona fide intention to offer such New Securities, (ii) the number of such New Securities to be offered, and (iii) the price and terms, if any, upon which it proposes to offer such New Securities.</w:t>
      </w:r>
    </w:p>
    <w:p>
      <w:pPr>
        <w:spacing w:after="0" w:line="128" w:lineRule="exact"/>
        <w:rPr>
          <w:rFonts w:ascii="Arial" w:cs="Arial" w:eastAsia="Arial" w:hAnsi="Arial"/>
          <w:sz w:val="22"/>
          <w:szCs w:val="22"/>
          <w:color w:val="auto"/>
        </w:rPr>
      </w:pPr>
    </w:p>
    <w:p>
      <w:pPr>
        <w:jc w:val="both"/>
        <w:ind w:firstLine="1952"/>
        <w:spacing w:after="0" w:line="285" w:lineRule="auto"/>
        <w:tabs>
          <w:tab w:leader="none" w:pos="2458" w:val="left"/>
        </w:tabs>
        <w:numPr>
          <w:ilvl w:val="0"/>
          <w:numId w:val="215"/>
        </w:numPr>
        <w:rPr>
          <w:rFonts w:ascii="Arial" w:cs="Arial" w:eastAsia="Arial" w:hAnsi="Arial"/>
          <w:sz w:val="19"/>
          <w:szCs w:val="19"/>
          <w:color w:val="auto"/>
        </w:rPr>
      </w:pPr>
      <w:r>
        <w:rPr>
          <w:rFonts w:ascii="Arial" w:cs="Arial" w:eastAsia="Arial" w:hAnsi="Arial"/>
          <w:sz w:val="19"/>
          <w:szCs w:val="19"/>
          <w:color w:val="auto"/>
        </w:rPr>
        <w:t>By notification to the Company within twenty (20) days after the Offer Notice is given, each Major Investor may elect to purchase or otherwise acquire, at the price and on the terms specified in the Offer Notice, up to that portion of such New Securities which equals the proportion that the Common Stock then held by such Major Investor (including all shares of Common Stock then issuable (directly or indirectly) upon conversion and/or exercise, as applicable, of the Series A Preferred Stock and any other Derivative Securities then held by such Major Investor) bears to the total Common Stock of the Company then outstanding (assuming full conversion and/or exercise, as applicable, of all Series A Preferred Stock and other Derivative Securities). At the expiration of such twenty (20) day period, the Company shall promptly notify each Major Investor that elects to purchase or acquire all the shares available to it (each, a “</w:t>
      </w:r>
      <w:r>
        <w:rPr>
          <w:rFonts w:ascii="Arial" w:cs="Arial" w:eastAsia="Arial" w:hAnsi="Arial"/>
          <w:sz w:val="19"/>
          <w:szCs w:val="19"/>
          <w:b w:val="1"/>
          <w:bCs w:val="1"/>
          <w:color w:val="auto"/>
        </w:rPr>
        <w:t>Fully Exercising Investor</w:t>
      </w:r>
      <w:r>
        <w:rPr>
          <w:rFonts w:ascii="Arial" w:cs="Arial" w:eastAsia="Arial" w:hAnsi="Arial"/>
          <w:sz w:val="19"/>
          <w:szCs w:val="19"/>
          <w:color w:val="auto"/>
        </w:rPr>
        <w:t xml:space="preserve">”) of any other Major Investor’s failure to do likewise. During the ten (10) day period commencing after the Company has given such notice, each Fully Exercising Investor may, by giving notice to the Company, elect to purchase or acquire, in addition to the number of shares specified above, up to that portion of the New Securities for which Major Investors were entitled to subscribe but that were not subscribed for by the Major Investors which is equal to the proportion that the Common Stock issued and held, or issuable (directly or indirectly) upon conversion and/or exercise, as applicable, of Series A Preferred Stock and any other Derivative Securities then held, by such Fully Exercising Investor bears to the Common Stock issued and held, or issuable (directly or indirectly) upon conversion and/or exercise, as applicable, of the Series A Preferred Stock and any other Derivative Securities then held, by all Fully Exercising Investors who wish to purchase such unsubscribed shares. The closing of any sale pursuant to this </w:t>
      </w:r>
      <w:r>
        <w:rPr>
          <w:rFonts w:ascii="Arial" w:cs="Arial" w:eastAsia="Arial" w:hAnsi="Arial"/>
          <w:sz w:val="19"/>
          <w:szCs w:val="19"/>
          <w:u w:val="single" w:color="auto"/>
          <w:color w:val="auto"/>
        </w:rPr>
        <w:t>Subsection 4.1(b)</w:t>
      </w:r>
      <w:r>
        <w:rPr>
          <w:rFonts w:ascii="Arial" w:cs="Arial" w:eastAsia="Arial" w:hAnsi="Arial"/>
          <w:sz w:val="19"/>
          <w:szCs w:val="19"/>
          <w:color w:val="auto"/>
        </w:rPr>
        <w:t xml:space="preserve"> shall occur within the later of ninety (90) days of the date that the Offer Notice is given and the date of initial sale of New Securities pursuant to </w:t>
      </w:r>
      <w:r>
        <w:rPr>
          <w:rFonts w:ascii="Arial" w:cs="Arial" w:eastAsia="Arial" w:hAnsi="Arial"/>
          <w:sz w:val="19"/>
          <w:szCs w:val="19"/>
          <w:u w:val="single" w:color="auto"/>
          <w:color w:val="auto"/>
        </w:rPr>
        <w:t>Subsection 4.1(c)</w:t>
      </w:r>
      <w:r>
        <w:rPr>
          <w:rFonts w:ascii="Arial" w:cs="Arial" w:eastAsia="Arial" w:hAnsi="Arial"/>
          <w:sz w:val="19"/>
          <w:szCs w:val="19"/>
          <w:color w:val="auto"/>
        </w:rPr>
        <w:t>.</w:t>
      </w:r>
    </w:p>
    <w:p>
      <w:pPr>
        <w:spacing w:after="0" w:line="368" w:lineRule="exact"/>
        <w:rPr>
          <w:rFonts w:ascii="Arial" w:cs="Arial" w:eastAsia="Arial" w:hAnsi="Arial"/>
          <w:sz w:val="19"/>
          <w:szCs w:val="19"/>
          <w:color w:val="auto"/>
        </w:rPr>
      </w:pPr>
    </w:p>
    <w:p>
      <w:pPr>
        <w:jc w:val="both"/>
        <w:ind w:firstLine="1952"/>
        <w:spacing w:after="0" w:line="292" w:lineRule="auto"/>
        <w:tabs>
          <w:tab w:leader="none" w:pos="2473" w:val="left"/>
        </w:tabs>
        <w:numPr>
          <w:ilvl w:val="0"/>
          <w:numId w:val="215"/>
        </w:numPr>
        <w:rPr>
          <w:rFonts w:ascii="Arial" w:cs="Arial" w:eastAsia="Arial" w:hAnsi="Arial"/>
          <w:sz w:val="19"/>
          <w:szCs w:val="19"/>
          <w:color w:val="auto"/>
        </w:rPr>
      </w:pPr>
      <w:r>
        <w:rPr>
          <w:rFonts w:ascii="Arial" w:cs="Arial" w:eastAsia="Arial" w:hAnsi="Arial"/>
          <w:sz w:val="19"/>
          <w:szCs w:val="19"/>
          <w:color w:val="auto"/>
        </w:rPr>
        <w:t xml:space="preserve">If all New Securities referred to in the Offer Notice are not elected to be purchased or acquired as provided in </w:t>
      </w:r>
      <w:r>
        <w:rPr>
          <w:rFonts w:ascii="Arial" w:cs="Arial" w:eastAsia="Arial" w:hAnsi="Arial"/>
          <w:sz w:val="19"/>
          <w:szCs w:val="19"/>
          <w:u w:val="single" w:color="auto"/>
          <w:color w:val="auto"/>
        </w:rPr>
        <w:t>Subsection 4.1(b)</w:t>
      </w:r>
      <w:r>
        <w:rPr>
          <w:rFonts w:ascii="Arial" w:cs="Arial" w:eastAsia="Arial" w:hAnsi="Arial"/>
          <w:sz w:val="19"/>
          <w:szCs w:val="19"/>
          <w:color w:val="auto"/>
        </w:rPr>
        <w:t xml:space="preserve">, the Company may, during the ninety (90) day period following the expiration of the periods provided in </w:t>
      </w:r>
      <w:r>
        <w:rPr>
          <w:rFonts w:ascii="Arial" w:cs="Arial" w:eastAsia="Arial" w:hAnsi="Arial"/>
          <w:sz w:val="19"/>
          <w:szCs w:val="19"/>
          <w:u w:val="single" w:color="auto"/>
          <w:color w:val="auto"/>
        </w:rPr>
        <w:t>Subsection 4.1(b)</w:t>
      </w:r>
      <w:r>
        <w:rPr>
          <w:rFonts w:ascii="Arial" w:cs="Arial" w:eastAsia="Arial" w:hAnsi="Arial"/>
          <w:sz w:val="19"/>
          <w:szCs w:val="19"/>
          <w:color w:val="auto"/>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Major Investors in accordance with this </w:t>
      </w:r>
      <w:r>
        <w:rPr>
          <w:rFonts w:ascii="Arial" w:cs="Arial" w:eastAsia="Arial" w:hAnsi="Arial"/>
          <w:sz w:val="19"/>
          <w:szCs w:val="19"/>
          <w:u w:val="single" w:color="auto"/>
          <w:color w:val="auto"/>
        </w:rPr>
        <w:t>Subsection 4.1</w:t>
      </w:r>
      <w:r>
        <w:rPr>
          <w:rFonts w:ascii="Arial" w:cs="Arial" w:eastAsia="Arial" w:hAnsi="Arial"/>
          <w:sz w:val="19"/>
          <w:szCs w:val="19"/>
          <w:color w:val="auto"/>
        </w:rPr>
        <w:t>.</w:t>
      </w:r>
    </w:p>
    <w:p>
      <w:pPr>
        <w:spacing w:after="0" w:line="96" w:lineRule="exact"/>
        <w:rPr>
          <w:rFonts w:ascii="Arial" w:cs="Arial" w:eastAsia="Arial" w:hAnsi="Arial"/>
          <w:sz w:val="19"/>
          <w:szCs w:val="19"/>
          <w:color w:val="auto"/>
        </w:rPr>
      </w:pPr>
    </w:p>
    <w:p>
      <w:pPr>
        <w:jc w:val="both"/>
        <w:ind w:firstLine="1952"/>
        <w:spacing w:after="0" w:line="312" w:lineRule="auto"/>
        <w:tabs>
          <w:tab w:leader="none" w:pos="2482" w:val="left"/>
        </w:tabs>
        <w:numPr>
          <w:ilvl w:val="0"/>
          <w:numId w:val="215"/>
        </w:numPr>
        <w:rPr>
          <w:rFonts w:ascii="Arial" w:cs="Arial" w:eastAsia="Arial" w:hAnsi="Arial"/>
          <w:sz w:val="19"/>
          <w:szCs w:val="19"/>
          <w:color w:val="auto"/>
        </w:rPr>
      </w:pPr>
      <w:r>
        <w:rPr>
          <w:rFonts w:ascii="Arial" w:cs="Arial" w:eastAsia="Arial" w:hAnsi="Arial"/>
          <w:sz w:val="19"/>
          <w:szCs w:val="19"/>
          <w:color w:val="auto"/>
        </w:rPr>
        <w:t xml:space="preserve">The right of first offer in this </w:t>
      </w:r>
      <w:r>
        <w:rPr>
          <w:rFonts w:ascii="Arial" w:cs="Arial" w:eastAsia="Arial" w:hAnsi="Arial"/>
          <w:sz w:val="19"/>
          <w:szCs w:val="19"/>
          <w:u w:val="single" w:color="auto"/>
          <w:color w:val="auto"/>
        </w:rPr>
        <w:t>Subsection 4.1</w:t>
      </w:r>
      <w:r>
        <w:rPr>
          <w:rFonts w:ascii="Arial" w:cs="Arial" w:eastAsia="Arial" w:hAnsi="Arial"/>
          <w:sz w:val="19"/>
          <w:szCs w:val="19"/>
          <w:color w:val="auto"/>
        </w:rPr>
        <w:t xml:space="preserve"> shall not be applicable to (i) Exempted Securities (as defined in the Company’s Certificate of Incorporation); (ii) shares of Common Stock issued in the IPO; and (iii) the issuance of shares of Series A Preferred Stock to Additional Purchasers pursuant to </w:t>
      </w:r>
      <w:r>
        <w:rPr>
          <w:rFonts w:ascii="Arial" w:cs="Arial" w:eastAsia="Arial" w:hAnsi="Arial"/>
          <w:sz w:val="19"/>
          <w:szCs w:val="19"/>
          <w:u w:val="single" w:color="auto"/>
          <w:color w:val="auto"/>
        </w:rPr>
        <w:t>Subsection 1.3</w:t>
      </w:r>
      <w:r>
        <w:rPr>
          <w:rFonts w:ascii="Arial" w:cs="Arial" w:eastAsia="Arial" w:hAnsi="Arial"/>
          <w:sz w:val="19"/>
          <w:szCs w:val="19"/>
          <w:color w:val="auto"/>
        </w:rPr>
        <w:t xml:space="preserve"> of the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22" w:right="339" w:bottom="1440" w:gutter="0" w:footer="0" w:header="0"/>
        </w:sectPr>
      </w:pPr>
    </w:p>
    <w:bookmarkStart w:id="278" w:name="page279"/>
    <w:bookmarkEnd w:id="278"/>
    <w:p>
      <w:pPr>
        <w:ind w:left="1620"/>
        <w:spacing w:after="0"/>
        <w:tabs>
          <w:tab w:leader="none" w:pos="210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 The covenants set forth in</w:t>
      </w:r>
      <w:r>
        <w:rPr>
          <w:rFonts w:ascii="Arial" w:cs="Arial" w:eastAsia="Arial" w:hAnsi="Arial"/>
          <w:sz w:val="19"/>
          <w:szCs w:val="19"/>
          <w:u w:val="single" w:color="auto"/>
          <w:color w:val="auto"/>
        </w:rPr>
        <w:t xml:space="preserve"> Subsection 4.1 </w:t>
      </w:r>
      <w:r>
        <w:rPr>
          <w:rFonts w:ascii="Arial" w:cs="Arial" w:eastAsia="Arial" w:hAnsi="Arial"/>
          <w:sz w:val="19"/>
          <w:szCs w:val="19"/>
          <w:color w:val="auto"/>
        </w:rPr>
        <w:t>shall terminate and be of no further force or effect</w:t>
      </w:r>
    </w:p>
    <w:p>
      <w:pPr>
        <w:spacing w:after="0" w:line="21" w:lineRule="exact"/>
        <w:rPr>
          <w:sz w:val="20"/>
          <w:szCs w:val="20"/>
          <w:color w:val="auto"/>
        </w:rPr>
      </w:pPr>
    </w:p>
    <w:p>
      <w:pPr>
        <w:jc w:val="both"/>
        <w:ind w:firstLine="8"/>
        <w:spacing w:after="0" w:line="245" w:lineRule="auto"/>
        <w:tabs>
          <w:tab w:leader="none" w:pos="289" w:val="left"/>
        </w:tabs>
        <w:numPr>
          <w:ilvl w:val="0"/>
          <w:numId w:val="216"/>
        </w:numPr>
        <w:rPr>
          <w:rFonts w:ascii="Arial" w:cs="Arial" w:eastAsia="Arial" w:hAnsi="Arial"/>
          <w:sz w:val="22"/>
          <w:szCs w:val="22"/>
          <w:color w:val="auto"/>
        </w:rPr>
      </w:pPr>
      <w:r>
        <w:rPr>
          <w:rFonts w:ascii="Arial" w:cs="Arial" w:eastAsia="Arial" w:hAnsi="Arial"/>
          <w:sz w:val="22"/>
          <w:szCs w:val="22"/>
          <w:color w:val="auto"/>
        </w:rPr>
        <w:t>immediately before the consummation of the IPO, (ii) when the Company first becomes subject to the periodic reporting requirements of Section 12(g) or 15(d) of the Exchange Act, or (iii) upon a Deemed Liquidation Event, as such term is defined in the Company’s Certificate of Incorporation, whichever event occurs first.</w:t>
      </w:r>
    </w:p>
    <w:p>
      <w:pPr>
        <w:spacing w:after="0" w:line="138" w:lineRule="exact"/>
        <w:rPr>
          <w:rFonts w:ascii="Arial" w:cs="Arial" w:eastAsia="Arial" w:hAnsi="Arial"/>
          <w:sz w:val="22"/>
          <w:szCs w:val="22"/>
          <w:color w:val="auto"/>
        </w:rPr>
      </w:pPr>
    </w:p>
    <w:p>
      <w:pPr>
        <w:ind w:left="1040" w:hanging="384"/>
        <w:spacing w:after="0"/>
        <w:tabs>
          <w:tab w:leader="none" w:pos="1040" w:val="left"/>
        </w:tabs>
        <w:numPr>
          <w:ilvl w:val="1"/>
          <w:numId w:val="216"/>
        </w:numPr>
        <w:rPr>
          <w:rFonts w:ascii="Arial" w:cs="Arial" w:eastAsia="Arial" w:hAnsi="Arial"/>
          <w:sz w:val="22"/>
          <w:szCs w:val="22"/>
          <w:color w:val="auto"/>
        </w:rPr>
      </w:pPr>
      <w:r>
        <w:rPr>
          <w:rFonts w:ascii="Arial" w:cs="Arial" w:eastAsia="Arial" w:hAnsi="Arial"/>
          <w:sz w:val="22"/>
          <w:szCs w:val="22"/>
          <w:u w:val="single" w:color="auto"/>
          <w:color w:val="auto"/>
        </w:rPr>
        <w:t>Additional Covenants</w:t>
      </w:r>
      <w:r>
        <w:rPr>
          <w:rFonts w:ascii="Arial" w:cs="Arial" w:eastAsia="Arial" w:hAnsi="Arial"/>
          <w:sz w:val="22"/>
          <w:szCs w:val="22"/>
          <w:color w:val="auto"/>
        </w:rPr>
        <w:t>.</w:t>
      </w:r>
    </w:p>
    <w:p>
      <w:pPr>
        <w:spacing w:after="0" w:line="166" w:lineRule="exact"/>
        <w:rPr>
          <w:sz w:val="20"/>
          <w:szCs w:val="20"/>
          <w:color w:val="auto"/>
        </w:rPr>
      </w:pPr>
    </w:p>
    <w:p>
      <w:pPr>
        <w:jc w:val="both"/>
        <w:ind w:firstLine="1620"/>
        <w:spacing w:after="0" w:line="286"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Insurance</w:t>
      </w:r>
      <w:r>
        <w:rPr>
          <w:rFonts w:ascii="Arial" w:cs="Arial" w:eastAsia="Arial" w:hAnsi="Arial"/>
          <w:sz w:val="19"/>
          <w:szCs w:val="19"/>
          <w:color w:val="auto"/>
        </w:rPr>
        <w:t xml:space="preserve">. The Company shall use its commercially reasonable efforts to obtain, within forty-five (45) days of the date hereof, from financially sound and reputable insurers Directors and Officers liability insurance and term “key-person” insurance on Tim Chen, each in an amount and on terms and conditions satisfactory to the Board of Directors, and will use commercially reasonable efforts to cause such insurance policies to be maintained until such time as the Board of Directors determines that such insurance should be discontinued. The key-person policy shall name the Company as loss payee, and neither policy shall be cancelable by the Company without prior approval by the Board of Directors including the Series A Directors. Notwithstanding any other provision of this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to the contrary, for so long as a Series A Director (as defined in the Company’s Certificate of Incorporation) is serving on the Board of Directors, the Company shall not cease to maintain a Directors and Officers liability insurance policy in an amount of at least $5,000,000 unless approved by the Series A Directors, and the Company shall annually, within one hundred twenty (120) days after the end of each fiscal year of the Company, deliver to the Series A Purchasers a certification that such a Directors and Officers liability insurance policy remains in effect. Each Key Holder hereby covenants and agrees that, to the extent such Key Holder is named under such key-person policy, such Key Holder will execute and deliver to the Company, as reasonably requested, a written notice and consent form with respect to such policy.</w:t>
      </w:r>
    </w:p>
    <w:p>
      <w:pPr>
        <w:spacing w:after="0" w:line="112" w:lineRule="exact"/>
        <w:rPr>
          <w:sz w:val="20"/>
          <w:szCs w:val="20"/>
          <w:color w:val="auto"/>
        </w:rPr>
      </w:pPr>
    </w:p>
    <w:p>
      <w:pPr>
        <w:jc w:val="both"/>
        <w:ind w:firstLine="1620"/>
        <w:spacing w:after="0" w:line="246"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Employee Agreements</w:t>
      </w:r>
      <w:r>
        <w:rPr>
          <w:rFonts w:ascii="Arial" w:cs="Arial" w:eastAsia="Arial" w:hAnsi="Arial"/>
          <w:sz w:val="22"/>
          <w:szCs w:val="22"/>
          <w:color w:val="auto"/>
        </w:rPr>
        <w:t>. The Company will cause (i) each person now or hereafter employed by it or by any subsidiary (or engaged by the Company or any subsidiary as a consultant/independent contractor) with access to confidential information and/or trade secrets to enter into a nondisclosure and proprietary rights assignment agreement; and (ii) each Key Employee to enter into a one (1) year noncompetition and nonsolicitation agreement, substantially in the form approved by the Board of Directors. In addition, the Company shall not amend, modify, terminate, waive, or otherwise alter, in whole or in part, any of the above- referenced agreements or any restricted stock agreement between the Company and any employee, without the consent of the Series A Directors.</w:t>
      </w:r>
    </w:p>
    <w:p>
      <w:pPr>
        <w:spacing w:after="0" w:line="142"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Employee Stock</w:t>
      </w:r>
      <w:r>
        <w:rPr>
          <w:rFonts w:ascii="Arial" w:cs="Arial" w:eastAsia="Arial" w:hAnsi="Arial"/>
          <w:sz w:val="19"/>
          <w:szCs w:val="19"/>
          <w:color w:val="auto"/>
        </w:rPr>
        <w:t xml:space="preserve">. Unless otherwise approved by the Board of Directors, including the Series A Directors, all future employees and consultants of the Company who purchase, receive options to purchase, or receive awards of shares of the Company’s capital stock after the date hereof shall be required to execute restricted stock or option agreements, as applicable, providing for (i) vesting of shares over a four (4) year period, with the first twenty- five percent (25%) of such shares vesting following twelve (12) months of continued employment or service, and the remaining shares vesting in equal monthly installments over the following thirty-six (36) months, and (ii) a market stand-off provision substantially similar to that in </w:t>
      </w:r>
      <w:r>
        <w:rPr>
          <w:rFonts w:ascii="Arial" w:cs="Arial" w:eastAsia="Arial" w:hAnsi="Arial"/>
          <w:sz w:val="19"/>
          <w:szCs w:val="19"/>
          <w:u w:val="single" w:color="auto"/>
          <w:color w:val="auto"/>
        </w:rPr>
        <w:t>Subsection 2.11</w:t>
      </w:r>
      <w:r>
        <w:rPr>
          <w:rFonts w:ascii="Arial" w:cs="Arial" w:eastAsia="Arial" w:hAnsi="Arial"/>
          <w:sz w:val="19"/>
          <w:szCs w:val="19"/>
          <w:color w:val="auto"/>
        </w:rPr>
        <w:t>. In addition, unless otherwise approved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28" w:right="339" w:bottom="1440" w:gutter="0" w:footer="0" w:header="0"/>
        </w:sectPr>
      </w:pPr>
    </w:p>
    <w:bookmarkStart w:id="279" w:name="page280"/>
    <w:bookmarkEnd w:id="279"/>
    <w:p>
      <w:pPr>
        <w:jc w:val="both"/>
        <w:spacing w:after="0" w:line="343" w:lineRule="auto"/>
        <w:rPr>
          <w:sz w:val="20"/>
          <w:szCs w:val="20"/>
          <w:color w:val="auto"/>
        </w:rPr>
      </w:pPr>
      <w:r>
        <w:rPr>
          <w:rFonts w:ascii="Arial" w:cs="Arial" w:eastAsia="Arial" w:hAnsi="Arial"/>
          <w:sz w:val="19"/>
          <w:szCs w:val="19"/>
          <w:color w:val="auto"/>
        </w:rPr>
        <w:t>including the Series A Directors, the Company shall retain a “right of first refusal” on employee transfers until the Company’s IPO and shall have the right to repurchase unvested shares at cost upon termination of employment of a holder of restricted stock.</w:t>
      </w:r>
    </w:p>
    <w:p>
      <w:pPr>
        <w:spacing w:after="0" w:line="50"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Matters Requiring Investor Director Approval</w:t>
      </w:r>
      <w:r>
        <w:rPr>
          <w:rFonts w:ascii="Arial" w:cs="Arial" w:eastAsia="Arial" w:hAnsi="Arial"/>
          <w:sz w:val="19"/>
          <w:szCs w:val="19"/>
          <w:color w:val="auto"/>
        </w:rPr>
        <w:t>. So long as the holders of Series A Preferred Stock are entitled to elect a Series A Director, the Company hereby covenants and agrees with each of the Investors that it shall not, without approval of the Board of Directors, which approval must include the affirmative vote of the Series A Directors:</w:t>
      </w:r>
    </w:p>
    <w:p>
      <w:pPr>
        <w:spacing w:after="0" w:line="79" w:lineRule="exact"/>
        <w:rPr>
          <w:sz w:val="20"/>
          <w:szCs w:val="20"/>
          <w:color w:val="auto"/>
        </w:rPr>
      </w:pPr>
    </w:p>
    <w:p>
      <w:pPr>
        <w:ind w:firstLine="1952"/>
        <w:spacing w:after="0" w:line="343" w:lineRule="auto"/>
        <w:tabs>
          <w:tab w:leader="none" w:pos="2533" w:val="left"/>
        </w:tabs>
        <w:numPr>
          <w:ilvl w:val="0"/>
          <w:numId w:val="217"/>
        </w:numPr>
        <w:rPr>
          <w:rFonts w:ascii="Arial" w:cs="Arial" w:eastAsia="Arial" w:hAnsi="Arial"/>
          <w:sz w:val="19"/>
          <w:szCs w:val="19"/>
          <w:color w:val="auto"/>
        </w:rPr>
      </w:pPr>
      <w:r>
        <w:rPr>
          <w:rFonts w:ascii="Arial" w:cs="Arial" w:eastAsia="Arial" w:hAnsi="Arial"/>
          <w:sz w:val="19"/>
          <w:szCs w:val="19"/>
          <w:color w:val="auto"/>
        </w:rPr>
        <w:t>make, or permit any subsidiary to make, any loan or advance to any Person, including, without limitation, any subsidiary or other corporation, partnership or other entity unless it is wholly owned by the Company;</w:t>
      </w:r>
    </w:p>
    <w:p>
      <w:pPr>
        <w:spacing w:after="0" w:line="50" w:lineRule="exact"/>
        <w:rPr>
          <w:rFonts w:ascii="Arial" w:cs="Arial" w:eastAsia="Arial" w:hAnsi="Arial"/>
          <w:sz w:val="19"/>
          <w:szCs w:val="19"/>
          <w:color w:val="auto"/>
        </w:rPr>
      </w:pPr>
    </w:p>
    <w:p>
      <w:pPr>
        <w:jc w:val="both"/>
        <w:ind w:firstLine="1952"/>
        <w:spacing w:after="0" w:line="312" w:lineRule="auto"/>
        <w:tabs>
          <w:tab w:leader="none" w:pos="2543" w:val="left"/>
        </w:tabs>
        <w:numPr>
          <w:ilvl w:val="0"/>
          <w:numId w:val="217"/>
        </w:numPr>
        <w:rPr>
          <w:rFonts w:ascii="Arial" w:cs="Arial" w:eastAsia="Arial" w:hAnsi="Arial"/>
          <w:sz w:val="19"/>
          <w:szCs w:val="19"/>
          <w:color w:val="auto"/>
        </w:rPr>
      </w:pPr>
      <w:r>
        <w:rPr>
          <w:rFonts w:ascii="Arial" w:cs="Arial" w:eastAsia="Arial" w:hAnsi="Arial"/>
          <w:sz w:val="19"/>
          <w:szCs w:val="19"/>
          <w:color w:val="auto"/>
        </w:rPr>
        <w:t>make, or permit any subsidiary to make, any loan or advance to any Person, including, without limitation, any employee or director of the Company or any subsidiary, except advances and similar expenditures in the ordinary course of business or under the terms of an employee stock or option plan approved by the Board of Directors;</w:t>
      </w:r>
    </w:p>
    <w:p>
      <w:pPr>
        <w:spacing w:after="0" w:line="79" w:lineRule="exact"/>
        <w:rPr>
          <w:rFonts w:ascii="Arial" w:cs="Arial" w:eastAsia="Arial" w:hAnsi="Arial"/>
          <w:sz w:val="19"/>
          <w:szCs w:val="19"/>
          <w:color w:val="auto"/>
        </w:rPr>
      </w:pPr>
    </w:p>
    <w:p>
      <w:pPr>
        <w:ind w:firstLine="1952"/>
        <w:spacing w:after="0" w:line="287" w:lineRule="auto"/>
        <w:tabs>
          <w:tab w:leader="none" w:pos="2517" w:val="left"/>
        </w:tabs>
        <w:numPr>
          <w:ilvl w:val="0"/>
          <w:numId w:val="217"/>
        </w:numPr>
        <w:rPr>
          <w:rFonts w:ascii="Arial" w:cs="Arial" w:eastAsia="Arial" w:hAnsi="Arial"/>
          <w:sz w:val="21"/>
          <w:szCs w:val="21"/>
          <w:color w:val="auto"/>
        </w:rPr>
      </w:pPr>
      <w:r>
        <w:rPr>
          <w:rFonts w:ascii="Arial" w:cs="Arial" w:eastAsia="Arial" w:hAnsi="Arial"/>
          <w:sz w:val="21"/>
          <w:szCs w:val="21"/>
          <w:color w:val="auto"/>
        </w:rPr>
        <w:t>guarantee, directly or indirectly, or permit any subsidiary to guarantee, directly or indirectly, any indebtedness except for trade accounts of the Company or any subsidiary arising in the ordinary course of business;</w:t>
      </w:r>
    </w:p>
    <w:p>
      <w:pPr>
        <w:spacing w:after="0" w:line="97" w:lineRule="exact"/>
        <w:rPr>
          <w:rFonts w:ascii="Arial" w:cs="Arial" w:eastAsia="Arial" w:hAnsi="Arial"/>
          <w:sz w:val="21"/>
          <w:szCs w:val="21"/>
          <w:color w:val="auto"/>
        </w:rPr>
      </w:pPr>
    </w:p>
    <w:p>
      <w:pPr>
        <w:ind w:left="2420" w:hanging="468"/>
        <w:spacing w:after="0"/>
        <w:tabs>
          <w:tab w:leader="none" w:pos="2420" w:val="left"/>
        </w:tabs>
        <w:numPr>
          <w:ilvl w:val="0"/>
          <w:numId w:val="217"/>
        </w:numPr>
        <w:rPr>
          <w:rFonts w:ascii="Arial" w:cs="Arial" w:eastAsia="Arial" w:hAnsi="Arial"/>
          <w:sz w:val="19"/>
          <w:szCs w:val="19"/>
          <w:color w:val="auto"/>
        </w:rPr>
      </w:pPr>
      <w:r>
        <w:rPr>
          <w:rFonts w:ascii="Arial" w:cs="Arial" w:eastAsia="Arial" w:hAnsi="Arial"/>
          <w:sz w:val="19"/>
          <w:szCs w:val="19"/>
          <w:color w:val="auto"/>
        </w:rPr>
        <w:t>make any investment inconsistent with any investment policy approved by the Board of Directors;</w:t>
      </w:r>
    </w:p>
    <w:p>
      <w:pPr>
        <w:spacing w:after="0" w:line="200" w:lineRule="exact"/>
        <w:rPr>
          <w:rFonts w:ascii="Arial" w:cs="Arial" w:eastAsia="Arial" w:hAnsi="Arial"/>
          <w:sz w:val="19"/>
          <w:szCs w:val="19"/>
          <w:color w:val="auto"/>
        </w:rPr>
      </w:pPr>
    </w:p>
    <w:p>
      <w:pPr>
        <w:ind w:firstLine="1952"/>
        <w:spacing w:after="0" w:line="263" w:lineRule="auto"/>
        <w:tabs>
          <w:tab w:leader="none" w:pos="2494" w:val="left"/>
        </w:tabs>
        <w:numPr>
          <w:ilvl w:val="0"/>
          <w:numId w:val="217"/>
        </w:numPr>
        <w:rPr>
          <w:rFonts w:ascii="Arial" w:cs="Arial" w:eastAsia="Arial" w:hAnsi="Arial"/>
          <w:sz w:val="22"/>
          <w:szCs w:val="22"/>
          <w:color w:val="auto"/>
        </w:rPr>
      </w:pPr>
      <w:r>
        <w:rPr>
          <w:rFonts w:ascii="Arial" w:cs="Arial" w:eastAsia="Arial" w:hAnsi="Arial"/>
          <w:sz w:val="22"/>
          <w:szCs w:val="22"/>
          <w:color w:val="auto"/>
        </w:rPr>
        <w:t>incur any aggregate indebtedness in excess of $2,000,000 that is not already included in a budget approved by the Board of Directors, other than trade credit incurred in the ordinary course of business;</w:t>
      </w:r>
    </w:p>
    <w:p>
      <w:pPr>
        <w:spacing w:after="0" w:line="120" w:lineRule="exact"/>
        <w:rPr>
          <w:rFonts w:ascii="Arial" w:cs="Arial" w:eastAsia="Arial" w:hAnsi="Arial"/>
          <w:sz w:val="22"/>
          <w:szCs w:val="22"/>
          <w:color w:val="auto"/>
        </w:rPr>
      </w:pPr>
    </w:p>
    <w:p>
      <w:pPr>
        <w:jc w:val="both"/>
        <w:ind w:firstLine="1952"/>
        <w:spacing w:after="0" w:line="271" w:lineRule="auto"/>
        <w:tabs>
          <w:tab w:leader="none" w:pos="2468" w:val="left"/>
        </w:tabs>
        <w:numPr>
          <w:ilvl w:val="0"/>
          <w:numId w:val="217"/>
        </w:numPr>
        <w:rPr>
          <w:rFonts w:ascii="Arial" w:cs="Arial" w:eastAsia="Arial" w:hAnsi="Arial"/>
          <w:sz w:val="21"/>
          <w:szCs w:val="21"/>
          <w:color w:val="auto"/>
        </w:rPr>
      </w:pPr>
      <w:r>
        <w:rPr>
          <w:rFonts w:ascii="Arial" w:cs="Arial" w:eastAsia="Arial" w:hAnsi="Arial"/>
          <w:sz w:val="21"/>
          <w:szCs w:val="21"/>
          <w:color w:val="auto"/>
        </w:rPr>
        <w:t>otherwise enter into or be a party to any transaction with any director, officer, or employee of the Company or any “associate” (as defined in Rule 12b-2 promulgated under the Exchange Act) of any such Person, except for transactions resulting in payments to or by the Company in an aggregate amount less than $60,000 per year;</w:t>
      </w:r>
    </w:p>
    <w:p>
      <w:pPr>
        <w:spacing w:after="0" w:line="113" w:lineRule="exact"/>
        <w:rPr>
          <w:rFonts w:ascii="Arial" w:cs="Arial" w:eastAsia="Arial" w:hAnsi="Arial"/>
          <w:sz w:val="21"/>
          <w:szCs w:val="21"/>
          <w:color w:val="auto"/>
        </w:rPr>
      </w:pPr>
    </w:p>
    <w:p>
      <w:pPr>
        <w:ind w:right="20" w:firstLine="1952"/>
        <w:spacing w:after="0" w:line="263" w:lineRule="auto"/>
        <w:tabs>
          <w:tab w:leader="none" w:pos="2425" w:val="left"/>
        </w:tabs>
        <w:numPr>
          <w:ilvl w:val="0"/>
          <w:numId w:val="217"/>
        </w:numPr>
        <w:rPr>
          <w:rFonts w:ascii="Arial" w:cs="Arial" w:eastAsia="Arial" w:hAnsi="Arial"/>
          <w:sz w:val="22"/>
          <w:szCs w:val="22"/>
          <w:color w:val="auto"/>
        </w:rPr>
      </w:pPr>
      <w:r>
        <w:rPr>
          <w:rFonts w:ascii="Arial" w:cs="Arial" w:eastAsia="Arial" w:hAnsi="Arial"/>
          <w:sz w:val="22"/>
          <w:szCs w:val="22"/>
          <w:color w:val="auto"/>
        </w:rPr>
        <w:t>hire, terminate, or change the compensation of the executive officers, including approving any option grants or stock awards to executive officers;</w:t>
      </w:r>
    </w:p>
    <w:p>
      <w:pPr>
        <w:spacing w:after="0" w:line="120" w:lineRule="exact"/>
        <w:rPr>
          <w:rFonts w:ascii="Arial" w:cs="Arial" w:eastAsia="Arial" w:hAnsi="Arial"/>
          <w:sz w:val="22"/>
          <w:szCs w:val="22"/>
          <w:color w:val="auto"/>
        </w:rPr>
      </w:pPr>
    </w:p>
    <w:p>
      <w:pPr>
        <w:ind w:left="2440" w:hanging="488"/>
        <w:spacing w:after="0"/>
        <w:tabs>
          <w:tab w:leader="none" w:pos="2440" w:val="left"/>
        </w:tabs>
        <w:numPr>
          <w:ilvl w:val="0"/>
          <w:numId w:val="217"/>
        </w:numPr>
        <w:rPr>
          <w:rFonts w:ascii="Arial" w:cs="Arial" w:eastAsia="Arial" w:hAnsi="Arial"/>
          <w:sz w:val="19"/>
          <w:szCs w:val="19"/>
          <w:color w:val="auto"/>
        </w:rPr>
      </w:pPr>
      <w:r>
        <w:rPr>
          <w:rFonts w:ascii="Arial" w:cs="Arial" w:eastAsia="Arial" w:hAnsi="Arial"/>
          <w:sz w:val="19"/>
          <w:szCs w:val="19"/>
          <w:color w:val="auto"/>
        </w:rPr>
        <w:t>change the principal business of the Company, enter new lines of business, or exit the current line of</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business;</w:t>
      </w:r>
    </w:p>
    <w:p>
      <w:pPr>
        <w:spacing w:after="0" w:line="147" w:lineRule="exact"/>
        <w:rPr>
          <w:rFonts w:ascii="Arial" w:cs="Arial" w:eastAsia="Arial" w:hAnsi="Arial"/>
          <w:sz w:val="19"/>
          <w:szCs w:val="19"/>
          <w:color w:val="auto"/>
        </w:rPr>
      </w:pPr>
    </w:p>
    <w:p>
      <w:pPr>
        <w:ind w:firstLine="1952"/>
        <w:spacing w:after="0" w:line="263" w:lineRule="auto"/>
        <w:tabs>
          <w:tab w:leader="none" w:pos="2502" w:val="left"/>
        </w:tabs>
        <w:numPr>
          <w:ilvl w:val="0"/>
          <w:numId w:val="217"/>
        </w:numPr>
        <w:rPr>
          <w:rFonts w:ascii="Arial" w:cs="Arial" w:eastAsia="Arial" w:hAnsi="Arial"/>
          <w:sz w:val="22"/>
          <w:szCs w:val="22"/>
          <w:color w:val="auto"/>
        </w:rPr>
      </w:pPr>
      <w:r>
        <w:rPr>
          <w:rFonts w:ascii="Arial" w:cs="Arial" w:eastAsia="Arial" w:hAnsi="Arial"/>
          <w:sz w:val="22"/>
          <w:szCs w:val="22"/>
          <w:color w:val="auto"/>
        </w:rPr>
        <w:t>sell, assign, license, pledge, or encumber material technology or intellectual property, other than licenses granted in the ordinary course of business; or</w:t>
      </w:r>
    </w:p>
    <w:p>
      <w:pPr>
        <w:spacing w:after="0" w:line="120" w:lineRule="exact"/>
        <w:rPr>
          <w:rFonts w:ascii="Arial" w:cs="Arial" w:eastAsia="Arial" w:hAnsi="Arial"/>
          <w:sz w:val="22"/>
          <w:szCs w:val="22"/>
          <w:color w:val="auto"/>
        </w:rPr>
      </w:pPr>
    </w:p>
    <w:p>
      <w:pPr>
        <w:ind w:firstLine="1952"/>
        <w:spacing w:after="0" w:line="263" w:lineRule="auto"/>
        <w:tabs>
          <w:tab w:leader="none" w:pos="2414" w:val="left"/>
        </w:tabs>
        <w:numPr>
          <w:ilvl w:val="0"/>
          <w:numId w:val="217"/>
        </w:numPr>
        <w:rPr>
          <w:rFonts w:ascii="Arial" w:cs="Arial" w:eastAsia="Arial" w:hAnsi="Arial"/>
          <w:sz w:val="22"/>
          <w:szCs w:val="22"/>
          <w:color w:val="auto"/>
        </w:rPr>
      </w:pPr>
      <w:r>
        <w:rPr>
          <w:rFonts w:ascii="Arial" w:cs="Arial" w:eastAsia="Arial" w:hAnsi="Arial"/>
          <w:sz w:val="22"/>
          <w:szCs w:val="22"/>
          <w:color w:val="auto"/>
        </w:rPr>
        <w:t>enter into any corporate strategic relationship involving the payment, contribution, or assignment by the Company or to the Company of money or assets greater than $2,000,000.</w:t>
      </w:r>
    </w:p>
    <w:p>
      <w:pPr>
        <w:spacing w:after="0" w:line="121"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 xml:space="preserve">5.5 </w:t>
      </w:r>
      <w:r>
        <w:rPr>
          <w:rFonts w:ascii="Arial" w:cs="Arial" w:eastAsia="Arial" w:hAnsi="Arial"/>
          <w:sz w:val="22"/>
          <w:szCs w:val="22"/>
          <w:u w:val="single" w:color="auto"/>
          <w:color w:val="auto"/>
        </w:rPr>
        <w:t>Board Matters</w:t>
      </w:r>
      <w:r>
        <w:rPr>
          <w:rFonts w:ascii="Arial" w:cs="Arial" w:eastAsia="Arial" w:hAnsi="Arial"/>
          <w:sz w:val="22"/>
          <w:szCs w:val="22"/>
          <w:color w:val="auto"/>
        </w:rPr>
        <w:t xml:space="preserve"> Unless otherwise determined by the vote of a majority of the directors then in office, the Board of Directors shall meet at least quarterly in accordance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28" w:right="339" w:bottom="1440" w:gutter="0" w:footer="0" w:header="0"/>
        </w:sectPr>
      </w:pPr>
    </w:p>
    <w:bookmarkStart w:id="280" w:name="page281"/>
    <w:bookmarkEnd w:id="280"/>
    <w:p>
      <w:pPr>
        <w:jc w:val="both"/>
        <w:ind w:right="20"/>
        <w:spacing w:after="0" w:line="312" w:lineRule="auto"/>
        <w:rPr>
          <w:sz w:val="20"/>
          <w:szCs w:val="20"/>
          <w:color w:val="auto"/>
        </w:rPr>
      </w:pPr>
      <w:r>
        <w:rPr>
          <w:rFonts w:ascii="Arial" w:cs="Arial" w:eastAsia="Arial" w:hAnsi="Arial"/>
          <w:sz w:val="19"/>
          <w:szCs w:val="19"/>
          <w:color w:val="auto"/>
        </w:rPr>
        <w:t>with an agreed-upon schedule. The Company shall reimburse the nonemployee directors for all reasonable out-of-pocket travel expenses incurred (consistent with the Company’s travel policy) in connection with attending meetings of the Board of Directors. Each non-employee director shall be entitled in such person’s discretion to be a member of any Board committee.</w:t>
      </w:r>
    </w:p>
    <w:p>
      <w:pPr>
        <w:spacing w:after="0" w:line="7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 xml:space="preserve">5.6 </w:t>
      </w:r>
      <w:r>
        <w:rPr>
          <w:rFonts w:ascii="Arial" w:cs="Arial" w:eastAsia="Arial" w:hAnsi="Arial"/>
          <w:sz w:val="22"/>
          <w:szCs w:val="22"/>
          <w:u w:val="single" w:color="auto"/>
          <w:color w:val="auto"/>
        </w:rPr>
        <w:t>Successor Indemnification</w:t>
      </w:r>
      <w:r>
        <w:rPr>
          <w:rFonts w:ascii="Arial" w:cs="Arial" w:eastAsia="Arial" w:hAnsi="Arial"/>
          <w:sz w:val="22"/>
          <w:szCs w:val="22"/>
          <w:color w:val="auto"/>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Company’s Bylaws, its Certificate of Incorporation, or elsewhere, as the case may be.</w:t>
      </w:r>
    </w:p>
    <w:p>
      <w:pPr>
        <w:spacing w:after="0" w:line="139"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21"/>
          <w:szCs w:val="21"/>
          <w:color w:val="auto"/>
        </w:rPr>
        <w:t xml:space="preserve">5.7 </w:t>
      </w:r>
      <w:r>
        <w:rPr>
          <w:rFonts w:ascii="Arial" w:cs="Arial" w:eastAsia="Arial" w:hAnsi="Arial"/>
          <w:sz w:val="21"/>
          <w:szCs w:val="21"/>
          <w:u w:val="single" w:color="auto"/>
          <w:color w:val="auto"/>
        </w:rPr>
        <w:t>Adjustment of Series A Conversion Price Prior to a Public Offering</w:t>
      </w:r>
      <w:r>
        <w:rPr>
          <w:rFonts w:ascii="Arial" w:cs="Arial" w:eastAsia="Arial" w:hAnsi="Arial"/>
          <w:sz w:val="21"/>
          <w:szCs w:val="21"/>
          <w:color w:val="auto"/>
        </w:rPr>
        <w:t>. In the event that the Company consummates the sale of shares of Common Stock to the public at a price of less than two times the Original Issue Price of the Series A Preferred Stock (as defined in the Company’s Certificate of Incorporation) (subject to appropriate adjustment in the event of any stock dividend, stock split, combination or other similar recapitalization with respect to the Common Stock set forth in the Company’s Certificate of Incorporation) (such price, the “</w:t>
      </w:r>
      <w:r>
        <w:rPr>
          <w:rFonts w:ascii="Arial" w:cs="Arial" w:eastAsia="Arial" w:hAnsi="Arial"/>
          <w:sz w:val="21"/>
          <w:szCs w:val="21"/>
          <w:b w:val="1"/>
          <w:bCs w:val="1"/>
          <w:color w:val="auto"/>
        </w:rPr>
        <w:t>Minimum Offering Price</w:t>
      </w:r>
      <w:r>
        <w:rPr>
          <w:rFonts w:ascii="Arial" w:cs="Arial" w:eastAsia="Arial" w:hAnsi="Arial"/>
          <w:sz w:val="21"/>
          <w:szCs w:val="21"/>
          <w:color w:val="auto"/>
        </w:rPr>
        <w:t>”), then the Company shall amend its then outstanding Certificate of Incorporation, if necessary, prior to such sale such that the Series A Conversion Price (as defined in the Company’s Certificate of Incorporation) shall be adjusted immediately prior to the consummation of such sale to provide that each share of Series A Preferred Stock would convert, upon election by the holder of such share, into shares of Common Stock with a return in such sale on each share of Series A Preferred Stock, on an as-converted basis, equal to a minimum of the Minimum Offering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28" w:right="339" w:bottom="1440" w:gutter="0" w:footer="0" w:header="0"/>
        </w:sectPr>
      </w:pPr>
    </w:p>
    <w:bookmarkStart w:id="281" w:name="page282"/>
    <w:bookmarkEnd w:id="281"/>
    <w:p>
      <w:pPr>
        <w:jc w:val="both"/>
        <w:ind w:firstLine="1296"/>
        <w:spacing w:after="0" w:line="297" w:lineRule="auto"/>
        <w:rPr>
          <w:sz w:val="20"/>
          <w:szCs w:val="20"/>
          <w:color w:val="auto"/>
        </w:rPr>
      </w:pPr>
      <w:r>
        <w:rPr>
          <w:rFonts w:ascii="Arial" w:cs="Arial" w:eastAsia="Arial" w:hAnsi="Arial"/>
          <w:sz w:val="19"/>
          <w:szCs w:val="19"/>
          <w:color w:val="auto"/>
        </w:rPr>
        <w:t xml:space="preserve">5.8 </w:t>
      </w:r>
      <w:r>
        <w:rPr>
          <w:rFonts w:ascii="Arial" w:cs="Arial" w:eastAsia="Arial" w:hAnsi="Arial"/>
          <w:sz w:val="19"/>
          <w:szCs w:val="19"/>
          <w:u w:val="single" w:color="auto"/>
          <w:color w:val="auto"/>
        </w:rPr>
        <w:t>Termination of Covenants</w:t>
      </w:r>
      <w:r>
        <w:rPr>
          <w:rFonts w:ascii="Arial" w:cs="Arial" w:eastAsia="Arial" w:hAnsi="Arial"/>
          <w:sz w:val="19"/>
          <w:szCs w:val="19"/>
          <w:color w:val="auto"/>
        </w:rPr>
        <w:t xml:space="preserve">. The covenants set forth in this Section </w:t>
      </w:r>
      <w:r>
        <w:rPr>
          <w:rFonts w:ascii="Arial" w:cs="Arial" w:eastAsia="Arial" w:hAnsi="Arial"/>
          <w:sz w:val="19"/>
          <w:szCs w:val="19"/>
          <w:u w:val="single" w:color="auto"/>
          <w:color w:val="0000FF"/>
        </w:rPr>
        <w:t>5</w:t>
      </w:r>
      <w:r>
        <w:rPr>
          <w:rFonts w:ascii="Arial" w:cs="Arial" w:eastAsia="Arial" w:hAnsi="Arial"/>
          <w:sz w:val="19"/>
          <w:szCs w:val="19"/>
          <w:color w:val="auto"/>
        </w:rPr>
        <w:t xml:space="preserve">, except for </w:t>
      </w:r>
      <w:r>
        <w:rPr>
          <w:rFonts w:ascii="Arial" w:cs="Arial" w:eastAsia="Arial" w:hAnsi="Arial"/>
          <w:sz w:val="19"/>
          <w:szCs w:val="19"/>
          <w:u w:val="single" w:color="auto"/>
          <w:color w:val="auto"/>
        </w:rPr>
        <w:t>Subsections 5.7 and 5.8</w:t>
      </w:r>
      <w:r>
        <w:rPr>
          <w:rFonts w:ascii="Arial" w:cs="Arial" w:eastAsia="Arial" w:hAnsi="Arial"/>
          <w:sz w:val="19"/>
          <w:szCs w:val="19"/>
          <w:color w:val="auto"/>
        </w:rPr>
        <w:t xml:space="preserve">, shall terminate and be of no further force or effect (i) immediately before the consummation of the IPO (ii) when the Company first becomes subject to the periodic reporting requirements of Section 12(g) or 15(d) of the Exchange Act, or (iii) upon a Deemed Liquidation Event, as such term is defined in the Company’s Certificate of Incorporation, whichever event occurs first; provided that </w:t>
      </w:r>
      <w:r>
        <w:rPr>
          <w:rFonts w:ascii="Arial" w:cs="Arial" w:eastAsia="Arial" w:hAnsi="Arial"/>
          <w:sz w:val="19"/>
          <w:szCs w:val="19"/>
          <w:u w:val="single" w:color="auto"/>
          <w:color w:val="auto"/>
        </w:rPr>
        <w:t>Subsection 5.7</w:t>
      </w:r>
      <w:r>
        <w:rPr>
          <w:rFonts w:ascii="Arial" w:cs="Arial" w:eastAsia="Arial" w:hAnsi="Arial"/>
          <w:sz w:val="19"/>
          <w:szCs w:val="19"/>
          <w:color w:val="auto"/>
        </w:rPr>
        <w:t xml:space="preserve"> shall terminate upon the adjustment, if necessary, to the Series A Conversion Price as set forth therein.</w:t>
      </w:r>
    </w:p>
    <w:p>
      <w:pPr>
        <w:spacing w:after="0" w:line="93" w:lineRule="exact"/>
        <w:rPr>
          <w:sz w:val="20"/>
          <w:szCs w:val="20"/>
          <w:color w:val="auto"/>
        </w:rPr>
      </w:pPr>
    </w:p>
    <w:p>
      <w:pPr>
        <w:ind w:left="1040" w:hanging="384"/>
        <w:spacing w:after="0"/>
        <w:tabs>
          <w:tab w:leader="none" w:pos="1040" w:val="left"/>
        </w:tabs>
        <w:numPr>
          <w:ilvl w:val="0"/>
          <w:numId w:val="218"/>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166"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The rights under this Agreement may be assigned (but only with all related obligations) by a Holder to a transferee of Registrable Securities that (i) is an Affiliate of a Holder; (ii) is a Holder’s Immediate Family Member or trust for the benefit of an individual Holder or one or more of such Holder’s Immediate Family Members; or</w:t>
      </w:r>
    </w:p>
    <w:p>
      <w:pPr>
        <w:spacing w:after="0" w:line="1" w:lineRule="exact"/>
        <w:rPr>
          <w:sz w:val="20"/>
          <w:szCs w:val="20"/>
          <w:color w:val="auto"/>
        </w:rPr>
      </w:pPr>
    </w:p>
    <w:p>
      <w:pPr>
        <w:jc w:val="both"/>
        <w:ind w:firstLine="8"/>
        <w:spacing w:after="0" w:line="281" w:lineRule="auto"/>
        <w:tabs>
          <w:tab w:leader="none" w:pos="386" w:val="left"/>
        </w:tabs>
        <w:numPr>
          <w:ilvl w:val="0"/>
          <w:numId w:val="219"/>
        </w:numPr>
        <w:rPr>
          <w:rFonts w:ascii="Arial" w:cs="Arial" w:eastAsia="Arial" w:hAnsi="Arial"/>
          <w:sz w:val="19"/>
          <w:szCs w:val="19"/>
          <w:color w:val="auto"/>
        </w:rPr>
      </w:pPr>
      <w:r>
        <w:rPr>
          <w:rFonts w:ascii="Arial" w:cs="Arial" w:eastAsia="Arial" w:hAnsi="Arial"/>
          <w:sz w:val="19"/>
          <w:szCs w:val="19"/>
          <w:color w:val="auto"/>
        </w:rPr>
        <w:t xml:space="preserve">after such transfer, holds at least 666,666 shares of Registrable Securities (subject to appropriate adjustment for stock splits, stock dividends, combinations, and other recapitalizations);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(x) the Company is, within a reasonable time after such transfer, furnished with written notice of the name and address of such transferee and the Registrable Securities with respect to which such rights are being transferred; and (y) such transferee agrees in a written instrument delivered to the Company to be bound by and subject to the terms and conditions of this Agreement, including the provisions of </w:t>
      </w:r>
      <w:r>
        <w:rPr>
          <w:rFonts w:ascii="Arial" w:cs="Arial" w:eastAsia="Arial" w:hAnsi="Arial"/>
          <w:sz w:val="19"/>
          <w:szCs w:val="19"/>
          <w:u w:val="single" w:color="auto"/>
          <w:color w:val="auto"/>
        </w:rPr>
        <w:t>Subsection 2.11</w:t>
      </w:r>
      <w:r>
        <w:rPr>
          <w:rFonts w:ascii="Arial" w:cs="Arial" w:eastAsia="Arial" w:hAnsi="Arial"/>
          <w:sz w:val="19"/>
          <w:szCs w:val="19"/>
          <w:color w:val="auto"/>
        </w:rPr>
        <w:t>. For the purposes of determining the number of shares of Registrable Securities held by a transferee, the holdings of a transferee</w:t>
      </w:r>
    </w:p>
    <w:p>
      <w:pPr>
        <w:spacing w:after="0" w:line="4" w:lineRule="exact"/>
        <w:rPr>
          <w:rFonts w:ascii="Arial" w:cs="Arial" w:eastAsia="Arial" w:hAnsi="Arial"/>
          <w:sz w:val="19"/>
          <w:szCs w:val="19"/>
          <w:color w:val="auto"/>
        </w:rPr>
      </w:pPr>
    </w:p>
    <w:p>
      <w:pPr>
        <w:jc w:val="both"/>
        <w:spacing w:after="0" w:line="257" w:lineRule="auto"/>
        <w:rPr>
          <w:rFonts w:ascii="Arial" w:cs="Arial" w:eastAsia="Arial" w:hAnsi="Arial"/>
          <w:sz w:val="19"/>
          <w:szCs w:val="19"/>
          <w:color w:val="auto"/>
        </w:rPr>
      </w:pPr>
      <w:r>
        <w:rPr>
          <w:rFonts w:ascii="Arial" w:cs="Arial" w:eastAsia="Arial" w:hAnsi="Arial"/>
          <w:sz w:val="21"/>
          <w:szCs w:val="21"/>
          <w:color w:val="auto"/>
        </w:rPr>
        <w:t xml:space="preserve">(1) that is an Affiliate or stockholder of a Holder; (2) who is a Holder’s Immediate Family Member; or (3) that is a trust for the benefit of an individual Holder or such Holder’s Immediate Family Member shall be aggregated together and with those of the transferring Holder;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all transferees who would not qualify individually for assignment of rights shall have a single attorney-in-fact for 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127"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governed by the internal law of the State of Delaware.</w:t>
      </w:r>
    </w:p>
    <w:p>
      <w:pPr>
        <w:spacing w:after="0" w:line="16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Counterparts</w:t>
      </w:r>
      <w:r>
        <w:rPr>
          <w:rFonts w:ascii="Arial" w:cs="Arial" w:eastAsia="Arial" w:hAnsi="Arial"/>
          <w:sz w:val="22"/>
          <w:szCs w:val="22"/>
          <w:color w:val="auto"/>
        </w:rPr>
        <w:t xml:space="preserve">.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w:t>
      </w:r>
      <w:r>
        <w:rPr>
          <w:rFonts w:ascii="Arial" w:cs="Arial" w:eastAsia="Arial" w:hAnsi="Arial"/>
          <w:sz w:val="22"/>
          <w:szCs w:val="22"/>
          <w:i w:val="1"/>
          <w:iCs w:val="1"/>
          <w:color w:val="auto"/>
        </w:rPr>
        <w:t>e.g.</w:t>
      </w:r>
      <w:r>
        <w:rPr>
          <w:rFonts w:ascii="Arial" w:cs="Arial" w:eastAsia="Arial" w:hAnsi="Arial"/>
          <w:sz w:val="22"/>
          <w:szCs w:val="22"/>
          <w:color w:val="auto"/>
        </w:rPr>
        <w:t>, www.docusign.com) or other transmission method and any counterpart so delivered shall be deemed to have been duly and validly delivered and be valid and effective for all purposes</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28" w:right="339" w:bottom="1440" w:gutter="0" w:footer="0" w:header="0"/>
        </w:sectPr>
      </w:pPr>
    </w:p>
    <w:bookmarkStart w:id="282" w:name="page283"/>
    <w:bookmarkEnd w:id="282"/>
    <w:p>
      <w:pPr>
        <w:jc w:val="both"/>
        <w:ind w:firstLine="1296"/>
        <w:spacing w:after="0" w:line="263" w:lineRule="auto"/>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u w:val="single" w:color="auto"/>
          <w:color w:val="auto"/>
        </w:rPr>
        <w:t>Titles and Subtitles</w:t>
      </w:r>
      <w:r>
        <w:rPr>
          <w:rFonts w:ascii="Arial" w:cs="Arial" w:eastAsia="Arial" w:hAnsi="Arial"/>
          <w:sz w:val="22"/>
          <w:szCs w:val="22"/>
          <w:color w:val="auto"/>
        </w:rPr>
        <w:t>. The titles and subtitles used in this Agreement are for convenience only and are not to be considered in construing or interpreting this Agreement.</w:t>
      </w:r>
    </w:p>
    <w:p>
      <w:pPr>
        <w:spacing w:after="0" w:line="121"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 xml:space="preserve">6.5 </w:t>
      </w:r>
      <w:r>
        <w:rPr>
          <w:rFonts w:ascii="Arial" w:cs="Arial" w:eastAsia="Arial" w:hAnsi="Arial"/>
          <w:sz w:val="19"/>
          <w:szCs w:val="19"/>
          <w:u w:val="single" w:color="auto"/>
          <w:color w:val="auto"/>
        </w:rPr>
        <w:t>Notices</w:t>
      </w:r>
      <w:r>
        <w:rPr>
          <w:rFonts w:ascii="Arial" w:cs="Arial" w:eastAsia="Arial" w:hAnsi="Arial"/>
          <w:sz w:val="19"/>
          <w:szCs w:val="19"/>
          <w:color w:val="auto"/>
        </w:rPr>
        <w:t xml:space="preserve">. All notices and other communications given or made pursuant to this Agreement shall be in writing and shall be deemed effectively given upon the earlier of actual receipt or (i) personal delivery to the party to be notified; (ii) when sent, if sent by electronic mail or facsimile during the recipient’s normal business hours, and if not sent during normal business hours, then on the recipient’s next business day; (iii) five (5) days after having been sent by registered or certified mail, return receipt requested, postage prepaid; or (iv) one (1) business day after the business day of deposit with a nationally recognized overnight courier, freight prepaid, specifying next-day delivery, with written verification of receipt. All communications shall be sent to the respective parties at their addresses as set forth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Schedule B</w:t>
      </w:r>
      <w:r>
        <w:rPr>
          <w:rFonts w:ascii="Arial" w:cs="Arial" w:eastAsia="Arial" w:hAnsi="Arial"/>
          <w:sz w:val="19"/>
          <w:szCs w:val="19"/>
          <w:color w:val="auto"/>
        </w:rPr>
        <w:t xml:space="preserve"> (as applicable) hereto, or to the principal office of the Company and to the attention of the Chief Executive Officer, in the case of the Company, or to such email address, facsimile number, or address as subsequently modified by written notice given in accordance with this </w:t>
      </w:r>
      <w:r>
        <w:rPr>
          <w:rFonts w:ascii="Arial" w:cs="Arial" w:eastAsia="Arial" w:hAnsi="Arial"/>
          <w:sz w:val="19"/>
          <w:szCs w:val="19"/>
          <w:u w:val="single" w:color="auto"/>
          <w:color w:val="auto"/>
        </w:rPr>
        <w:t>Subsection 6.5</w:t>
      </w:r>
      <w:r>
        <w:rPr>
          <w:rFonts w:ascii="Arial" w:cs="Arial" w:eastAsia="Arial" w:hAnsi="Arial"/>
          <w:sz w:val="19"/>
          <w:szCs w:val="19"/>
          <w:color w:val="auto"/>
        </w:rPr>
        <w:t>. If notice is given to the Company, a copy shall also be sent to Weil, Gotshal &amp; Manges, LLP, 201 Redwood Shores Parkway, Redwood Shores, CA 94065, Attention: Eric Schwartzman, and if notice is given to Stockholders, a copy shall also be given to Fenwick &amp; West LLP, 801 California Street, Mountain View, California 94041, Attention: Ted Wang.</w:t>
      </w:r>
    </w:p>
    <w:p>
      <w:pPr>
        <w:spacing w:after="0" w:line="10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9"/>
          <w:szCs w:val="19"/>
          <w:color w:val="auto"/>
        </w:rPr>
        <w:t xml:space="preserve">6.6 </w:t>
      </w:r>
      <w:r>
        <w:rPr>
          <w:rFonts w:ascii="Arial" w:cs="Arial" w:eastAsia="Arial" w:hAnsi="Arial"/>
          <w:sz w:val="19"/>
          <w:szCs w:val="19"/>
          <w:u w:val="single" w:color="auto"/>
          <w:color w:val="auto"/>
        </w:rPr>
        <w:t>Amendments and Waivers</w:t>
      </w:r>
      <w:r>
        <w:rPr>
          <w:rFonts w:ascii="Arial" w:cs="Arial" w:eastAsia="Arial" w:hAnsi="Arial"/>
          <w:sz w:val="19"/>
          <w:szCs w:val="19"/>
          <w:color w:val="auto"/>
        </w:rPr>
        <w:t xml:space="preserve">. Any term of this Agreement may be amended and the observance of any term of this Agreement may be waived (either generally or in a particular instance, and either retroactively or prospectively) only with the written consent of the Company and the holders of a majority of the Registrable Securities then outstanding;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may in its sole discretion waive compliance with </w:t>
      </w:r>
      <w:r>
        <w:rPr>
          <w:rFonts w:ascii="Arial" w:cs="Arial" w:eastAsia="Arial" w:hAnsi="Arial"/>
          <w:sz w:val="19"/>
          <w:szCs w:val="19"/>
          <w:u w:val="single" w:color="auto"/>
          <w:color w:val="auto"/>
        </w:rPr>
        <w:t>Subsection 2.12(c)</w:t>
      </w:r>
      <w:r>
        <w:rPr>
          <w:rFonts w:ascii="Arial" w:cs="Arial" w:eastAsia="Arial" w:hAnsi="Arial"/>
          <w:sz w:val="19"/>
          <w:szCs w:val="19"/>
          <w:color w:val="auto"/>
        </w:rPr>
        <w:t xml:space="preserve"> (and the Company’s failure to object promptly in writing after notification of a proposed assignment allegedly in violation of </w:t>
      </w:r>
      <w:r>
        <w:rPr>
          <w:rFonts w:ascii="Arial" w:cs="Arial" w:eastAsia="Arial" w:hAnsi="Arial"/>
          <w:sz w:val="19"/>
          <w:szCs w:val="19"/>
          <w:u w:val="single" w:color="auto"/>
          <w:color w:val="auto"/>
        </w:rPr>
        <w:t>Subsection 2.12(c)</w:t>
      </w:r>
      <w:r>
        <w:rPr>
          <w:rFonts w:ascii="Arial" w:cs="Arial" w:eastAsia="Arial" w:hAnsi="Arial"/>
          <w:sz w:val="19"/>
          <w:szCs w:val="19"/>
          <w:color w:val="auto"/>
        </w:rPr>
        <w:t xml:space="preserve"> shall be deemed to be a waiver);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any provision hereof may be waived by any waiving party on such party’s own behalf, without the consent of any other party. Notwithstanding the foregoing, this Agreement may not be amended or terminated and the observance of any term hereof may not be waived with respect to any Investor without the written consent of such Investor, unless such amendment, termination, or waiver applies to all Investors in the same fashion (it being agreed that a waiver of the provisions of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with respect to a particular transaction shall be deemed to apply to all Investors in the same fashion if such waiver does so by its terms, notwithstanding the fact that certain Investors may nonetheless, by agreement with the Company, purchase securities in such transaction). Further, this Agreement may not be amended, and no provision hereof may be waived, in each case, in any way which would adversely affect the rights of the Key Holders hereunder in a manner disproportionate to any adverse effect such amendment or waiver would have on the rights of the Investors hereunder, without also the written consent of the holders of at least a majority of the Registrable Securities held by the Key Holders who are then providing services to the Company. The Company shall give prompt notice of any amendment or termination hereof or waiver hereunder to any party hereto that did not consent in writing to such amendment, termination, or waiver. Any amendment, termination, or waiver effected in accordance with this </w:t>
      </w:r>
      <w:r>
        <w:rPr>
          <w:rFonts w:ascii="Arial" w:cs="Arial" w:eastAsia="Arial" w:hAnsi="Arial"/>
          <w:sz w:val="19"/>
          <w:szCs w:val="19"/>
          <w:u w:val="single" w:color="auto"/>
          <w:color w:val="auto"/>
        </w:rPr>
        <w:t>Subsection 6.6</w:t>
      </w:r>
      <w:r>
        <w:rPr>
          <w:rFonts w:ascii="Arial" w:cs="Arial" w:eastAsia="Arial" w:hAnsi="Arial"/>
          <w:sz w:val="19"/>
          <w:szCs w:val="19"/>
          <w:color w:val="auto"/>
        </w:rPr>
        <w:t xml:space="preserve"> shall be binding on all parties hereto, regardless of whether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28" w:right="339" w:bottom="1440" w:gutter="0" w:footer="0" w:header="0"/>
        </w:sectPr>
      </w:pPr>
    </w:p>
    <w:bookmarkStart w:id="283" w:name="page284"/>
    <w:bookmarkEnd w:id="283"/>
    <w:p>
      <w:pPr>
        <w:jc w:val="both"/>
        <w:spacing w:after="0" w:line="253" w:lineRule="auto"/>
        <w:rPr>
          <w:sz w:val="20"/>
          <w:szCs w:val="20"/>
          <w:color w:val="auto"/>
        </w:rPr>
      </w:pPr>
      <w:r>
        <w:rPr>
          <w:rFonts w:ascii="Arial" w:cs="Arial" w:eastAsia="Arial" w:hAnsi="Arial"/>
          <w:sz w:val="22"/>
          <w:szCs w:val="22"/>
          <w:color w:val="auto"/>
        </w:rPr>
        <w:t>any such party has consented thereto. No waivers of or exceptions to any term, condition, or provision of this Agreement, in any one or more instances, shall be deemed to be or construed as a further or continuing waiver of any such term, condition, or provision.</w:t>
      </w:r>
    </w:p>
    <w:p>
      <w:pPr>
        <w:spacing w:after="0" w:line="131"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6.7 </w:t>
      </w:r>
      <w:r>
        <w:rPr>
          <w:rFonts w:ascii="Arial" w:cs="Arial" w:eastAsia="Arial" w:hAnsi="Arial"/>
          <w:sz w:val="22"/>
          <w:szCs w:val="22"/>
          <w:u w:val="single" w:color="auto"/>
          <w:color w:val="auto"/>
        </w:rPr>
        <w:t>Severability</w:t>
      </w:r>
      <w:r>
        <w:rPr>
          <w:rFonts w:ascii="Arial" w:cs="Arial" w:eastAsia="Arial" w:hAnsi="Arial"/>
          <w:sz w:val="22"/>
          <w:szCs w:val="22"/>
          <w:color w:val="auto"/>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134"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6.8 </w:t>
      </w:r>
      <w:r>
        <w:rPr>
          <w:rFonts w:ascii="Arial" w:cs="Arial" w:eastAsia="Arial" w:hAnsi="Arial"/>
          <w:sz w:val="22"/>
          <w:szCs w:val="22"/>
          <w:u w:val="single" w:color="auto"/>
          <w:color w:val="auto"/>
        </w:rPr>
        <w:t>Aggregation of Stock</w:t>
      </w:r>
      <w:r>
        <w:rPr>
          <w:rFonts w:ascii="Arial" w:cs="Arial" w:eastAsia="Arial" w:hAnsi="Arial"/>
          <w:sz w:val="22"/>
          <w:szCs w:val="22"/>
          <w:color w:val="auto"/>
        </w:rPr>
        <w:t>. All shares of Registrable Securities held or acquired by Affiliates shall be aggregated together for the purpose of determining the availability of any rights under this Agreement and such Affiliated persons may apportion such rights as among themselves in any manner they deem appropriate.</w:t>
      </w:r>
    </w:p>
    <w:p>
      <w:pPr>
        <w:spacing w:after="0" w:line="131"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2"/>
          <w:szCs w:val="22"/>
          <w:color w:val="auto"/>
        </w:rPr>
        <w:t xml:space="preserve">6.9 </w:t>
      </w:r>
      <w:r>
        <w:rPr>
          <w:rFonts w:ascii="Arial" w:cs="Arial" w:eastAsia="Arial" w:hAnsi="Arial"/>
          <w:sz w:val="22"/>
          <w:szCs w:val="22"/>
          <w:u w:val="single" w:color="auto"/>
          <w:color w:val="auto"/>
        </w:rPr>
        <w:t>Additional Investors</w:t>
      </w:r>
      <w:r>
        <w:rPr>
          <w:rFonts w:ascii="Arial" w:cs="Arial" w:eastAsia="Arial" w:hAnsi="Arial"/>
          <w:sz w:val="22"/>
          <w:szCs w:val="22"/>
          <w:color w:val="auto"/>
        </w:rPr>
        <w:t>. Notwithstanding anything to the contrary contained herein, if the Company issues additional shares of the Company’s Series A Preferred Stock after the date hereof, whether pursuant to the Purchase Agreement or otherwise, any purchaser of such shares of Series A Preferred Stock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w:t>
      </w:r>
    </w:p>
    <w:p>
      <w:pPr>
        <w:spacing w:after="0" w:line="142"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color w:val="auto"/>
        </w:rPr>
        <w:t xml:space="preserve">6.10 </w:t>
      </w: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(including any Schedules and Exhibits hereto) constitutes the full and entire understanding and agreement among the parties with respect to the subject matter hereof, and any other written or oral agreement relating to the subject matter hereof existing between the parties is expressly canceled.</w:t>
      </w:r>
    </w:p>
    <w:p>
      <w:pPr>
        <w:spacing w:after="0" w:line="113"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color w:val="auto"/>
        </w:rPr>
        <w:t xml:space="preserve">6.11 </w:t>
      </w:r>
      <w:r>
        <w:rPr>
          <w:rFonts w:ascii="Arial" w:cs="Arial" w:eastAsia="Arial" w:hAnsi="Arial"/>
          <w:sz w:val="21"/>
          <w:szCs w:val="21"/>
          <w:u w:val="single" w:color="auto"/>
          <w:color w:val="auto"/>
        </w:rPr>
        <w:t>Dispute Resolution</w:t>
      </w:r>
      <w:r>
        <w:rPr>
          <w:rFonts w:ascii="Arial" w:cs="Arial" w:eastAsia="Arial" w:hAnsi="Arial"/>
          <w:sz w:val="21"/>
          <w:szCs w:val="21"/>
          <w:color w:val="auto"/>
        </w:rPr>
        <w:t>. The parties (a) hereby irrevocably and unconditionally submit to the jurisdiction of the state courts of California and to the jurisdiction of the United States District Court for the District of Northern District for the purpose of any suit, action or other proceeding arising out of or based upon this Agreement, (b) agree not to commence any suit, action or other proceeding arising out of or based upon this Agreement except in the state courts of California or the United States District Court for the District of Northern District,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28" w:right="339" w:bottom="1440" w:gutter="0" w:footer="0" w:header="0"/>
        </w:sectPr>
      </w:pPr>
    </w:p>
    <w:bookmarkStart w:id="284" w:name="page285"/>
    <w:bookmarkEnd w:id="284"/>
    <w:p>
      <w:pPr>
        <w:jc w:val="both"/>
        <w:spacing w:after="0" w:line="258" w:lineRule="auto"/>
        <w:rPr>
          <w:sz w:val="20"/>
          <w:szCs w:val="20"/>
          <w:color w:val="auto"/>
        </w:rPr>
      </w:pPr>
      <w:r>
        <w:rPr>
          <w:rFonts w:ascii="Arial" w:cs="Arial" w:eastAsia="Arial" w:hAnsi="Arial"/>
          <w:sz w:val="21"/>
          <w:szCs w:val="21"/>
          <w:color w:val="auto"/>
        </w:rPr>
        <w:t>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28"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 xml:space="preserve">6.12 </w:t>
      </w:r>
      <w:r>
        <w:rPr>
          <w:rFonts w:ascii="Arial" w:cs="Arial" w:eastAsia="Arial" w:hAnsi="Arial"/>
          <w:sz w:val="19"/>
          <w:szCs w:val="19"/>
          <w:u w:val="single" w:color="auto"/>
          <w:color w:val="auto"/>
        </w:rPr>
        <w:t>Delays or Omissions</w:t>
      </w:r>
      <w:r>
        <w:rPr>
          <w:rFonts w:ascii="Arial" w:cs="Arial" w:eastAsia="Arial" w:hAnsi="Arial"/>
          <w:sz w:val="19"/>
          <w:szCs w:val="19"/>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95"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 xml:space="preserve">6.13 </w:t>
      </w:r>
      <w:r>
        <w:rPr>
          <w:rFonts w:ascii="Arial" w:cs="Arial" w:eastAsia="Arial" w:hAnsi="Arial"/>
          <w:sz w:val="19"/>
          <w:szCs w:val="19"/>
          <w:u w:val="single" w:color="auto"/>
          <w:color w:val="auto"/>
        </w:rPr>
        <w:t>Acknowledgment</w:t>
      </w:r>
      <w:r>
        <w:rPr>
          <w:rFonts w:ascii="Arial" w:cs="Arial" w:eastAsia="Arial" w:hAnsi="Arial"/>
          <w:sz w:val="19"/>
          <w:szCs w:val="19"/>
          <w:color w:val="auto"/>
        </w:rPr>
        <w:t>. The Company acknowledges that the Investors are in the business of venture capital investing and therefore review the business plans and related proprietary information of many enterprises, including enterprises which may have products or services which compete directly or indirectly with those of the Company. Nothing in this Agreement shall preclude or in any way restrict the Investors from investing or participating in any particular enterprise whether or not such enterprise has products or services which compete with those of the Company.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28" w:right="339" w:bottom="1440" w:gutter="0" w:footer="0" w:header="0"/>
        </w:sectPr>
      </w:pPr>
    </w:p>
    <w:bookmarkStart w:id="285" w:name="page286"/>
    <w:bookmarkEnd w:id="285"/>
    <w:p>
      <w:pPr>
        <w:spacing w:after="0"/>
        <w:rPr>
          <w:sz w:val="20"/>
          <w:szCs w:val="20"/>
          <w:color w:val="auto"/>
        </w:rPr>
      </w:pPr>
      <w:r>
        <w:rPr>
          <w:rFonts w:ascii="Arial" w:cs="Arial" w:eastAsia="Arial" w:hAnsi="Arial"/>
          <w:sz w:val="18"/>
          <w:szCs w:val="18"/>
          <w:color w:val="auto"/>
        </w:rPr>
        <w:t>IN WITNESS WHEREOF, the parties have executed this Agreement as of the date first written above.</w:t>
      </w:r>
    </w:p>
    <w:p>
      <w:pPr>
        <w:spacing w:after="0" w:line="233" w:lineRule="exact"/>
        <w:rPr>
          <w:sz w:val="20"/>
          <w:szCs w:val="20"/>
          <w:color w:val="auto"/>
        </w:rPr>
      </w:pPr>
    </w:p>
    <w:p>
      <w:pPr>
        <w:ind w:left="4960"/>
        <w:spacing w:after="0"/>
        <w:rPr>
          <w:sz w:val="20"/>
          <w:szCs w:val="20"/>
          <w:color w:val="auto"/>
        </w:rPr>
      </w:pPr>
      <w:r>
        <w:rPr>
          <w:rFonts w:ascii="Arial" w:cs="Arial" w:eastAsia="Arial" w:hAnsi="Arial"/>
          <w:sz w:val="20"/>
          <w:szCs w:val="20"/>
          <w:b w:val="1"/>
          <w:bCs w:val="1"/>
          <w:color w:val="auto"/>
        </w:rPr>
        <w:t>NERDWALLET, INC.</w:t>
      </w:r>
    </w:p>
    <w:p>
      <w:pPr>
        <w:spacing w:after="0" w:line="384" w:lineRule="exact"/>
        <w:rPr>
          <w:sz w:val="20"/>
          <w:szCs w:val="20"/>
          <w:color w:val="auto"/>
        </w:rPr>
      </w:pPr>
    </w:p>
    <w:p>
      <w:pPr>
        <w:ind w:left="4960"/>
        <w:spacing w:after="0"/>
        <w:tabs>
          <w:tab w:leader="none" w:pos="5520" w:val="left"/>
        </w:tabs>
        <w:rPr>
          <w:sz w:val="20"/>
          <w:szCs w:val="20"/>
          <w:color w:val="auto"/>
        </w:rPr>
      </w:pPr>
      <w:r>
        <w:rPr>
          <w:rFonts w:ascii="Arial" w:cs="Arial" w:eastAsia="Arial" w:hAnsi="Arial"/>
          <w:sz w:val="20"/>
          <w:szCs w:val="20"/>
          <w:color w:val="auto"/>
        </w:rPr>
        <w:t>By:</w:t>
        <w:tab/>
        <w:t>/s/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3820795</wp:posOffset>
            </wp:positionH>
            <wp:positionV relativeFrom="paragraph">
              <wp:posOffset>27305</wp:posOffset>
            </wp:positionV>
            <wp:extent cx="28975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ectPr>
          <w:pgSz w:w="11900" w:h="16838" w:orient="portrait"/>
          <w:cols w:equalWidth="0" w:num="1">
            <w:col w:w="9479"/>
          </w:cols>
          <w:pgMar w:left="980" w:top="1419" w:right="1440" w:bottom="1440" w:gutter="0" w:footer="0" w:header="0"/>
        </w:sectPr>
      </w:pPr>
    </w:p>
    <w:p>
      <w:pPr>
        <w:spacing w:after="0" w:line="67"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Name:</w:t>
      </w:r>
    </w:p>
    <w:p>
      <w:pPr>
        <w:spacing w:after="0" w:line="100"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Tim Chen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22" w:lineRule="exact"/>
        <w:rPr>
          <w:sz w:val="20"/>
          <w:szCs w:val="20"/>
          <w:color w:val="auto"/>
        </w:rPr>
      </w:pPr>
    </w:p>
    <w:p>
      <w:pPr>
        <w:sectPr>
          <w:pgSz w:w="11900" w:h="16838" w:orient="portrait"/>
          <w:cols w:equalWidth="0" w:num="2">
            <w:col w:w="5480" w:space="560"/>
            <w:col w:w="3439"/>
          </w:cols>
          <w:pgMar w:left="980" w:top="1419" w:right="1440" w:bottom="1440" w:gutter="0" w:footer="0" w:header="0"/>
          <w:type w:val="continuous"/>
        </w:sectPr>
      </w:pP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auto"/>
        </w:rPr>
        <w:t>901 Market Street</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San Francisco, CA 94103</w:t>
      </w:r>
    </w:p>
    <w:p>
      <w:pPr>
        <w:spacing w:after="0" w:line="200" w:lineRule="exact"/>
        <w:rPr>
          <w:sz w:val="20"/>
          <w:szCs w:val="20"/>
          <w:color w:val="auto"/>
        </w:rPr>
      </w:pPr>
    </w:p>
    <w:p>
      <w:pPr>
        <w:sectPr>
          <w:pgSz w:w="11900" w:h="16838" w:orient="portrait"/>
          <w:cols w:equalWidth="0" w:num="2">
            <w:col w:w="5660" w:space="480"/>
            <w:col w:w="3339"/>
          </w:cols>
          <w:pgMar w:left="980" w:top="14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Investors' Rights Agreement</w:t>
      </w:r>
      <w:r>
        <w:rPr>
          <w:rFonts w:ascii="Arial" w:cs="Arial" w:eastAsia="Arial" w:hAnsi="Arial"/>
          <w:sz w:val="16"/>
          <w:szCs w:val="16"/>
          <w:color w:val="auto"/>
        </w:rPr>
        <w:t>]</w:t>
      </w:r>
    </w:p>
    <w:p>
      <w:pPr>
        <w:sectPr>
          <w:pgSz w:w="11900" w:h="16838" w:orient="portrait"/>
          <w:cols w:equalWidth="0" w:num="1">
            <w:col w:w="9479"/>
          </w:cols>
          <w:pgMar w:left="980" w:top="1419" w:right="1440" w:bottom="1440" w:gutter="0" w:footer="0" w:header="0"/>
          <w:type w:val="continuous"/>
        </w:sectPr>
      </w:pPr>
    </w:p>
    <w:bookmarkStart w:id="286" w:name="page287"/>
    <w:bookmarkEnd w:id="286"/>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PURCHASERS:</w:t>
      </w:r>
    </w:p>
    <w:p>
      <w:pPr>
        <w:spacing w:after="0" w:line="378" w:lineRule="exact"/>
        <w:rPr>
          <w:sz w:val="20"/>
          <w:szCs w:val="20"/>
          <w:color w:val="auto"/>
        </w:rPr>
      </w:pPr>
    </w:p>
    <w:p>
      <w:pPr>
        <w:ind w:left="4340"/>
        <w:spacing w:after="0"/>
        <w:rPr>
          <w:sz w:val="20"/>
          <w:szCs w:val="20"/>
          <w:color w:val="auto"/>
        </w:rPr>
      </w:pPr>
      <w:r>
        <w:rPr>
          <w:rFonts w:ascii="Arial" w:cs="Arial" w:eastAsia="Arial" w:hAnsi="Arial"/>
          <w:sz w:val="20"/>
          <w:szCs w:val="20"/>
          <w:b w:val="1"/>
          <w:bCs w:val="1"/>
          <w:color w:val="auto"/>
        </w:rPr>
        <w:t>INSTITUTIONAL VENTURE PARTNERS XIV,L.P.</w:t>
      </w:r>
    </w:p>
    <w:p>
      <w:pPr>
        <w:spacing w:after="0" w:line="329" w:lineRule="exact"/>
        <w:rPr>
          <w:sz w:val="20"/>
          <w:szCs w:val="20"/>
          <w:color w:val="auto"/>
        </w:rPr>
      </w:pPr>
    </w:p>
    <w:tbl>
      <w:tblPr>
        <w:tblLayout w:type="fixed"/>
        <w:tblInd w:w="43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20"/>
                <w:szCs w:val="20"/>
                <w:color w:val="auto"/>
              </w:rPr>
              <w:t>By:</w:t>
            </w:r>
          </w:p>
        </w:tc>
        <w:tc>
          <w:tcPr>
            <w:tcW w:w="5220" w:type="dxa"/>
            <w:vAlign w:val="bottom"/>
            <w:gridSpan w:val="2"/>
          </w:tcPr>
          <w:p>
            <w:pPr>
              <w:ind w:left="20"/>
              <w:spacing w:after="0"/>
              <w:rPr>
                <w:sz w:val="20"/>
                <w:szCs w:val="20"/>
                <w:color w:val="auto"/>
              </w:rPr>
            </w:pPr>
            <w:r>
              <w:rPr>
                <w:rFonts w:ascii="Arial" w:cs="Arial" w:eastAsia="Arial" w:hAnsi="Arial"/>
                <w:sz w:val="20"/>
                <w:szCs w:val="20"/>
                <w:color w:val="auto"/>
              </w:rPr>
              <w:t>Institutional Venture Management XIV</w:t>
            </w:r>
          </w:p>
        </w:tc>
      </w:tr>
      <w:tr>
        <w:trPr>
          <w:trHeight w:val="250"/>
        </w:trPr>
        <w:tc>
          <w:tcPr>
            <w:tcW w:w="560" w:type="dxa"/>
            <w:vAlign w:val="bottom"/>
          </w:tcPr>
          <w:p>
            <w:pPr>
              <w:spacing w:after="0"/>
              <w:rPr>
                <w:sz w:val="21"/>
                <w:szCs w:val="21"/>
                <w:color w:val="auto"/>
              </w:rPr>
            </w:pPr>
          </w:p>
        </w:tc>
        <w:tc>
          <w:tcPr>
            <w:tcW w:w="5220" w:type="dxa"/>
            <w:vAlign w:val="bottom"/>
            <w:gridSpan w:val="2"/>
          </w:tcPr>
          <w:p>
            <w:pPr>
              <w:ind w:left="20"/>
              <w:spacing w:after="0"/>
              <w:rPr>
                <w:sz w:val="20"/>
                <w:szCs w:val="20"/>
                <w:color w:val="auto"/>
              </w:rPr>
            </w:pPr>
            <w:r>
              <w:rPr>
                <w:rFonts w:ascii="Arial" w:cs="Arial" w:eastAsia="Arial" w:hAnsi="Arial"/>
                <w:sz w:val="20"/>
                <w:szCs w:val="20"/>
                <w:color w:val="auto"/>
              </w:rPr>
              <w:t>LLC</w:t>
            </w:r>
          </w:p>
        </w:tc>
      </w:tr>
      <w:tr>
        <w:trPr>
          <w:trHeight w:val="284"/>
        </w:trPr>
        <w:tc>
          <w:tcPr>
            <w:tcW w:w="560" w:type="dxa"/>
            <w:vAlign w:val="bottom"/>
          </w:tcPr>
          <w:p>
            <w:pPr>
              <w:spacing w:after="0"/>
              <w:rPr>
                <w:sz w:val="20"/>
                <w:szCs w:val="20"/>
                <w:color w:val="auto"/>
              </w:rPr>
            </w:pPr>
            <w:r>
              <w:rPr>
                <w:rFonts w:ascii="Arial" w:cs="Arial" w:eastAsia="Arial" w:hAnsi="Arial"/>
                <w:sz w:val="20"/>
                <w:szCs w:val="20"/>
                <w:color w:val="auto"/>
              </w:rPr>
              <w:t>Its</w:t>
            </w:r>
          </w:p>
        </w:tc>
        <w:tc>
          <w:tcPr>
            <w:tcW w:w="5220" w:type="dxa"/>
            <w:vAlign w:val="bottom"/>
            <w:gridSpan w:val="2"/>
          </w:tcPr>
          <w:p>
            <w:pPr>
              <w:ind w:left="20"/>
              <w:spacing w:after="0"/>
              <w:rPr>
                <w:sz w:val="20"/>
                <w:szCs w:val="20"/>
                <w:color w:val="auto"/>
              </w:rPr>
            </w:pPr>
            <w:r>
              <w:rPr>
                <w:rFonts w:ascii="Arial" w:cs="Arial" w:eastAsia="Arial" w:hAnsi="Arial"/>
                <w:sz w:val="20"/>
                <w:szCs w:val="20"/>
                <w:color w:val="auto"/>
              </w:rPr>
              <w:t>General Partner</w:t>
            </w:r>
          </w:p>
        </w:tc>
      </w:tr>
      <w:tr>
        <w:trPr>
          <w:trHeight w:val="823"/>
        </w:trPr>
        <w:tc>
          <w:tcPr>
            <w:tcW w:w="560" w:type="dxa"/>
            <w:vAlign w:val="bottom"/>
          </w:tcPr>
          <w:p>
            <w:pPr>
              <w:spacing w:after="0"/>
              <w:rPr>
                <w:sz w:val="20"/>
                <w:szCs w:val="20"/>
                <w:color w:val="auto"/>
              </w:rPr>
            </w:pPr>
            <w:r>
              <w:rPr>
                <w:rFonts w:ascii="Arial" w:cs="Arial" w:eastAsia="Arial" w:hAnsi="Arial"/>
                <w:sz w:val="20"/>
                <w:szCs w:val="20"/>
                <w:color w:val="auto"/>
              </w:rPr>
              <w:t>By:</w:t>
            </w:r>
          </w:p>
        </w:tc>
        <w:tc>
          <w:tcPr>
            <w:tcW w:w="5220" w:type="dxa"/>
            <w:vAlign w:val="bottom"/>
            <w:gridSpan w:val="2"/>
          </w:tcPr>
          <w:p>
            <w:pPr>
              <w:ind w:left="20"/>
              <w:spacing w:after="0"/>
              <w:rPr>
                <w:sz w:val="20"/>
                <w:szCs w:val="20"/>
                <w:color w:val="auto"/>
              </w:rPr>
            </w:pPr>
            <w:r>
              <w:rPr>
                <w:rFonts w:ascii="Arial" w:cs="Arial" w:eastAsia="Arial" w:hAnsi="Arial"/>
                <w:sz w:val="20"/>
                <w:szCs w:val="20"/>
                <w:color w:val="auto"/>
              </w:rPr>
              <w:t>/s/ Jules Maltz</w:t>
            </w:r>
          </w:p>
        </w:tc>
      </w:tr>
      <w:tr>
        <w:trPr>
          <w:trHeight w:val="23"/>
        </w:trPr>
        <w:tc>
          <w:tcPr>
            <w:tcW w:w="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r>
      <w:tr>
        <w:trPr>
          <w:trHeight w:val="254"/>
        </w:trPr>
        <w:tc>
          <w:tcPr>
            <w:tcW w:w="560" w:type="dxa"/>
            <w:vAlign w:val="bottom"/>
          </w:tcPr>
          <w:p>
            <w:pPr>
              <w:spacing w:after="0"/>
              <w:rPr>
                <w:sz w:val="20"/>
                <w:szCs w:val="20"/>
                <w:color w:val="auto"/>
              </w:rPr>
            </w:pPr>
            <w:r>
              <w:rPr>
                <w:rFonts w:ascii="Arial" w:cs="Arial" w:eastAsia="Arial" w:hAnsi="Arial"/>
                <w:sz w:val="20"/>
                <w:szCs w:val="20"/>
                <w:color w:val="auto"/>
                <w:w w:val="91"/>
              </w:rPr>
              <w:t>Name:</w:t>
            </w:r>
          </w:p>
        </w:tc>
        <w:tc>
          <w:tcPr>
            <w:tcW w:w="240" w:type="dxa"/>
            <w:vAlign w:val="bottom"/>
          </w:tcPr>
          <w:p>
            <w:pPr>
              <w:spacing w:after="0"/>
              <w:rPr>
                <w:sz w:val="22"/>
                <w:szCs w:val="22"/>
                <w:color w:val="auto"/>
              </w:rPr>
            </w:pPr>
          </w:p>
        </w:tc>
        <w:tc>
          <w:tcPr>
            <w:tcW w:w="4980" w:type="dxa"/>
            <w:vAlign w:val="bottom"/>
          </w:tcPr>
          <w:p>
            <w:pPr>
              <w:ind w:left="80"/>
              <w:spacing w:after="0"/>
              <w:rPr>
                <w:sz w:val="20"/>
                <w:szCs w:val="20"/>
                <w:color w:val="auto"/>
              </w:rPr>
            </w:pPr>
            <w:r>
              <w:rPr>
                <w:rFonts w:ascii="Arial" w:cs="Arial" w:eastAsia="Arial" w:hAnsi="Arial"/>
                <w:sz w:val="20"/>
                <w:szCs w:val="20"/>
                <w:color w:val="auto"/>
              </w:rPr>
              <w:t>Jules Maltz</w:t>
            </w:r>
          </w:p>
        </w:tc>
      </w:tr>
      <w:tr>
        <w:trPr>
          <w:trHeight w:val="283"/>
        </w:trPr>
        <w:tc>
          <w:tcPr>
            <w:tcW w:w="560" w:type="dxa"/>
            <w:vAlign w:val="bottom"/>
          </w:tcPr>
          <w:p>
            <w:pPr>
              <w:spacing w:after="0"/>
              <w:rPr>
                <w:sz w:val="20"/>
                <w:szCs w:val="20"/>
                <w:color w:val="auto"/>
              </w:rPr>
            </w:pPr>
            <w:r>
              <w:rPr>
                <w:rFonts w:ascii="Arial" w:cs="Arial" w:eastAsia="Arial" w:hAnsi="Arial"/>
                <w:sz w:val="20"/>
                <w:szCs w:val="20"/>
                <w:color w:val="auto"/>
              </w:rPr>
              <w:t>Title:</w:t>
            </w:r>
          </w:p>
        </w:tc>
        <w:tc>
          <w:tcPr>
            <w:tcW w:w="240" w:type="dxa"/>
            <w:vAlign w:val="bottom"/>
          </w:tcPr>
          <w:p>
            <w:pPr>
              <w:spacing w:after="0"/>
              <w:rPr>
                <w:sz w:val="24"/>
                <w:szCs w:val="24"/>
                <w:color w:val="auto"/>
              </w:rPr>
            </w:pPr>
          </w:p>
        </w:tc>
        <w:tc>
          <w:tcPr>
            <w:tcW w:w="4980" w:type="dxa"/>
            <w:vAlign w:val="bottom"/>
          </w:tcPr>
          <w:p>
            <w:pPr>
              <w:ind w:left="80"/>
              <w:spacing w:after="0"/>
              <w:rPr>
                <w:sz w:val="20"/>
                <w:szCs w:val="20"/>
                <w:color w:val="auto"/>
              </w:rPr>
            </w:pPr>
            <w:r>
              <w:rPr>
                <w:rFonts w:ascii="Arial" w:cs="Arial" w:eastAsia="Arial" w:hAnsi="Arial"/>
                <w:sz w:val="20"/>
                <w:szCs w:val="20"/>
                <w:color w:val="auto"/>
              </w:rPr>
              <w:t>Managing Director</w:t>
            </w:r>
          </w:p>
        </w:tc>
      </w:tr>
      <w:tr>
        <w:trPr>
          <w:trHeight w:val="823"/>
        </w:trPr>
        <w:tc>
          <w:tcPr>
            <w:tcW w:w="800" w:type="dxa"/>
            <w:vAlign w:val="bottom"/>
            <w:gridSpan w:val="2"/>
          </w:tcPr>
          <w:p>
            <w:pPr>
              <w:spacing w:after="0"/>
              <w:rPr>
                <w:sz w:val="20"/>
                <w:szCs w:val="20"/>
                <w:color w:val="auto"/>
              </w:rPr>
            </w:pPr>
            <w:r>
              <w:rPr>
                <w:rFonts w:ascii="Arial" w:cs="Arial" w:eastAsia="Arial" w:hAnsi="Arial"/>
                <w:sz w:val="20"/>
                <w:szCs w:val="20"/>
                <w:color w:val="auto"/>
                <w:w w:val="98"/>
              </w:rPr>
              <w:t>Address:</w:t>
            </w:r>
          </w:p>
        </w:tc>
        <w:tc>
          <w:tcPr>
            <w:tcW w:w="4980" w:type="dxa"/>
            <w:vAlign w:val="bottom"/>
          </w:tcPr>
          <w:p>
            <w:pPr>
              <w:jc w:val="right"/>
              <w:ind w:right="4001"/>
              <w:spacing w:after="0"/>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Investors' Rights Agreement</w:t>
      </w:r>
      <w:r>
        <w:rPr>
          <w:rFonts w:ascii="Arial" w:cs="Arial" w:eastAsia="Arial" w:hAnsi="Arial"/>
          <w:sz w:val="18"/>
          <w:szCs w:val="18"/>
          <w:color w:val="auto"/>
        </w:rPr>
        <w:t>]</w:t>
      </w:r>
    </w:p>
    <w:p>
      <w:pPr>
        <w:sectPr>
          <w:pgSz w:w="11900" w:h="16838" w:orient="portrait"/>
          <w:cols w:equalWidth="0" w:num="1">
            <w:col w:w="10120"/>
          </w:cols>
          <w:pgMar w:left="1440" w:top="1440" w:right="339" w:bottom="1440" w:gutter="0" w:footer="0" w:header="0"/>
        </w:sectPr>
      </w:pPr>
    </w:p>
    <w:bookmarkStart w:id="287" w:name="page288"/>
    <w:bookmarkEnd w:id="287"/>
    <w:p>
      <w:pPr>
        <w:spacing w:after="0" w:line="27"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RRE VENTURES VI, LP</w:t>
      </w:r>
    </w:p>
    <w:p>
      <w:pPr>
        <w:spacing w:after="0" w:line="200" w:lineRule="exact"/>
        <w:rPr>
          <w:sz w:val="20"/>
          <w:szCs w:val="20"/>
          <w:color w:val="auto"/>
        </w:rPr>
      </w:pPr>
    </w:p>
    <w:p>
      <w:pPr>
        <w:spacing w:after="0" w:line="373" w:lineRule="exact"/>
        <w:rPr>
          <w:sz w:val="20"/>
          <w:szCs w:val="20"/>
          <w:color w:val="auto"/>
        </w:rPr>
      </w:pPr>
    </w:p>
    <w:p>
      <w:pPr>
        <w:ind w:left="4320"/>
        <w:spacing w:after="0"/>
        <w:tabs>
          <w:tab w:leader="none" w:pos="4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 xml:space="preserve">/s/ </w:t>
      </w:r>
      <w:r>
        <w:rPr>
          <w:rFonts w:ascii="Arial" w:cs="Arial" w:eastAsia="Arial" w:hAnsi="Arial"/>
          <w:sz w:val="18"/>
          <w:szCs w:val="18"/>
          <w:color w:val="242424"/>
        </w:rPr>
        <w:t>William D. Porteous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41910</wp:posOffset>
            </wp:positionV>
            <wp:extent cx="330898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ectPr>
          <w:pgSz w:w="11900" w:h="16838" w:orient="portrait"/>
          <w:cols w:equalWidth="0" w:num="1">
            <w:col w:w="10100"/>
          </w:cols>
          <w:pgMar w:left="1440" w:top="1440" w:right="359" w:bottom="1440" w:gutter="0" w:footer="0" w:header="0"/>
        </w:sectPr>
      </w:pPr>
    </w:p>
    <w:p>
      <w:pPr>
        <w:spacing w:after="0" w:line="90" w:lineRule="exact"/>
        <w:rPr>
          <w:sz w:val="20"/>
          <w:szCs w:val="20"/>
          <w:color w:val="auto"/>
        </w:rPr>
      </w:pPr>
    </w:p>
    <w:p>
      <w:pPr>
        <w:ind w:left="4320"/>
        <w:spacing w:after="0"/>
        <w:rPr>
          <w:sz w:val="20"/>
          <w:szCs w:val="20"/>
          <w:color w:val="auto"/>
        </w:rPr>
      </w:pPr>
      <w:r>
        <w:rPr>
          <w:rFonts w:ascii="Arial" w:cs="Arial" w:eastAsia="Arial" w:hAnsi="Arial"/>
          <w:sz w:val="16"/>
          <w:szCs w:val="16"/>
          <w:color w:val="auto"/>
        </w:rPr>
        <w:t>Name:</w:t>
      </w:r>
    </w:p>
    <w:p>
      <w:pPr>
        <w:spacing w:after="0" w:line="100"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William D. Porteous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General Partner and COO</w:t>
      </w:r>
    </w:p>
    <w:p>
      <w:pPr>
        <w:spacing w:after="0" w:line="245" w:lineRule="exact"/>
        <w:rPr>
          <w:sz w:val="20"/>
          <w:szCs w:val="20"/>
          <w:color w:val="auto"/>
        </w:rPr>
      </w:pPr>
    </w:p>
    <w:p>
      <w:pPr>
        <w:sectPr>
          <w:pgSz w:w="11900" w:h="16838" w:orient="portrait"/>
          <w:cols w:equalWidth="0" w:num="2">
            <w:col w:w="4840" w:space="380"/>
            <w:col w:w="4880"/>
          </w:cols>
          <w:pgMar w:left="1440" w:top="1440" w:right="359" w:bottom="1440" w:gutter="0" w:footer="0" w:header="0"/>
          <w:type w:val="continuous"/>
        </w:sectPr>
      </w:pPr>
    </w:p>
    <w:p>
      <w:pPr>
        <w:spacing w:after="0" w:line="394" w:lineRule="exact"/>
        <w:rPr>
          <w:sz w:val="20"/>
          <w:szCs w:val="20"/>
          <w:color w:val="auto"/>
        </w:rPr>
      </w:pPr>
    </w:p>
    <w:p>
      <w:pPr>
        <w:ind w:left="432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5020" w:space="440"/>
            <w:col w:w="4640"/>
          </w:cols>
          <w:pgMar w:left="144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RRE LEADERS FUND, LP</w:t>
      </w:r>
    </w:p>
    <w:p>
      <w:pPr>
        <w:spacing w:after="0" w:line="200" w:lineRule="exact"/>
        <w:rPr>
          <w:sz w:val="20"/>
          <w:szCs w:val="20"/>
          <w:color w:val="auto"/>
        </w:rPr>
      </w:pPr>
    </w:p>
    <w:p>
      <w:pPr>
        <w:spacing w:after="0" w:line="400" w:lineRule="exact"/>
        <w:rPr>
          <w:sz w:val="20"/>
          <w:szCs w:val="20"/>
          <w:color w:val="auto"/>
        </w:rPr>
      </w:pPr>
    </w:p>
    <w:tbl>
      <w:tblPr>
        <w:tblLayout w:type="fixed"/>
        <w:tblInd w:w="4320" w:type="dxa"/>
        <w:tblCellMar>
          <w:top w:w="0" w:type="dxa"/>
          <w:left w:w="0" w:type="dxa"/>
          <w:bottom w:w="0" w:type="dxa"/>
          <w:right w:w="0" w:type="dxa"/>
        </w:tblCellMar>
      </w:tblPr>
      <w:tr>
        <w:trPr>
          <w:trHeight w:val="250"/>
        </w:trPr>
        <w:tc>
          <w:tcPr>
            <w:tcW w:w="580" w:type="dxa"/>
            <w:vAlign w:val="bottom"/>
          </w:tcPr>
          <w:p>
            <w:pPr>
              <w:spacing w:after="0"/>
              <w:rPr>
                <w:sz w:val="20"/>
                <w:szCs w:val="20"/>
                <w:color w:val="auto"/>
              </w:rPr>
            </w:pPr>
            <w:r>
              <w:rPr>
                <w:rFonts w:ascii="Arial" w:cs="Arial" w:eastAsia="Arial" w:hAnsi="Arial"/>
                <w:sz w:val="20"/>
                <w:szCs w:val="20"/>
                <w:color w:val="auto"/>
              </w:rPr>
              <w:t>By:</w:t>
            </w:r>
          </w:p>
        </w:tc>
        <w:tc>
          <w:tcPr>
            <w:tcW w:w="5200" w:type="dxa"/>
            <w:vAlign w:val="bottom"/>
            <w:gridSpan w:val="2"/>
          </w:tcPr>
          <w:p>
            <w:pPr>
              <w:jc w:val="right"/>
              <w:ind w:right="3221"/>
              <w:spacing w:after="0"/>
              <w:rPr>
                <w:sz w:val="20"/>
                <w:szCs w:val="20"/>
                <w:color w:val="auto"/>
              </w:rPr>
            </w:pPr>
            <w:r>
              <w:rPr>
                <w:rFonts w:ascii="Arial" w:cs="Arial" w:eastAsia="Arial" w:hAnsi="Arial"/>
                <w:sz w:val="20"/>
                <w:szCs w:val="20"/>
                <w:color w:val="auto"/>
                <w:w w:val="91"/>
              </w:rPr>
              <w:t xml:space="preserve">/s/ </w:t>
            </w:r>
            <w:r>
              <w:rPr>
                <w:rFonts w:ascii="Arial" w:cs="Arial" w:eastAsia="Arial" w:hAnsi="Arial"/>
                <w:sz w:val="20"/>
                <w:szCs w:val="20"/>
                <w:color w:val="242424"/>
                <w:w w:val="91"/>
              </w:rPr>
              <w:t>William D. Porteous</w:t>
            </w:r>
          </w:p>
        </w:tc>
      </w:tr>
      <w:tr>
        <w:trPr>
          <w:trHeight w:val="23"/>
        </w:trPr>
        <w:tc>
          <w:tcPr>
            <w:tcW w:w="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r>
      <w:tr>
        <w:trPr>
          <w:trHeight w:val="254"/>
        </w:trPr>
        <w:tc>
          <w:tcPr>
            <w:tcW w:w="580" w:type="dxa"/>
            <w:vAlign w:val="bottom"/>
          </w:tcPr>
          <w:p>
            <w:pPr>
              <w:spacing w:after="0"/>
              <w:rPr>
                <w:sz w:val="20"/>
                <w:szCs w:val="20"/>
                <w:color w:val="auto"/>
              </w:rPr>
            </w:pPr>
            <w:r>
              <w:rPr>
                <w:rFonts w:ascii="Arial" w:cs="Arial" w:eastAsia="Arial" w:hAnsi="Arial"/>
                <w:sz w:val="20"/>
                <w:szCs w:val="20"/>
                <w:color w:val="auto"/>
                <w:w w:val="94"/>
              </w:rPr>
              <w:t>Name:</w:t>
            </w:r>
          </w:p>
        </w:tc>
        <w:tc>
          <w:tcPr>
            <w:tcW w:w="220" w:type="dxa"/>
            <w:vAlign w:val="bottom"/>
          </w:tcPr>
          <w:p>
            <w:pPr>
              <w:spacing w:after="0"/>
              <w:rPr>
                <w:sz w:val="22"/>
                <w:szCs w:val="22"/>
                <w:color w:val="auto"/>
              </w:rPr>
            </w:pPr>
          </w:p>
        </w:tc>
        <w:tc>
          <w:tcPr>
            <w:tcW w:w="4980" w:type="dxa"/>
            <w:vAlign w:val="bottom"/>
          </w:tcPr>
          <w:p>
            <w:pPr>
              <w:ind w:left="100"/>
              <w:spacing w:after="0"/>
              <w:rPr>
                <w:sz w:val="20"/>
                <w:szCs w:val="20"/>
                <w:color w:val="auto"/>
              </w:rPr>
            </w:pPr>
            <w:r>
              <w:rPr>
                <w:rFonts w:ascii="Arial" w:cs="Arial" w:eastAsia="Arial" w:hAnsi="Arial"/>
                <w:sz w:val="20"/>
                <w:szCs w:val="20"/>
                <w:color w:val="auto"/>
              </w:rPr>
              <w:t>William D. Porteous</w:t>
            </w:r>
          </w:p>
        </w:tc>
      </w:tr>
      <w:tr>
        <w:trPr>
          <w:trHeight w:val="283"/>
        </w:trPr>
        <w:tc>
          <w:tcPr>
            <w:tcW w:w="580" w:type="dxa"/>
            <w:vAlign w:val="bottom"/>
          </w:tcPr>
          <w:p>
            <w:pPr>
              <w:spacing w:after="0"/>
              <w:rPr>
                <w:sz w:val="20"/>
                <w:szCs w:val="20"/>
                <w:color w:val="auto"/>
              </w:rPr>
            </w:pPr>
            <w:r>
              <w:rPr>
                <w:rFonts w:ascii="Arial" w:cs="Arial" w:eastAsia="Arial" w:hAnsi="Arial"/>
                <w:sz w:val="20"/>
                <w:szCs w:val="20"/>
                <w:color w:val="auto"/>
              </w:rPr>
              <w:t>Title:</w:t>
            </w:r>
          </w:p>
        </w:tc>
        <w:tc>
          <w:tcPr>
            <w:tcW w:w="220" w:type="dxa"/>
            <w:vAlign w:val="bottom"/>
          </w:tcPr>
          <w:p>
            <w:pPr>
              <w:spacing w:after="0"/>
              <w:rPr>
                <w:sz w:val="24"/>
                <w:szCs w:val="24"/>
                <w:color w:val="auto"/>
              </w:rPr>
            </w:pPr>
          </w:p>
        </w:tc>
        <w:tc>
          <w:tcPr>
            <w:tcW w:w="4980" w:type="dxa"/>
            <w:vAlign w:val="bottom"/>
          </w:tcPr>
          <w:p>
            <w:pPr>
              <w:ind w:left="100"/>
              <w:spacing w:after="0"/>
              <w:rPr>
                <w:sz w:val="20"/>
                <w:szCs w:val="20"/>
                <w:color w:val="auto"/>
              </w:rPr>
            </w:pPr>
            <w:r>
              <w:rPr>
                <w:rFonts w:ascii="Arial" w:cs="Arial" w:eastAsia="Arial" w:hAnsi="Arial"/>
                <w:sz w:val="20"/>
                <w:szCs w:val="20"/>
                <w:color w:val="auto"/>
              </w:rPr>
              <w:t>General Partner and COO</w:t>
            </w:r>
          </w:p>
        </w:tc>
      </w:tr>
      <w:tr>
        <w:trPr>
          <w:trHeight w:val="608"/>
        </w:trPr>
        <w:tc>
          <w:tcPr>
            <w:tcW w:w="800" w:type="dxa"/>
            <w:vAlign w:val="bottom"/>
            <w:gridSpan w:val="2"/>
          </w:tcPr>
          <w:p>
            <w:pPr>
              <w:spacing w:after="0"/>
              <w:rPr>
                <w:sz w:val="20"/>
                <w:szCs w:val="20"/>
                <w:color w:val="auto"/>
              </w:rPr>
            </w:pPr>
            <w:r>
              <w:rPr>
                <w:rFonts w:ascii="Arial" w:cs="Arial" w:eastAsia="Arial" w:hAnsi="Arial"/>
                <w:sz w:val="20"/>
                <w:szCs w:val="20"/>
                <w:color w:val="auto"/>
                <w:w w:val="98"/>
              </w:rPr>
              <w:t>Address:</w:t>
            </w:r>
          </w:p>
        </w:tc>
        <w:tc>
          <w:tcPr>
            <w:tcW w:w="4980" w:type="dxa"/>
            <w:vAlign w:val="bottom"/>
          </w:tcPr>
          <w:p>
            <w:pPr>
              <w:jc w:val="right"/>
              <w:ind w:right="4101"/>
              <w:spacing w:after="0"/>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Investors' Rights Agreement</w:t>
      </w:r>
      <w:r>
        <w:rPr>
          <w:rFonts w:ascii="Arial" w:cs="Arial" w:eastAsia="Arial" w:hAnsi="Arial"/>
          <w:sz w:val="18"/>
          <w:szCs w:val="18"/>
          <w:color w:val="auto"/>
        </w:rPr>
        <w:t>]</w:t>
      </w:r>
    </w:p>
    <w:p>
      <w:pPr>
        <w:sectPr>
          <w:pgSz w:w="11900" w:h="16838" w:orient="portrait"/>
          <w:cols w:equalWidth="0" w:num="1">
            <w:col w:w="10100"/>
          </w:cols>
          <w:pgMar w:left="1440" w:top="1440" w:right="359" w:bottom="1440" w:gutter="0" w:footer="0" w:header="0"/>
          <w:type w:val="continuous"/>
        </w:sectPr>
      </w:pPr>
    </w:p>
    <w:bookmarkStart w:id="288" w:name="page289"/>
    <w:bookmarkEnd w:id="288"/>
    <w:p>
      <w:pPr>
        <w:spacing w:after="0" w:line="27" w:lineRule="exact"/>
        <w:rPr>
          <w:sz w:val="20"/>
          <w:szCs w:val="20"/>
          <w:color w:val="auto"/>
        </w:rPr>
      </w:pPr>
    </w:p>
    <w:p>
      <w:pPr>
        <w:jc w:val="right"/>
        <w:ind w:right="1319"/>
        <w:spacing w:after="0"/>
        <w:rPr>
          <w:sz w:val="20"/>
          <w:szCs w:val="20"/>
          <w:color w:val="auto"/>
        </w:rPr>
      </w:pPr>
      <w:r>
        <w:rPr>
          <w:rFonts w:ascii="Arial" w:cs="Arial" w:eastAsia="Arial" w:hAnsi="Arial"/>
          <w:sz w:val="20"/>
          <w:szCs w:val="20"/>
          <w:b w:val="1"/>
          <w:bCs w:val="1"/>
          <w:color w:val="auto"/>
        </w:rPr>
        <w:t>iGLOBE INTERNATIONAL LIMITED</w:t>
      </w:r>
    </w:p>
    <w:p>
      <w:pPr>
        <w:spacing w:after="0" w:line="200" w:lineRule="exact"/>
        <w:rPr>
          <w:sz w:val="20"/>
          <w:szCs w:val="20"/>
          <w:color w:val="auto"/>
        </w:rPr>
      </w:pPr>
    </w:p>
    <w:p>
      <w:pPr>
        <w:spacing w:after="0" w:line="373" w:lineRule="exact"/>
        <w:rPr>
          <w:sz w:val="20"/>
          <w:szCs w:val="20"/>
          <w:color w:val="auto"/>
        </w:rPr>
      </w:pPr>
    </w:p>
    <w:p>
      <w:pPr>
        <w:ind w:left="4280"/>
        <w:spacing w:after="0"/>
        <w:tabs>
          <w:tab w:leader="none" w:pos="4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Soo Boon Koh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3391535</wp:posOffset>
            </wp:positionH>
            <wp:positionV relativeFrom="paragraph">
              <wp:posOffset>27305</wp:posOffset>
            </wp:positionV>
            <wp:extent cx="221170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47" w:lineRule="exact"/>
        <w:rPr>
          <w:sz w:val="20"/>
          <w:szCs w:val="20"/>
          <w:color w:val="auto"/>
        </w:rPr>
      </w:pPr>
    </w:p>
    <w:p>
      <w:pPr>
        <w:ind w:left="4280"/>
        <w:spacing w:after="0"/>
        <w:tabs>
          <w:tab w:leader="none" w:pos="53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Soo Boon Koh</w:t>
      </w:r>
    </w:p>
    <w:p>
      <w:pPr>
        <w:spacing w:after="0" w:line="54" w:lineRule="exact"/>
        <w:rPr>
          <w:sz w:val="20"/>
          <w:szCs w:val="20"/>
          <w:color w:val="auto"/>
        </w:rPr>
      </w:pPr>
    </w:p>
    <w:p>
      <w:pPr>
        <w:ind w:left="4280"/>
        <w:spacing w:after="0"/>
        <w:tabs>
          <w:tab w:leader="none" w:pos="53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Director</w:t>
      </w:r>
    </w:p>
    <w:p>
      <w:pPr>
        <w:spacing w:after="0" w:line="200" w:lineRule="exact"/>
        <w:rPr>
          <w:sz w:val="20"/>
          <w:szCs w:val="20"/>
          <w:color w:val="auto"/>
        </w:rPr>
      </w:pPr>
    </w:p>
    <w:p>
      <w:pPr>
        <w:spacing w:after="0" w:line="367" w:lineRule="exact"/>
        <w:rPr>
          <w:sz w:val="20"/>
          <w:szCs w:val="20"/>
          <w:color w:val="auto"/>
        </w:rPr>
      </w:pPr>
    </w:p>
    <w:p>
      <w:pPr>
        <w:ind w:left="4280"/>
        <w:spacing w:after="0"/>
        <w:tabs>
          <w:tab w:leader="none" w:pos="5440" w:val="left"/>
        </w:tabs>
        <w:rPr>
          <w:sz w:val="20"/>
          <w:szCs w:val="20"/>
          <w:color w:val="auto"/>
        </w:rPr>
      </w:pPr>
      <w:r>
        <w:rPr>
          <w:rFonts w:ascii="Arial" w:cs="Arial" w:eastAsia="Arial" w:hAnsi="Arial"/>
          <w:sz w:val="20"/>
          <w:szCs w:val="20"/>
          <w:color w:val="auto"/>
        </w:rPr>
        <w:t>Address:</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Investors' Rights Agreement</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289" w:name="page290"/>
    <w:bookmarkEnd w:id="289"/>
    <w:p>
      <w:pPr>
        <w:spacing w:after="0" w:line="27" w:lineRule="exact"/>
        <w:rPr>
          <w:sz w:val="20"/>
          <w:szCs w:val="20"/>
          <w:color w:val="auto"/>
        </w:rPr>
      </w:pPr>
    </w:p>
    <w:p>
      <w:pPr>
        <w:ind w:left="4580"/>
        <w:spacing w:after="0"/>
        <w:rPr>
          <w:sz w:val="20"/>
          <w:szCs w:val="20"/>
          <w:color w:val="auto"/>
        </w:rPr>
      </w:pPr>
      <w:r>
        <w:rPr>
          <w:rFonts w:ascii="Arial" w:cs="Arial" w:eastAsia="Arial" w:hAnsi="Arial"/>
          <w:sz w:val="19"/>
          <w:szCs w:val="19"/>
          <w:b w:val="1"/>
          <w:bCs w:val="1"/>
          <w:color w:val="auto"/>
        </w:rPr>
        <w:t>SSC VENTURE FUND LLC</w:t>
      </w:r>
    </w:p>
    <w:p>
      <w:pPr>
        <w:spacing w:after="0" w:line="341"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/s/ John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27305</wp:posOffset>
            </wp:positionV>
            <wp:extent cx="35229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47" w:lineRule="exact"/>
        <w:rPr>
          <w:sz w:val="20"/>
          <w:szCs w:val="20"/>
          <w:color w:val="auto"/>
        </w:rPr>
      </w:pPr>
    </w:p>
    <w:p>
      <w:pPr>
        <w:ind w:left="4580"/>
        <w:spacing w:after="0"/>
        <w:tabs>
          <w:tab w:leader="none" w:pos="54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John Mack</w:t>
      </w:r>
    </w:p>
    <w:p>
      <w:pPr>
        <w:spacing w:after="0" w:line="54" w:lineRule="exact"/>
        <w:rPr>
          <w:sz w:val="20"/>
          <w:szCs w:val="20"/>
          <w:color w:val="auto"/>
        </w:rPr>
      </w:pPr>
    </w:p>
    <w:p>
      <w:pPr>
        <w:ind w:left="4580"/>
        <w:spacing w:after="0"/>
        <w:tabs>
          <w:tab w:leader="none" w:pos="54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/s/ Cotter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27305</wp:posOffset>
            </wp:positionV>
            <wp:extent cx="35229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47"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Cotter Cunningham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/s/ Jefferey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27305</wp:posOffset>
            </wp:positionV>
            <wp:extent cx="35229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47"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Jefferey Chang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/s/ James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27305</wp:posOffset>
            </wp:positionV>
            <wp:extent cx="35229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47"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James Kim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/s/ Brian Snyder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27305</wp:posOffset>
            </wp:positionV>
            <wp:extent cx="35229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47"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Brian Snyder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/s/ Steven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27305</wp:posOffset>
            </wp:positionV>
            <wp:extent cx="35229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47"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Steven Wu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/s/ Eric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27305</wp:posOffset>
            </wp:positionV>
            <wp:extent cx="35229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47"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Eric Boyle</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Investors' Rights Agreement</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type w:val="continuous"/>
        </w:sectPr>
      </w:pPr>
    </w:p>
    <w:bookmarkStart w:id="290" w:name="page291"/>
    <w:bookmarkEnd w:id="290"/>
    <w:p>
      <w:pPr>
        <w:spacing w:after="0" w:line="27" w:lineRule="exact"/>
        <w:rPr>
          <w:sz w:val="20"/>
          <w:szCs w:val="20"/>
          <w:color w:val="auto"/>
        </w:rPr>
      </w:pPr>
    </w:p>
    <w:p>
      <w:pPr>
        <w:ind w:left="4580"/>
        <w:spacing w:after="0"/>
        <w:rPr>
          <w:sz w:val="20"/>
          <w:szCs w:val="20"/>
          <w:color w:val="auto"/>
        </w:rPr>
      </w:pPr>
      <w:r>
        <w:rPr>
          <w:rFonts w:ascii="Arial" w:cs="Arial" w:eastAsia="Arial" w:hAnsi="Arial"/>
          <w:sz w:val="20"/>
          <w:szCs w:val="20"/>
          <w:b w:val="1"/>
          <w:bCs w:val="1"/>
          <w:color w:val="auto"/>
        </w:rPr>
        <w:t>NOTE HOLDERS:</w:t>
      </w:r>
    </w:p>
    <w:p>
      <w:pPr>
        <w:spacing w:after="0" w:line="33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Wai Fun Lee (Aaron)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41910</wp:posOffset>
            </wp:positionV>
            <wp:extent cx="35229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70"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Wai Fun Lee (Aaron)</w:t>
      </w:r>
    </w:p>
    <w:p>
      <w:pPr>
        <w:spacing w:after="0" w:line="200" w:lineRule="exact"/>
        <w:rPr>
          <w:sz w:val="20"/>
          <w:szCs w:val="20"/>
          <w:color w:val="auto"/>
        </w:rPr>
      </w:pPr>
    </w:p>
    <w:p>
      <w:pPr>
        <w:spacing w:after="0" w:line="340"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/s/ Robert Kwok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27305</wp:posOffset>
            </wp:positionV>
            <wp:extent cx="35229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47"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Robert Kwok</w:t>
      </w:r>
    </w:p>
    <w:p>
      <w:pPr>
        <w:spacing w:after="0" w:line="200" w:lineRule="exact"/>
        <w:rPr>
          <w:sz w:val="20"/>
          <w:szCs w:val="20"/>
          <w:color w:val="auto"/>
        </w:rPr>
      </w:pPr>
    </w:p>
    <w:p>
      <w:pPr>
        <w:spacing w:after="0" w:line="340"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/s/ Emilie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27305</wp:posOffset>
            </wp:positionV>
            <wp:extent cx="35229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47"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Emilie Choi</w:t>
      </w:r>
    </w:p>
    <w:p>
      <w:pPr>
        <w:spacing w:after="0" w:line="200" w:lineRule="exact"/>
        <w:rPr>
          <w:sz w:val="20"/>
          <w:szCs w:val="20"/>
          <w:color w:val="auto"/>
        </w:rPr>
      </w:pPr>
    </w:p>
    <w:p>
      <w:pPr>
        <w:spacing w:after="0" w:line="340"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/s/ Shannon Brayton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27305</wp:posOffset>
            </wp:positionV>
            <wp:extent cx="35229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47"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Shannon Brayton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Investors' Rights Agreement</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291" w:name="page292"/>
    <w:bookmarkEnd w:id="291"/>
    <w:p>
      <w:pPr>
        <w:spacing w:after="0" w:line="27" w:lineRule="exact"/>
        <w:rPr>
          <w:sz w:val="20"/>
          <w:szCs w:val="20"/>
          <w:color w:val="auto"/>
        </w:rPr>
      </w:pPr>
    </w:p>
    <w:p>
      <w:pPr>
        <w:ind w:left="4640"/>
        <w:spacing w:after="0"/>
        <w:rPr>
          <w:sz w:val="20"/>
          <w:szCs w:val="20"/>
          <w:color w:val="auto"/>
        </w:rPr>
      </w:pPr>
      <w:r>
        <w:rPr>
          <w:rFonts w:ascii="Arial" w:cs="Arial" w:eastAsia="Arial" w:hAnsi="Arial"/>
          <w:sz w:val="20"/>
          <w:szCs w:val="20"/>
          <w:b w:val="1"/>
          <w:bCs w:val="1"/>
          <w:color w:val="auto"/>
        </w:rPr>
        <w:t>BAM VENTURES PARTNERS, L.P.</w:t>
      </w:r>
    </w:p>
    <w:p>
      <w:pPr>
        <w:spacing w:after="0" w:line="384" w:lineRule="exact"/>
        <w:rPr>
          <w:sz w:val="20"/>
          <w:szCs w:val="20"/>
          <w:color w:val="auto"/>
        </w:rPr>
      </w:pPr>
    </w:p>
    <w:tbl>
      <w:tblPr>
        <w:tblLayout w:type="fixed"/>
        <w:tblInd w:w="4620" w:type="dxa"/>
        <w:tblCellMar>
          <w:top w:w="0" w:type="dxa"/>
          <w:left w:w="0" w:type="dxa"/>
          <w:bottom w:w="0" w:type="dxa"/>
          <w:right w:w="0" w:type="dxa"/>
        </w:tblCellMar>
      </w:tblPr>
      <w:tr>
        <w:trPr>
          <w:trHeight w:val="250"/>
        </w:trPr>
        <w:tc>
          <w:tcPr>
            <w:tcW w:w="580" w:type="dxa"/>
            <w:vAlign w:val="bottom"/>
          </w:tcPr>
          <w:p>
            <w:pPr>
              <w:ind w:left="20"/>
              <w:spacing w:after="0"/>
              <w:rPr>
                <w:sz w:val="20"/>
                <w:szCs w:val="20"/>
                <w:color w:val="auto"/>
              </w:rPr>
            </w:pPr>
            <w:r>
              <w:rPr>
                <w:rFonts w:ascii="Arial" w:cs="Arial" w:eastAsia="Arial" w:hAnsi="Arial"/>
                <w:sz w:val="20"/>
                <w:szCs w:val="20"/>
                <w:color w:val="auto"/>
              </w:rPr>
              <w:t>By:</w:t>
            </w:r>
          </w:p>
        </w:tc>
        <w:tc>
          <w:tcPr>
            <w:tcW w:w="4920" w:type="dxa"/>
            <w:vAlign w:val="bottom"/>
          </w:tcPr>
          <w:p>
            <w:pPr>
              <w:ind w:left="40"/>
              <w:spacing w:after="0"/>
              <w:rPr>
                <w:sz w:val="20"/>
                <w:szCs w:val="20"/>
                <w:color w:val="auto"/>
              </w:rPr>
            </w:pPr>
            <w:r>
              <w:rPr>
                <w:rFonts w:ascii="Arial" w:cs="Arial" w:eastAsia="Arial" w:hAnsi="Arial"/>
                <w:sz w:val="20"/>
                <w:szCs w:val="20"/>
                <w:color w:val="auto"/>
              </w:rPr>
              <w:t>BAM VENTURES GP, LLC</w:t>
            </w:r>
          </w:p>
        </w:tc>
      </w:tr>
      <w:tr>
        <w:trPr>
          <w:trHeight w:val="283"/>
        </w:trPr>
        <w:tc>
          <w:tcPr>
            <w:tcW w:w="580" w:type="dxa"/>
            <w:vAlign w:val="bottom"/>
          </w:tcPr>
          <w:p>
            <w:pPr>
              <w:ind w:left="20"/>
              <w:spacing w:after="0"/>
              <w:rPr>
                <w:sz w:val="20"/>
                <w:szCs w:val="20"/>
                <w:color w:val="auto"/>
              </w:rPr>
            </w:pPr>
            <w:r>
              <w:rPr>
                <w:rFonts w:ascii="Arial" w:cs="Arial" w:eastAsia="Arial" w:hAnsi="Arial"/>
                <w:sz w:val="20"/>
                <w:szCs w:val="20"/>
                <w:color w:val="auto"/>
              </w:rPr>
              <w:t>Its</w:t>
            </w:r>
          </w:p>
        </w:tc>
        <w:tc>
          <w:tcPr>
            <w:tcW w:w="4920" w:type="dxa"/>
            <w:vAlign w:val="bottom"/>
          </w:tcPr>
          <w:p>
            <w:pPr>
              <w:ind w:left="40"/>
              <w:spacing w:after="0"/>
              <w:rPr>
                <w:sz w:val="20"/>
                <w:szCs w:val="20"/>
                <w:color w:val="auto"/>
              </w:rPr>
            </w:pPr>
            <w:r>
              <w:rPr>
                <w:rFonts w:ascii="Arial" w:cs="Arial" w:eastAsia="Arial" w:hAnsi="Arial"/>
                <w:sz w:val="20"/>
                <w:szCs w:val="20"/>
                <w:color w:val="auto"/>
              </w:rPr>
              <w:t>General Partner</w:t>
            </w:r>
          </w:p>
        </w:tc>
      </w:tr>
      <w:tr>
        <w:trPr>
          <w:trHeight w:val="823"/>
        </w:trPr>
        <w:tc>
          <w:tcPr>
            <w:tcW w:w="5500" w:type="dxa"/>
            <w:vAlign w:val="bottom"/>
            <w:gridSpan w:val="2"/>
          </w:tcPr>
          <w:p>
            <w:pPr>
              <w:ind w:left="20"/>
              <w:spacing w:after="0"/>
              <w:rPr>
                <w:sz w:val="20"/>
                <w:szCs w:val="20"/>
                <w:color w:val="auto"/>
              </w:rPr>
            </w:pPr>
            <w:r>
              <w:rPr>
                <w:rFonts w:ascii="Arial" w:cs="Arial" w:eastAsia="Arial" w:hAnsi="Arial"/>
                <w:sz w:val="20"/>
                <w:szCs w:val="20"/>
                <w:color w:val="auto"/>
              </w:rPr>
              <w:t>/s/ Richard C. Jun</w:t>
            </w:r>
          </w:p>
        </w:tc>
      </w:tr>
      <w:tr>
        <w:trPr>
          <w:trHeight w:val="23"/>
        </w:trPr>
        <w:tc>
          <w:tcPr>
            <w:tcW w:w="580" w:type="dxa"/>
            <w:vAlign w:val="bottom"/>
            <w:tcBorders>
              <w:bottom w:val="single" w:sz="8" w:color="auto"/>
            </w:tcBorders>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r>
      <w:tr>
        <w:trPr>
          <w:trHeight w:val="254"/>
        </w:trPr>
        <w:tc>
          <w:tcPr>
            <w:tcW w:w="580" w:type="dxa"/>
            <w:vAlign w:val="bottom"/>
          </w:tcPr>
          <w:p>
            <w:pPr>
              <w:ind w:left="20"/>
              <w:spacing w:after="0"/>
              <w:rPr>
                <w:sz w:val="20"/>
                <w:szCs w:val="20"/>
                <w:color w:val="auto"/>
              </w:rPr>
            </w:pPr>
            <w:r>
              <w:rPr>
                <w:rFonts w:ascii="Arial" w:cs="Arial" w:eastAsia="Arial" w:hAnsi="Arial"/>
                <w:sz w:val="20"/>
                <w:szCs w:val="20"/>
                <w:color w:val="auto"/>
                <w:w w:val="91"/>
              </w:rPr>
              <w:t>Name:</w:t>
            </w:r>
          </w:p>
        </w:tc>
        <w:tc>
          <w:tcPr>
            <w:tcW w:w="4920" w:type="dxa"/>
            <w:vAlign w:val="bottom"/>
          </w:tcPr>
          <w:p>
            <w:pPr>
              <w:ind w:left="340"/>
              <w:spacing w:after="0"/>
              <w:rPr>
                <w:sz w:val="20"/>
                <w:szCs w:val="20"/>
                <w:color w:val="auto"/>
              </w:rPr>
            </w:pPr>
            <w:r>
              <w:rPr>
                <w:rFonts w:ascii="Arial" w:cs="Arial" w:eastAsia="Arial" w:hAnsi="Arial"/>
                <w:sz w:val="20"/>
                <w:szCs w:val="20"/>
                <w:color w:val="auto"/>
              </w:rPr>
              <w:t>Richard C. Jun</w:t>
            </w:r>
          </w:p>
        </w:tc>
      </w:tr>
      <w:tr>
        <w:trPr>
          <w:trHeight w:val="283"/>
        </w:trPr>
        <w:tc>
          <w:tcPr>
            <w:tcW w:w="580" w:type="dxa"/>
            <w:vAlign w:val="bottom"/>
          </w:tcPr>
          <w:p>
            <w:pPr>
              <w:ind w:left="20"/>
              <w:spacing w:after="0"/>
              <w:rPr>
                <w:sz w:val="20"/>
                <w:szCs w:val="20"/>
                <w:color w:val="auto"/>
              </w:rPr>
            </w:pPr>
            <w:r>
              <w:rPr>
                <w:rFonts w:ascii="Arial" w:cs="Arial" w:eastAsia="Arial" w:hAnsi="Arial"/>
                <w:sz w:val="20"/>
                <w:szCs w:val="20"/>
                <w:color w:val="auto"/>
              </w:rPr>
              <w:t>Title:</w:t>
            </w:r>
          </w:p>
        </w:tc>
        <w:tc>
          <w:tcPr>
            <w:tcW w:w="4920" w:type="dxa"/>
            <w:vAlign w:val="bottom"/>
          </w:tcPr>
          <w:p>
            <w:pPr>
              <w:ind w:left="340"/>
              <w:spacing w:after="0"/>
              <w:rPr>
                <w:sz w:val="20"/>
                <w:szCs w:val="20"/>
                <w:color w:val="auto"/>
              </w:rPr>
            </w:pPr>
            <w:r>
              <w:rPr>
                <w:rFonts w:ascii="Arial" w:cs="Arial" w:eastAsia="Arial" w:hAnsi="Arial"/>
                <w:sz w:val="20"/>
                <w:szCs w:val="20"/>
                <w:color w:val="auto"/>
              </w:rPr>
              <w:t>Managing Director</w:t>
            </w:r>
          </w:p>
        </w:tc>
      </w:tr>
    </w:tbl>
    <w:p>
      <w:pPr>
        <w:spacing w:after="0" w:line="200" w:lineRule="exact"/>
        <w:rPr>
          <w:sz w:val="20"/>
          <w:szCs w:val="20"/>
          <w:color w:val="auto"/>
        </w:rPr>
      </w:pPr>
    </w:p>
    <w:p>
      <w:pPr>
        <w:spacing w:after="0" w:line="340" w:lineRule="exact"/>
        <w:rPr>
          <w:sz w:val="20"/>
          <w:szCs w:val="20"/>
          <w:color w:val="auto"/>
        </w:rPr>
      </w:pPr>
    </w:p>
    <w:p>
      <w:pPr>
        <w:ind w:left="4640"/>
        <w:spacing w:after="0"/>
        <w:rPr>
          <w:sz w:val="20"/>
          <w:szCs w:val="20"/>
          <w:color w:val="auto"/>
        </w:rPr>
      </w:pPr>
      <w:r>
        <w:rPr>
          <w:rFonts w:ascii="Arial" w:cs="Arial" w:eastAsia="Arial" w:hAnsi="Arial"/>
          <w:sz w:val="20"/>
          <w:szCs w:val="20"/>
          <w:b w:val="1"/>
          <w:bCs w:val="1"/>
          <w:color w:val="auto"/>
        </w:rPr>
        <w:t>BAM VENTURES PARTNERS (A), LP.</w:t>
      </w:r>
    </w:p>
    <w:p>
      <w:pPr>
        <w:spacing w:after="0" w:line="384" w:lineRule="exact"/>
        <w:rPr>
          <w:sz w:val="20"/>
          <w:szCs w:val="20"/>
          <w:color w:val="auto"/>
        </w:rPr>
      </w:pPr>
    </w:p>
    <w:tbl>
      <w:tblPr>
        <w:tblLayout w:type="fixed"/>
        <w:tblInd w:w="4620" w:type="dxa"/>
        <w:tblCellMar>
          <w:top w:w="0" w:type="dxa"/>
          <w:left w:w="0" w:type="dxa"/>
          <w:bottom w:w="0" w:type="dxa"/>
          <w:right w:w="0" w:type="dxa"/>
        </w:tblCellMar>
      </w:tblPr>
      <w:tr>
        <w:trPr>
          <w:trHeight w:val="250"/>
        </w:trPr>
        <w:tc>
          <w:tcPr>
            <w:tcW w:w="580" w:type="dxa"/>
            <w:vAlign w:val="bottom"/>
          </w:tcPr>
          <w:p>
            <w:pPr>
              <w:ind w:left="20"/>
              <w:spacing w:after="0"/>
              <w:rPr>
                <w:sz w:val="20"/>
                <w:szCs w:val="20"/>
                <w:color w:val="auto"/>
              </w:rPr>
            </w:pPr>
            <w:r>
              <w:rPr>
                <w:rFonts w:ascii="Arial" w:cs="Arial" w:eastAsia="Arial" w:hAnsi="Arial"/>
                <w:sz w:val="20"/>
                <w:szCs w:val="20"/>
                <w:color w:val="auto"/>
              </w:rPr>
              <w:t>By:</w:t>
            </w:r>
          </w:p>
        </w:tc>
        <w:tc>
          <w:tcPr>
            <w:tcW w:w="4920" w:type="dxa"/>
            <w:vAlign w:val="bottom"/>
          </w:tcPr>
          <w:p>
            <w:pPr>
              <w:ind w:left="40"/>
              <w:spacing w:after="0"/>
              <w:rPr>
                <w:sz w:val="20"/>
                <w:szCs w:val="20"/>
                <w:color w:val="auto"/>
              </w:rPr>
            </w:pPr>
            <w:r>
              <w:rPr>
                <w:rFonts w:ascii="Arial" w:cs="Arial" w:eastAsia="Arial" w:hAnsi="Arial"/>
                <w:sz w:val="20"/>
                <w:szCs w:val="20"/>
                <w:color w:val="auto"/>
              </w:rPr>
              <w:t>BAM VENTURES GP, LLC</w:t>
            </w:r>
          </w:p>
        </w:tc>
      </w:tr>
      <w:tr>
        <w:trPr>
          <w:trHeight w:val="283"/>
        </w:trPr>
        <w:tc>
          <w:tcPr>
            <w:tcW w:w="580" w:type="dxa"/>
            <w:vAlign w:val="bottom"/>
          </w:tcPr>
          <w:p>
            <w:pPr>
              <w:ind w:left="20"/>
              <w:spacing w:after="0"/>
              <w:rPr>
                <w:sz w:val="20"/>
                <w:szCs w:val="20"/>
                <w:color w:val="auto"/>
              </w:rPr>
            </w:pPr>
            <w:r>
              <w:rPr>
                <w:rFonts w:ascii="Arial" w:cs="Arial" w:eastAsia="Arial" w:hAnsi="Arial"/>
                <w:sz w:val="20"/>
                <w:szCs w:val="20"/>
                <w:color w:val="auto"/>
              </w:rPr>
              <w:t>Its</w:t>
            </w:r>
          </w:p>
        </w:tc>
        <w:tc>
          <w:tcPr>
            <w:tcW w:w="4920" w:type="dxa"/>
            <w:vAlign w:val="bottom"/>
          </w:tcPr>
          <w:p>
            <w:pPr>
              <w:ind w:left="40"/>
              <w:spacing w:after="0"/>
              <w:rPr>
                <w:sz w:val="20"/>
                <w:szCs w:val="20"/>
                <w:color w:val="auto"/>
              </w:rPr>
            </w:pPr>
            <w:r>
              <w:rPr>
                <w:rFonts w:ascii="Arial" w:cs="Arial" w:eastAsia="Arial" w:hAnsi="Arial"/>
                <w:sz w:val="20"/>
                <w:szCs w:val="20"/>
                <w:color w:val="auto"/>
              </w:rPr>
              <w:t>General Partner</w:t>
            </w:r>
          </w:p>
        </w:tc>
      </w:tr>
      <w:tr>
        <w:trPr>
          <w:trHeight w:val="797"/>
        </w:trPr>
        <w:tc>
          <w:tcPr>
            <w:tcW w:w="5500" w:type="dxa"/>
            <w:vAlign w:val="bottom"/>
            <w:gridSpan w:val="2"/>
          </w:tcPr>
          <w:p>
            <w:pPr>
              <w:ind w:left="20"/>
              <w:spacing w:after="0"/>
              <w:rPr>
                <w:sz w:val="20"/>
                <w:szCs w:val="20"/>
                <w:color w:val="auto"/>
              </w:rPr>
            </w:pPr>
            <w:r>
              <w:rPr>
                <w:rFonts w:ascii="Arial" w:cs="Arial" w:eastAsia="Arial" w:hAnsi="Arial"/>
                <w:sz w:val="20"/>
                <w:szCs w:val="20"/>
                <w:color w:val="auto"/>
              </w:rPr>
              <w:t>/s/ Richard C. Jun</w:t>
            </w:r>
          </w:p>
        </w:tc>
      </w:tr>
      <w:tr>
        <w:trPr>
          <w:trHeight w:val="23"/>
        </w:trPr>
        <w:tc>
          <w:tcPr>
            <w:tcW w:w="580" w:type="dxa"/>
            <w:vAlign w:val="bottom"/>
            <w:tcBorders>
              <w:bottom w:val="single" w:sz="8" w:color="auto"/>
            </w:tcBorders>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r>
      <w:tr>
        <w:trPr>
          <w:trHeight w:val="254"/>
        </w:trPr>
        <w:tc>
          <w:tcPr>
            <w:tcW w:w="580" w:type="dxa"/>
            <w:vAlign w:val="bottom"/>
          </w:tcPr>
          <w:p>
            <w:pPr>
              <w:ind w:left="20"/>
              <w:spacing w:after="0"/>
              <w:rPr>
                <w:sz w:val="20"/>
                <w:szCs w:val="20"/>
                <w:color w:val="auto"/>
              </w:rPr>
            </w:pPr>
            <w:r>
              <w:rPr>
                <w:rFonts w:ascii="Arial" w:cs="Arial" w:eastAsia="Arial" w:hAnsi="Arial"/>
                <w:sz w:val="20"/>
                <w:szCs w:val="20"/>
                <w:color w:val="auto"/>
                <w:w w:val="91"/>
              </w:rPr>
              <w:t>Name:</w:t>
            </w:r>
          </w:p>
        </w:tc>
        <w:tc>
          <w:tcPr>
            <w:tcW w:w="4920" w:type="dxa"/>
            <w:vAlign w:val="bottom"/>
          </w:tcPr>
          <w:p>
            <w:pPr>
              <w:ind w:left="340"/>
              <w:spacing w:after="0"/>
              <w:rPr>
                <w:sz w:val="20"/>
                <w:szCs w:val="20"/>
                <w:color w:val="auto"/>
              </w:rPr>
            </w:pPr>
            <w:r>
              <w:rPr>
                <w:rFonts w:ascii="Arial" w:cs="Arial" w:eastAsia="Arial" w:hAnsi="Arial"/>
                <w:sz w:val="20"/>
                <w:szCs w:val="20"/>
                <w:color w:val="auto"/>
              </w:rPr>
              <w:t>Richard C. Jun</w:t>
            </w:r>
          </w:p>
        </w:tc>
      </w:tr>
      <w:tr>
        <w:trPr>
          <w:trHeight w:val="283"/>
        </w:trPr>
        <w:tc>
          <w:tcPr>
            <w:tcW w:w="580" w:type="dxa"/>
            <w:vAlign w:val="bottom"/>
          </w:tcPr>
          <w:p>
            <w:pPr>
              <w:ind w:left="20"/>
              <w:spacing w:after="0"/>
              <w:rPr>
                <w:sz w:val="20"/>
                <w:szCs w:val="20"/>
                <w:color w:val="auto"/>
              </w:rPr>
            </w:pPr>
            <w:r>
              <w:rPr>
                <w:rFonts w:ascii="Arial" w:cs="Arial" w:eastAsia="Arial" w:hAnsi="Arial"/>
                <w:sz w:val="20"/>
                <w:szCs w:val="20"/>
                <w:color w:val="auto"/>
              </w:rPr>
              <w:t>Title:</w:t>
            </w:r>
          </w:p>
        </w:tc>
        <w:tc>
          <w:tcPr>
            <w:tcW w:w="4920" w:type="dxa"/>
            <w:vAlign w:val="bottom"/>
          </w:tcPr>
          <w:p>
            <w:pPr>
              <w:ind w:left="340"/>
              <w:spacing w:after="0"/>
              <w:rPr>
                <w:sz w:val="20"/>
                <w:szCs w:val="20"/>
                <w:color w:val="auto"/>
              </w:rPr>
            </w:pPr>
            <w:r>
              <w:rPr>
                <w:rFonts w:ascii="Arial" w:cs="Arial" w:eastAsia="Arial" w:hAnsi="Arial"/>
                <w:sz w:val="20"/>
                <w:szCs w:val="20"/>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Investors' Rights Agreement</w:t>
      </w:r>
      <w:r>
        <w:rPr>
          <w:rFonts w:ascii="Arial" w:cs="Arial" w:eastAsia="Arial" w:hAnsi="Arial"/>
          <w:sz w:val="18"/>
          <w:szCs w:val="18"/>
          <w:color w:val="auto"/>
        </w:rPr>
        <w:t>]</w:t>
      </w:r>
    </w:p>
    <w:p>
      <w:pPr>
        <w:sectPr>
          <w:pgSz w:w="11900" w:h="16838" w:orient="portrait"/>
          <w:cols w:equalWidth="0" w:num="1">
            <w:col w:w="10120"/>
          </w:cols>
          <w:pgMar w:left="1440" w:top="1440" w:right="339" w:bottom="1440" w:gutter="0" w:footer="0" w:header="0"/>
        </w:sectPr>
      </w:pPr>
    </w:p>
    <w:bookmarkStart w:id="292" w:name="page293"/>
    <w:bookmarkEnd w:id="292"/>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Mike Grishaver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41910</wp:posOffset>
            </wp:positionV>
            <wp:extent cx="3497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0"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Mike Grishaver</w:t>
      </w:r>
    </w:p>
    <w:p>
      <w:pPr>
        <w:spacing w:after="0" w:line="200" w:lineRule="exact"/>
        <w:rPr>
          <w:sz w:val="20"/>
          <w:szCs w:val="20"/>
          <w:color w:val="auto"/>
        </w:rPr>
      </w:pPr>
    </w:p>
    <w:p>
      <w:pPr>
        <w:spacing w:after="0" w:line="367"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/s/ Scott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27305</wp:posOffset>
            </wp:positionV>
            <wp:extent cx="3497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47"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Scott Roberts</w:t>
      </w:r>
    </w:p>
    <w:p>
      <w:pPr>
        <w:spacing w:after="0" w:line="200" w:lineRule="exact"/>
        <w:rPr>
          <w:sz w:val="20"/>
          <w:szCs w:val="20"/>
          <w:color w:val="auto"/>
        </w:rPr>
      </w:pPr>
    </w:p>
    <w:p>
      <w:pPr>
        <w:spacing w:after="0" w:line="367"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/s/ Michael Periu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27305</wp:posOffset>
            </wp:positionV>
            <wp:extent cx="3497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47"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Michael Periu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Investors' Rights Agreement</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293" w:name="page294"/>
    <w:bookmarkEnd w:id="293"/>
    <w:p>
      <w:pPr>
        <w:jc w:val="center"/>
        <w:ind w:right="19"/>
        <w:spacing w:after="0"/>
        <w:rPr>
          <w:sz w:val="20"/>
          <w:szCs w:val="20"/>
          <w:color w:val="auto"/>
        </w:rPr>
      </w:pPr>
      <w:r>
        <w:rPr>
          <w:rFonts w:ascii="Arial" w:cs="Arial" w:eastAsia="Arial" w:hAnsi="Arial"/>
          <w:sz w:val="19"/>
          <w:szCs w:val="19"/>
          <w:color w:val="auto"/>
        </w:rPr>
        <w:t>REDACTED FROM AGREEMENT AT TIME OF ORIGINAL EXECUTION</w:t>
      </w:r>
    </w:p>
    <w:p>
      <w:pPr>
        <w:sectPr>
          <w:pgSz w:w="11900" w:h="16838" w:orient="portrait"/>
          <w:cols w:equalWidth="0" w:num="1">
            <w:col w:w="9019"/>
          </w:cols>
          <w:pgMar w:left="1440" w:top="14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Investors' Rights Agreement</w:t>
      </w:r>
      <w:r>
        <w:rPr>
          <w:rFonts w:ascii="Arial" w:cs="Arial" w:eastAsia="Arial" w:hAnsi="Arial"/>
          <w:sz w:val="16"/>
          <w:szCs w:val="16"/>
          <w:color w:val="auto"/>
        </w:rPr>
        <w:t>]</w:t>
      </w:r>
    </w:p>
    <w:p>
      <w:pPr>
        <w:sectPr>
          <w:pgSz w:w="11900" w:h="16838" w:orient="portrait"/>
          <w:cols w:equalWidth="0" w:num="1">
            <w:col w:w="9019"/>
          </w:cols>
          <w:pgMar w:left="1440" w:top="1419" w:right="1440" w:bottom="1440" w:gutter="0" w:footer="0" w:header="0"/>
          <w:type w:val="continuous"/>
        </w:sectPr>
      </w:pPr>
    </w:p>
    <w:bookmarkStart w:id="294" w:name="page295"/>
    <w:bookmarkEnd w:id="294"/>
    <w:p>
      <w:pPr>
        <w:spacing w:after="0" w:line="27" w:lineRule="exact"/>
        <w:rPr>
          <w:sz w:val="20"/>
          <w:szCs w:val="20"/>
          <w:color w:val="auto"/>
        </w:rPr>
      </w:pPr>
    </w:p>
    <w:p>
      <w:pPr>
        <w:ind w:left="4780"/>
        <w:spacing w:after="0"/>
        <w:rPr>
          <w:sz w:val="20"/>
          <w:szCs w:val="20"/>
          <w:color w:val="auto"/>
        </w:rPr>
      </w:pPr>
      <w:r>
        <w:rPr>
          <w:rFonts w:ascii="Arial" w:cs="Arial" w:eastAsia="Arial" w:hAnsi="Arial"/>
          <w:sz w:val="20"/>
          <w:szCs w:val="20"/>
          <w:b w:val="1"/>
          <w:bCs w:val="1"/>
          <w:color w:val="auto"/>
        </w:rPr>
        <w:t>KEY HOLDERS:</w:t>
      </w:r>
    </w:p>
    <w:p>
      <w:pPr>
        <w:spacing w:after="0" w:line="200" w:lineRule="exact"/>
        <w:rPr>
          <w:sz w:val="20"/>
          <w:szCs w:val="20"/>
          <w:color w:val="auto"/>
        </w:rPr>
      </w:pPr>
    </w:p>
    <w:p>
      <w:pPr>
        <w:spacing w:after="0" w:line="292"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27305</wp:posOffset>
            </wp:positionV>
            <wp:extent cx="339471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47" w:lineRule="exact"/>
        <w:rPr>
          <w:sz w:val="20"/>
          <w:szCs w:val="20"/>
          <w:color w:val="auto"/>
        </w:rPr>
      </w:pPr>
    </w:p>
    <w:p>
      <w:pPr>
        <w:ind w:left="4780"/>
        <w:spacing w:after="0"/>
        <w:tabs>
          <w:tab w:leader="none" w:pos="56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Tim Chen</w:t>
      </w:r>
    </w:p>
    <w:p>
      <w:pPr>
        <w:spacing w:after="0" w:line="54" w:lineRule="exact"/>
        <w:rPr>
          <w:sz w:val="20"/>
          <w:szCs w:val="20"/>
          <w:color w:val="auto"/>
        </w:rPr>
      </w:pPr>
    </w:p>
    <w:p>
      <w:pPr>
        <w:ind w:left="4780"/>
        <w:spacing w:after="0"/>
        <w:tabs>
          <w:tab w:leader="none" w:pos="56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President and Chief Executive Officer</w:t>
      </w:r>
    </w:p>
    <w:p>
      <w:pPr>
        <w:spacing w:after="0" w:line="200" w:lineRule="exact"/>
        <w:rPr>
          <w:sz w:val="20"/>
          <w:szCs w:val="20"/>
          <w:color w:val="auto"/>
        </w:rPr>
      </w:pPr>
    </w:p>
    <w:p>
      <w:pPr>
        <w:spacing w:after="0" w:line="361" w:lineRule="exact"/>
        <w:rPr>
          <w:sz w:val="20"/>
          <w:szCs w:val="20"/>
          <w:color w:val="auto"/>
        </w:rPr>
      </w:pPr>
    </w:p>
    <w:p>
      <w:pPr>
        <w:ind w:left="4780"/>
        <w:spacing w:after="0" w:line="267" w:lineRule="auto"/>
        <w:rPr>
          <w:sz w:val="20"/>
          <w:szCs w:val="20"/>
          <w:color w:val="auto"/>
        </w:rPr>
      </w:pPr>
      <w:r>
        <w:rPr>
          <w:rFonts w:ascii="Arial" w:cs="Arial" w:eastAsia="Arial" w:hAnsi="Arial"/>
          <w:sz w:val="20"/>
          <w:szCs w:val="20"/>
          <w:b w:val="1"/>
          <w:bCs w:val="1"/>
          <w:color w:val="auto"/>
        </w:rPr>
        <w:t>THE BP 2014 GRANTOR RETAINED ANNUITY TRUST UID JULY 30, 2014</w:t>
      </w:r>
    </w:p>
    <w:p>
      <w:pPr>
        <w:spacing w:after="0" w:line="200" w:lineRule="exact"/>
        <w:rPr>
          <w:sz w:val="20"/>
          <w:szCs w:val="20"/>
          <w:color w:val="auto"/>
        </w:rPr>
      </w:pPr>
    </w:p>
    <w:p>
      <w:pPr>
        <w:spacing w:after="0" w:line="320"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/s/ Beverly J. Picardo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27305</wp:posOffset>
            </wp:positionV>
            <wp:extent cx="339471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47" w:lineRule="exact"/>
        <w:rPr>
          <w:sz w:val="20"/>
          <w:szCs w:val="20"/>
          <w:color w:val="auto"/>
        </w:rPr>
      </w:pPr>
    </w:p>
    <w:p>
      <w:pPr>
        <w:ind w:left="4780"/>
        <w:spacing w:after="0"/>
        <w:tabs>
          <w:tab w:leader="none" w:pos="56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Beverly J. Picardo</w:t>
      </w:r>
    </w:p>
    <w:p>
      <w:pPr>
        <w:spacing w:after="0" w:line="54" w:lineRule="exact"/>
        <w:rPr>
          <w:sz w:val="20"/>
          <w:szCs w:val="20"/>
          <w:color w:val="auto"/>
        </w:rPr>
      </w:pPr>
    </w:p>
    <w:p>
      <w:pPr>
        <w:ind w:left="4780"/>
        <w:spacing w:after="0"/>
        <w:tabs>
          <w:tab w:leader="none" w:pos="56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Trustee</w:t>
      </w:r>
    </w:p>
    <w:p>
      <w:pPr>
        <w:spacing w:after="0" w:line="200" w:lineRule="exact"/>
        <w:rPr>
          <w:sz w:val="20"/>
          <w:szCs w:val="20"/>
          <w:color w:val="auto"/>
        </w:rPr>
      </w:pPr>
    </w:p>
    <w:p>
      <w:pPr>
        <w:spacing w:after="0" w:line="361" w:lineRule="exact"/>
        <w:rPr>
          <w:sz w:val="20"/>
          <w:szCs w:val="20"/>
          <w:color w:val="auto"/>
        </w:rPr>
      </w:pPr>
    </w:p>
    <w:p>
      <w:pPr>
        <w:ind w:left="4780" w:right="20"/>
        <w:spacing w:after="0" w:line="267" w:lineRule="auto"/>
        <w:rPr>
          <w:sz w:val="20"/>
          <w:szCs w:val="20"/>
          <w:color w:val="auto"/>
        </w:rPr>
      </w:pPr>
      <w:r>
        <w:rPr>
          <w:rFonts w:ascii="Arial" w:cs="Arial" w:eastAsia="Arial" w:hAnsi="Arial"/>
          <w:sz w:val="20"/>
          <w:szCs w:val="20"/>
          <w:b w:val="1"/>
          <w:bCs w:val="1"/>
          <w:color w:val="auto"/>
        </w:rPr>
        <w:t>THE JG GRANTOR RETAINED ANNUITY TRUST UID JULY 30, 2014</w:t>
      </w:r>
    </w:p>
    <w:p>
      <w:pPr>
        <w:spacing w:after="0" w:line="200" w:lineRule="exact"/>
        <w:rPr>
          <w:sz w:val="20"/>
          <w:szCs w:val="20"/>
          <w:color w:val="auto"/>
        </w:rPr>
      </w:pPr>
    </w:p>
    <w:p>
      <w:pPr>
        <w:spacing w:after="0" w:line="320"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/s/ Jacob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27305</wp:posOffset>
            </wp:positionV>
            <wp:extent cx="339471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47" w:lineRule="exact"/>
        <w:rPr>
          <w:sz w:val="20"/>
          <w:szCs w:val="20"/>
          <w:color w:val="auto"/>
        </w:rPr>
      </w:pPr>
    </w:p>
    <w:p>
      <w:pPr>
        <w:ind w:left="4780"/>
        <w:spacing w:after="0"/>
        <w:tabs>
          <w:tab w:leader="none" w:pos="56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Jacob Gibson</w:t>
      </w:r>
    </w:p>
    <w:p>
      <w:pPr>
        <w:spacing w:after="0" w:line="54" w:lineRule="exact"/>
        <w:rPr>
          <w:sz w:val="20"/>
          <w:szCs w:val="20"/>
          <w:color w:val="auto"/>
        </w:rPr>
      </w:pPr>
    </w:p>
    <w:p>
      <w:pPr>
        <w:ind w:left="4780"/>
        <w:spacing w:after="0"/>
        <w:tabs>
          <w:tab w:leader="none" w:pos="56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Trustee</w:t>
      </w:r>
    </w:p>
    <w:p>
      <w:pPr>
        <w:spacing w:after="0" w:line="200" w:lineRule="exact"/>
        <w:rPr>
          <w:sz w:val="20"/>
          <w:szCs w:val="20"/>
          <w:color w:val="auto"/>
        </w:rPr>
      </w:pPr>
    </w:p>
    <w:p>
      <w:pPr>
        <w:spacing w:after="0" w:line="361" w:lineRule="exact"/>
        <w:rPr>
          <w:sz w:val="20"/>
          <w:szCs w:val="20"/>
          <w:color w:val="auto"/>
        </w:rPr>
      </w:pPr>
    </w:p>
    <w:p>
      <w:pPr>
        <w:ind w:left="4780"/>
        <w:spacing w:after="0"/>
        <w:rPr>
          <w:sz w:val="20"/>
          <w:szCs w:val="20"/>
          <w:color w:val="auto"/>
        </w:rPr>
      </w:pPr>
      <w:r>
        <w:rPr>
          <w:rFonts w:ascii="Arial" w:cs="Arial" w:eastAsia="Arial" w:hAnsi="Arial"/>
          <w:sz w:val="20"/>
          <w:szCs w:val="20"/>
          <w:b w:val="1"/>
          <w:bCs w:val="1"/>
          <w:color w:val="auto"/>
        </w:rPr>
        <w:t>JACOB W. GIBSON AND BEYERLY J. PICARDO,</w:t>
      </w:r>
    </w:p>
    <w:p>
      <w:pPr>
        <w:spacing w:after="0" w:line="21" w:lineRule="exact"/>
        <w:rPr>
          <w:sz w:val="20"/>
          <w:szCs w:val="20"/>
          <w:color w:val="auto"/>
        </w:rPr>
      </w:pPr>
    </w:p>
    <w:p>
      <w:pPr>
        <w:ind w:left="4780"/>
        <w:spacing w:after="0"/>
        <w:rPr>
          <w:sz w:val="20"/>
          <w:szCs w:val="20"/>
          <w:color w:val="auto"/>
        </w:rPr>
      </w:pPr>
      <w:r>
        <w:rPr>
          <w:rFonts w:ascii="Arial" w:cs="Arial" w:eastAsia="Arial" w:hAnsi="Arial"/>
          <w:sz w:val="20"/>
          <w:szCs w:val="20"/>
          <w:b w:val="1"/>
          <w:bCs w:val="1"/>
          <w:color w:val="auto"/>
        </w:rPr>
        <w:t>TRUSTEES OF THE BEVCOB FAMILY TRUST UID</w:t>
      </w:r>
    </w:p>
    <w:p>
      <w:pPr>
        <w:ind w:left="4780"/>
        <w:spacing w:after="0"/>
        <w:rPr>
          <w:sz w:val="20"/>
          <w:szCs w:val="20"/>
          <w:color w:val="auto"/>
        </w:rPr>
      </w:pPr>
      <w:r>
        <w:rPr>
          <w:rFonts w:ascii="Arial" w:cs="Arial" w:eastAsia="Arial" w:hAnsi="Arial"/>
          <w:sz w:val="20"/>
          <w:szCs w:val="20"/>
          <w:b w:val="1"/>
          <w:bCs w:val="1"/>
          <w:color w:val="auto"/>
        </w:rPr>
        <w:t>SEPTEMBER 25, 2014</w:t>
      </w:r>
    </w:p>
    <w:p>
      <w:pPr>
        <w:spacing w:after="0" w:line="200" w:lineRule="exact"/>
        <w:rPr>
          <w:sz w:val="20"/>
          <w:szCs w:val="20"/>
          <w:color w:val="auto"/>
        </w:rPr>
      </w:pPr>
    </w:p>
    <w:p>
      <w:pPr>
        <w:spacing w:after="0" w:line="351"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/s/ Jacob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27305</wp:posOffset>
            </wp:positionV>
            <wp:extent cx="339471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47" w:lineRule="exact"/>
        <w:rPr>
          <w:sz w:val="20"/>
          <w:szCs w:val="20"/>
          <w:color w:val="auto"/>
        </w:rPr>
      </w:pPr>
    </w:p>
    <w:p>
      <w:pPr>
        <w:ind w:left="4780"/>
        <w:spacing w:after="0"/>
        <w:tabs>
          <w:tab w:leader="none" w:pos="56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Jacob Gibson</w:t>
      </w:r>
    </w:p>
    <w:p>
      <w:pPr>
        <w:spacing w:after="0" w:line="54" w:lineRule="exact"/>
        <w:rPr>
          <w:sz w:val="20"/>
          <w:szCs w:val="20"/>
          <w:color w:val="auto"/>
        </w:rPr>
      </w:pPr>
    </w:p>
    <w:p>
      <w:pPr>
        <w:ind w:left="4780"/>
        <w:spacing w:after="0"/>
        <w:tabs>
          <w:tab w:leader="none" w:pos="56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Trustee</w:t>
      </w:r>
    </w:p>
    <w:p>
      <w:pPr>
        <w:spacing w:after="0" w:line="200" w:lineRule="exact"/>
        <w:rPr>
          <w:sz w:val="20"/>
          <w:szCs w:val="20"/>
          <w:color w:val="auto"/>
        </w:rPr>
      </w:pPr>
    </w:p>
    <w:p>
      <w:pPr>
        <w:spacing w:after="0" w:line="367"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/s/ Beverly J. Picardo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27305</wp:posOffset>
            </wp:positionV>
            <wp:extent cx="339471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47" w:lineRule="exact"/>
        <w:rPr>
          <w:sz w:val="20"/>
          <w:szCs w:val="20"/>
          <w:color w:val="auto"/>
        </w:rPr>
      </w:pPr>
    </w:p>
    <w:p>
      <w:pPr>
        <w:ind w:left="4780"/>
        <w:spacing w:after="0"/>
        <w:tabs>
          <w:tab w:leader="none" w:pos="56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Beverly J. Picardo</w:t>
      </w:r>
    </w:p>
    <w:p>
      <w:pPr>
        <w:spacing w:after="0" w:line="54" w:lineRule="exact"/>
        <w:rPr>
          <w:sz w:val="20"/>
          <w:szCs w:val="20"/>
          <w:color w:val="auto"/>
        </w:rPr>
      </w:pPr>
    </w:p>
    <w:p>
      <w:pPr>
        <w:ind w:left="4780"/>
        <w:spacing w:after="0"/>
        <w:tabs>
          <w:tab w:leader="none" w:pos="56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Investors' Rights Agreement</w:t>
      </w:r>
      <w:r>
        <w:rPr>
          <w:rFonts w:ascii="Arial" w:cs="Arial" w:eastAsia="Arial" w:hAnsi="Arial"/>
          <w:sz w:val="18"/>
          <w:szCs w:val="18"/>
          <w:color w:val="auto"/>
        </w:rPr>
        <w:t>]</w:t>
      </w:r>
    </w:p>
    <w:p>
      <w:pPr>
        <w:sectPr>
          <w:pgSz w:w="11900" w:h="16838" w:orient="portrait"/>
          <w:cols w:equalWidth="0" w:num="1">
            <w:col w:w="9760"/>
          </w:cols>
          <w:pgMar w:left="1440" w:top="1440" w:right="699" w:bottom="1440" w:gutter="0" w:footer="0" w:header="0"/>
        </w:sectPr>
      </w:pPr>
    </w:p>
    <w:bookmarkStart w:id="295" w:name="page296"/>
    <w:bookmarkEnd w:id="295"/>
    <w:p>
      <w:pPr>
        <w:spacing w:after="0" w:line="33"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20"/>
          <w:szCs w:val="20"/>
          <w:color w:val="181818"/>
        </w:rPr>
        <w:t>Bhaskar Ghosh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27305</wp:posOffset>
            </wp:positionV>
            <wp:extent cx="34118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47" w:lineRule="exact"/>
        <w:rPr>
          <w:sz w:val="20"/>
          <w:szCs w:val="20"/>
          <w:color w:val="auto"/>
        </w:rPr>
      </w:pPr>
    </w:p>
    <w:p>
      <w:pPr>
        <w:ind w:left="4760"/>
        <w:spacing w:after="0"/>
        <w:tabs>
          <w:tab w:leader="none" w:pos="564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6"/>
          <w:szCs w:val="16"/>
          <w:color w:val="auto"/>
        </w:rPr>
        <w:t>Bhaskar Ghosh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/s/ Stephanie Wei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27305</wp:posOffset>
            </wp:positionV>
            <wp:extent cx="341185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47" w:lineRule="exact"/>
        <w:rPr>
          <w:sz w:val="20"/>
          <w:szCs w:val="20"/>
          <w:color w:val="auto"/>
        </w:rPr>
      </w:pPr>
    </w:p>
    <w:p>
      <w:pPr>
        <w:ind w:left="4760"/>
        <w:spacing w:after="0"/>
        <w:tabs>
          <w:tab w:leader="none" w:pos="5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Stephanie Wei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/s/ Daniel Yoo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27305</wp:posOffset>
            </wp:positionV>
            <wp:extent cx="34118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47" w:lineRule="exact"/>
        <w:rPr>
          <w:sz w:val="20"/>
          <w:szCs w:val="20"/>
          <w:color w:val="auto"/>
        </w:rPr>
      </w:pPr>
    </w:p>
    <w:p>
      <w:pPr>
        <w:ind w:left="4760"/>
        <w:spacing w:after="0"/>
        <w:tabs>
          <w:tab w:leader="none" w:pos="56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Daniel Yoo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Investors' Rights Agreement</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296" w:name="page297"/>
    <w:bookmarkEnd w:id="296"/>
    <w:p>
      <w:pPr>
        <w:jc w:val="center"/>
        <w:ind w:right="-1100"/>
        <w:spacing w:after="0"/>
        <w:rPr>
          <w:sz w:val="20"/>
          <w:szCs w:val="20"/>
          <w:color w:val="auto"/>
        </w:rPr>
      </w:pPr>
      <w:r>
        <w:rPr>
          <w:rFonts w:ascii="Arial" w:cs="Arial" w:eastAsia="Arial" w:hAnsi="Arial"/>
          <w:sz w:val="21"/>
          <w:szCs w:val="21"/>
          <w:b w:val="1"/>
          <w:bCs w:val="1"/>
          <w:u w:val="single" w:color="auto"/>
          <w:color w:val="auto"/>
        </w:rPr>
        <w:t>SCHEDULE A</w:t>
      </w:r>
    </w:p>
    <w:p>
      <w:pPr>
        <w:spacing w:after="0" w:line="39"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Investors</w:t>
      </w:r>
    </w:p>
    <w:p>
      <w:pPr>
        <w:spacing w:after="0" w:line="148" w:lineRule="exact"/>
        <w:rPr>
          <w:sz w:val="20"/>
          <w:szCs w:val="20"/>
          <w:color w:val="auto"/>
        </w:rPr>
      </w:pPr>
    </w:p>
    <w:p>
      <w:pPr>
        <w:ind w:right="6539" w:firstLine="8"/>
        <w:spacing w:after="0" w:line="461" w:lineRule="auto"/>
        <w:tabs>
          <w:tab w:leader="none" w:pos="216" w:val="left"/>
        </w:tabs>
        <w:numPr>
          <w:ilvl w:val="0"/>
          <w:numId w:val="220"/>
        </w:numPr>
        <w:rPr>
          <w:rFonts w:ascii="Arial" w:cs="Arial" w:eastAsia="Arial" w:hAnsi="Arial"/>
          <w:sz w:val="22"/>
          <w:szCs w:val="22"/>
          <w:color w:val="auto"/>
        </w:rPr>
      </w:pPr>
      <w:r>
        <w:rPr>
          <w:rFonts w:ascii="Arial" w:cs="Arial" w:eastAsia="Arial" w:hAnsi="Arial"/>
          <w:sz w:val="22"/>
          <w:szCs w:val="22"/>
          <w:color w:val="auto"/>
        </w:rPr>
        <w:t>Institutional Venture Partners XIV, L.P. [***]</w:t>
      </w:r>
    </w:p>
    <w:p>
      <w:pPr>
        <w:ind w:left="220" w:hanging="212"/>
        <w:spacing w:after="0"/>
        <w:tabs>
          <w:tab w:leader="none" w:pos="220" w:val="left"/>
        </w:tabs>
        <w:numPr>
          <w:ilvl w:val="0"/>
          <w:numId w:val="220"/>
        </w:numPr>
        <w:rPr>
          <w:rFonts w:ascii="Arial" w:cs="Arial" w:eastAsia="Arial" w:hAnsi="Arial"/>
          <w:sz w:val="22"/>
          <w:szCs w:val="22"/>
          <w:color w:val="auto"/>
        </w:rPr>
      </w:pPr>
      <w:r>
        <w:rPr>
          <w:rFonts w:ascii="Arial" w:cs="Arial" w:eastAsia="Arial" w:hAnsi="Arial"/>
          <w:sz w:val="22"/>
          <w:szCs w:val="22"/>
          <w:color w:val="auto"/>
        </w:rPr>
        <w:t>RRE Ventures VI, LP</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47" w:lineRule="exact"/>
        <w:rPr>
          <w:sz w:val="20"/>
          <w:szCs w:val="20"/>
          <w:color w:val="auto"/>
        </w:rPr>
      </w:pPr>
    </w:p>
    <w:p>
      <w:pPr>
        <w:ind w:right="7979" w:firstLine="8"/>
        <w:spacing w:after="0" w:line="461" w:lineRule="auto"/>
        <w:tabs>
          <w:tab w:leader="none" w:pos="216" w:val="left"/>
        </w:tabs>
        <w:numPr>
          <w:ilvl w:val="0"/>
          <w:numId w:val="221"/>
        </w:numPr>
        <w:rPr>
          <w:rFonts w:ascii="Arial" w:cs="Arial" w:eastAsia="Arial" w:hAnsi="Arial"/>
          <w:sz w:val="22"/>
          <w:szCs w:val="22"/>
          <w:color w:val="auto"/>
        </w:rPr>
      </w:pPr>
      <w:r>
        <w:rPr>
          <w:rFonts w:ascii="Arial" w:cs="Arial" w:eastAsia="Arial" w:hAnsi="Arial"/>
          <w:sz w:val="22"/>
          <w:szCs w:val="22"/>
          <w:color w:val="auto"/>
        </w:rPr>
        <w:t>RRE Leader Fund, LP [***]</w:t>
      </w:r>
    </w:p>
    <w:p>
      <w:pPr>
        <w:ind w:right="7439" w:firstLine="8"/>
        <w:spacing w:after="0" w:line="461" w:lineRule="auto"/>
        <w:tabs>
          <w:tab w:leader="none" w:pos="216" w:val="left"/>
        </w:tabs>
        <w:numPr>
          <w:ilvl w:val="0"/>
          <w:numId w:val="221"/>
        </w:numPr>
        <w:rPr>
          <w:rFonts w:ascii="Arial" w:cs="Arial" w:eastAsia="Arial" w:hAnsi="Arial"/>
          <w:sz w:val="22"/>
          <w:szCs w:val="22"/>
          <w:color w:val="auto"/>
        </w:rPr>
      </w:pPr>
      <w:r>
        <w:rPr>
          <w:rFonts w:ascii="Arial" w:cs="Arial" w:eastAsia="Arial" w:hAnsi="Arial"/>
          <w:sz w:val="22"/>
          <w:szCs w:val="22"/>
          <w:color w:val="auto"/>
        </w:rPr>
        <w:t>iGlobe International Limited [***]</w:t>
      </w:r>
    </w:p>
    <w:p>
      <w:pPr>
        <w:ind w:right="7839" w:firstLine="8"/>
        <w:spacing w:after="0" w:line="461" w:lineRule="auto"/>
        <w:tabs>
          <w:tab w:leader="none" w:pos="216" w:val="left"/>
        </w:tabs>
        <w:numPr>
          <w:ilvl w:val="0"/>
          <w:numId w:val="221"/>
        </w:numPr>
        <w:rPr>
          <w:rFonts w:ascii="Arial" w:cs="Arial" w:eastAsia="Arial" w:hAnsi="Arial"/>
          <w:sz w:val="22"/>
          <w:szCs w:val="22"/>
          <w:color w:val="auto"/>
        </w:rPr>
      </w:pPr>
      <w:r>
        <w:rPr>
          <w:rFonts w:ascii="Arial" w:cs="Arial" w:eastAsia="Arial" w:hAnsi="Arial"/>
          <w:sz w:val="22"/>
          <w:szCs w:val="22"/>
          <w:color w:val="auto"/>
        </w:rPr>
        <w:t>SSC Venture Fund LLC [***]</w:t>
      </w:r>
    </w:p>
    <w:p>
      <w:pPr>
        <w:ind w:left="220" w:hanging="212"/>
        <w:spacing w:after="0"/>
        <w:tabs>
          <w:tab w:leader="none" w:pos="220" w:val="left"/>
        </w:tabs>
        <w:numPr>
          <w:ilvl w:val="0"/>
          <w:numId w:val="221"/>
        </w:numPr>
        <w:rPr>
          <w:rFonts w:ascii="Arial" w:cs="Arial" w:eastAsia="Arial" w:hAnsi="Arial"/>
          <w:sz w:val="22"/>
          <w:szCs w:val="22"/>
          <w:color w:val="auto"/>
        </w:rPr>
      </w:pPr>
      <w:r>
        <w:rPr>
          <w:rFonts w:ascii="Arial" w:cs="Arial" w:eastAsia="Arial" w:hAnsi="Arial"/>
          <w:sz w:val="22"/>
          <w:szCs w:val="22"/>
          <w:color w:val="auto"/>
        </w:rPr>
        <w:t>Cotter Cunningham</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Tel: [***]</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7. Jeffrey Chang</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Tel: [***]</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8. James Kim</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Tel: [***]</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9. Brian Snyder</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Tel: [***]</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10. Steven Wu</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Tel: [***]</w:t>
      </w:r>
    </w:p>
    <w:p>
      <w:pPr>
        <w:sectPr>
          <w:pgSz w:w="11900" w:h="16838" w:orient="portrait"/>
          <w:cols w:equalWidth="0" w:num="1">
            <w:col w:w="10139"/>
          </w:cols>
          <w:pgMar w:left="320" w:top="1422" w:right="1440" w:bottom="1440" w:gutter="0" w:footer="0" w:header="0"/>
        </w:sectPr>
      </w:pPr>
    </w:p>
    <w:bookmarkStart w:id="297" w:name="page298"/>
    <w:bookmarkEnd w:id="297"/>
    <w:p>
      <w:pPr>
        <w:spacing w:after="0"/>
        <w:rPr>
          <w:sz w:val="20"/>
          <w:szCs w:val="20"/>
          <w:color w:val="auto"/>
        </w:rPr>
      </w:pPr>
      <w:r>
        <w:rPr>
          <w:rFonts w:ascii="Arial" w:cs="Arial" w:eastAsia="Arial" w:hAnsi="Arial"/>
          <w:sz w:val="22"/>
          <w:szCs w:val="22"/>
          <w:color w:val="auto"/>
        </w:rPr>
        <w:t>11. Eric Boyle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Tel: [***]</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12. Wai Fun Lee (Aaron)</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Tel: [***]</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13. Robert Kwok</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Tel: [***]</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14. Emilie Choi</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Tel: [***]</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15. Ryan Roslansky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Tel: [***]</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16. Parker Barrile</w:t>
      </w:r>
    </w:p>
    <w:p>
      <w:pPr>
        <w:sectPr>
          <w:pgSz w:w="11900" w:h="16838" w:orient="portrait"/>
          <w:cols w:equalWidth="0" w:num="1">
            <w:col w:w="10139"/>
          </w:cols>
          <w:pgMar w:left="320" w:top="1428" w:right="1440" w:bottom="1440" w:gutter="0" w:footer="0" w:header="0"/>
        </w:sectPr>
      </w:pPr>
    </w:p>
    <w:bookmarkStart w:id="298" w:name="page299"/>
    <w:bookmarkEnd w:id="298"/>
    <w:p>
      <w:pPr>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Tel: [***]</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17. Joseph Lonsdale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Tel: [***]</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Fax: [***]</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18. Raymond P. Stata</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Tel: [***]</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Fax: [***]</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19. Shannon Brayton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Tel: [***]</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color w:val="auto"/>
        </w:rPr>
        <w:t>20. Bam Ventures Partners, L.P.</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Tel: [***]</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21. Bam Ventures Partners (A), L.P.</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Tel: [***]</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22. Sumir Meghani</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Tel: [***]</w:t>
      </w:r>
    </w:p>
    <w:p>
      <w:pPr>
        <w:sectPr>
          <w:pgSz w:w="11900" w:h="16838" w:orient="portrait"/>
          <w:cols w:equalWidth="0" w:num="1">
            <w:col w:w="10139"/>
          </w:cols>
          <w:pgMar w:left="320" w:top="1428" w:right="1440" w:bottom="1440" w:gutter="0" w:footer="0" w:header="0"/>
        </w:sectPr>
      </w:pPr>
    </w:p>
    <w:bookmarkStart w:id="299" w:name="page300"/>
    <w:bookmarkEnd w:id="299"/>
    <w:p>
      <w:pPr>
        <w:spacing w:after="0"/>
        <w:rPr>
          <w:sz w:val="20"/>
          <w:szCs w:val="20"/>
          <w:color w:val="auto"/>
        </w:rPr>
      </w:pPr>
      <w:r>
        <w:rPr>
          <w:rFonts w:ascii="Arial" w:cs="Arial" w:eastAsia="Arial" w:hAnsi="Arial"/>
          <w:sz w:val="19"/>
          <w:szCs w:val="19"/>
          <w:color w:val="auto"/>
        </w:rPr>
        <w:t>23. Joshua M. Tonderys Settlor and Trustee U/A/D June 1, 2007 as Amended</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Tel: [***]</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24. Vermut Investment Partners, L.P.</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Tel: [***]</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25. Mohak Shroff</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Tel: [***]</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26. STAM Family Revocable Living Trust, dated March 19, 2013</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Tel: [***]</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27. Mike Grishaver</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Tel: [***]</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28. Eric Bahn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Tel: [***]</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29. Scott Roberts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Tel: [***]</w:t>
      </w:r>
    </w:p>
    <w:p>
      <w:pPr>
        <w:spacing w:after="0" w:line="229" w:lineRule="exact"/>
        <w:rPr>
          <w:sz w:val="20"/>
          <w:szCs w:val="20"/>
          <w:color w:val="auto"/>
        </w:rPr>
      </w:pPr>
    </w:p>
    <w:p>
      <w:pPr>
        <w:ind w:left="340" w:hanging="332"/>
        <w:spacing w:after="0"/>
        <w:tabs>
          <w:tab w:leader="none" w:pos="340" w:val="left"/>
        </w:tabs>
        <w:numPr>
          <w:ilvl w:val="0"/>
          <w:numId w:val="222"/>
        </w:numPr>
        <w:rPr>
          <w:rFonts w:ascii="Arial" w:cs="Arial" w:eastAsia="Arial" w:hAnsi="Arial"/>
          <w:sz w:val="22"/>
          <w:szCs w:val="22"/>
          <w:color w:val="auto"/>
        </w:rPr>
      </w:pPr>
      <w:r>
        <w:rPr>
          <w:rFonts w:ascii="Arial" w:cs="Arial" w:eastAsia="Arial" w:hAnsi="Arial"/>
          <w:sz w:val="22"/>
          <w:szCs w:val="22"/>
          <w:color w:val="auto"/>
        </w:rPr>
        <w:t>Anonymous Investor</w:t>
      </w:r>
    </w:p>
    <w:p>
      <w:pPr>
        <w:spacing w:after="0" w:line="219" w:lineRule="exact"/>
        <w:rPr>
          <w:rFonts w:ascii="Arial" w:cs="Arial" w:eastAsia="Arial" w:hAnsi="Arial"/>
          <w:sz w:val="22"/>
          <w:szCs w:val="22"/>
          <w:color w:val="auto"/>
        </w:rPr>
      </w:pPr>
    </w:p>
    <w:p>
      <w:pPr>
        <w:ind w:left="340" w:hanging="332"/>
        <w:spacing w:after="0"/>
        <w:tabs>
          <w:tab w:leader="none" w:pos="340" w:val="left"/>
        </w:tabs>
        <w:numPr>
          <w:ilvl w:val="0"/>
          <w:numId w:val="222"/>
        </w:numPr>
        <w:rPr>
          <w:rFonts w:ascii="Arial" w:cs="Arial" w:eastAsia="Arial" w:hAnsi="Arial"/>
          <w:sz w:val="22"/>
          <w:szCs w:val="22"/>
          <w:color w:val="auto"/>
        </w:rPr>
      </w:pPr>
      <w:r>
        <w:rPr>
          <w:rFonts w:ascii="Arial" w:cs="Arial" w:eastAsia="Arial" w:hAnsi="Arial"/>
          <w:sz w:val="22"/>
          <w:szCs w:val="22"/>
          <w:color w:val="auto"/>
        </w:rPr>
        <w:t>Michael Periu</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Tel: [***]</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32. Shirshanka Das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Tel: [***]</w:t>
      </w:r>
    </w:p>
    <w:p>
      <w:pPr>
        <w:sectPr>
          <w:pgSz w:w="11900" w:h="16838" w:orient="portrait"/>
          <w:cols w:equalWidth="0" w:num="1">
            <w:col w:w="10139"/>
          </w:cols>
          <w:pgMar w:left="320" w:top="1428" w:right="1440" w:bottom="1440" w:gutter="0" w:footer="0" w:header="0"/>
        </w:sectPr>
      </w:pPr>
    </w:p>
    <w:bookmarkStart w:id="300" w:name="page301"/>
    <w:bookmarkEnd w:id="300"/>
    <w:p>
      <w:pPr>
        <w:spacing w:after="0"/>
        <w:rPr>
          <w:sz w:val="20"/>
          <w:szCs w:val="20"/>
          <w:color w:val="auto"/>
        </w:rPr>
      </w:pPr>
      <w:r>
        <w:rPr>
          <w:rFonts w:ascii="Arial" w:cs="Arial" w:eastAsia="Arial" w:hAnsi="Arial"/>
          <w:sz w:val="19"/>
          <w:szCs w:val="19"/>
          <w:color w:val="auto"/>
        </w:rPr>
        <w:t>33. The Giovanni Matteo Colella and Vanessa Stevens Colella Revocable Trust, dated March 9, 2013</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Tel: [***]</w:t>
      </w:r>
    </w:p>
    <w:p>
      <w:pPr>
        <w:sectPr>
          <w:pgSz w:w="11900" w:h="16838" w:orient="portrait"/>
          <w:cols w:equalWidth="0" w:num="1">
            <w:col w:w="10139"/>
          </w:cols>
          <w:pgMar w:left="320" w:top="1428" w:right="1440" w:bottom="1440" w:gutter="0" w:footer="0" w:header="0"/>
        </w:sectPr>
      </w:pPr>
    </w:p>
    <w:bookmarkStart w:id="301" w:name="page302"/>
    <w:bookmarkEnd w:id="301"/>
    <w:p>
      <w:pPr>
        <w:jc w:val="center"/>
        <w:ind w:right="-1120"/>
        <w:spacing w:after="0"/>
        <w:rPr>
          <w:sz w:val="20"/>
          <w:szCs w:val="20"/>
          <w:color w:val="auto"/>
        </w:rPr>
      </w:pPr>
      <w:r>
        <w:rPr>
          <w:rFonts w:ascii="Arial" w:cs="Arial" w:eastAsia="Arial" w:hAnsi="Arial"/>
          <w:sz w:val="21"/>
          <w:szCs w:val="21"/>
          <w:b w:val="1"/>
          <w:bCs w:val="1"/>
          <w:color w:val="auto"/>
        </w:rPr>
        <w:t>SCHEDULE B</w:t>
      </w:r>
    </w:p>
    <w:p>
      <w:pPr>
        <w:spacing w:after="0" w:line="17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Key Holders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1. Tim Chen</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47" w:lineRule="exact"/>
        <w:rPr>
          <w:sz w:val="20"/>
          <w:szCs w:val="20"/>
          <w:color w:val="auto"/>
        </w:rPr>
      </w:pPr>
    </w:p>
    <w:p>
      <w:pPr>
        <w:ind w:left="20" w:right="6459" w:hanging="12"/>
        <w:spacing w:after="0" w:line="263" w:lineRule="auto"/>
        <w:tabs>
          <w:tab w:leader="none" w:pos="222" w:val="left"/>
        </w:tabs>
        <w:numPr>
          <w:ilvl w:val="0"/>
          <w:numId w:val="223"/>
        </w:numPr>
        <w:rPr>
          <w:rFonts w:ascii="Arial" w:cs="Arial" w:eastAsia="Arial" w:hAnsi="Arial"/>
          <w:sz w:val="22"/>
          <w:szCs w:val="22"/>
          <w:color w:val="auto"/>
        </w:rPr>
      </w:pPr>
      <w:r>
        <w:rPr>
          <w:rFonts w:ascii="Arial" w:cs="Arial" w:eastAsia="Arial" w:hAnsi="Arial"/>
          <w:sz w:val="22"/>
          <w:szCs w:val="22"/>
          <w:color w:val="auto"/>
        </w:rPr>
        <w:t>The BP 2014 Grantor Retained Annuity Trust UID JULY 30, 2014</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47" w:lineRule="exact"/>
        <w:rPr>
          <w:sz w:val="20"/>
          <w:szCs w:val="20"/>
          <w:color w:val="auto"/>
        </w:rPr>
      </w:pPr>
    </w:p>
    <w:p>
      <w:pPr>
        <w:ind w:right="6979" w:firstLine="8"/>
        <w:spacing w:after="0" w:line="287" w:lineRule="auto"/>
        <w:tabs>
          <w:tab w:leader="none" w:pos="216" w:val="left"/>
        </w:tabs>
        <w:numPr>
          <w:ilvl w:val="0"/>
          <w:numId w:val="224"/>
        </w:numPr>
        <w:rPr>
          <w:rFonts w:ascii="Arial" w:cs="Arial" w:eastAsia="Arial" w:hAnsi="Arial"/>
          <w:sz w:val="21"/>
          <w:szCs w:val="21"/>
          <w:color w:val="auto"/>
        </w:rPr>
      </w:pPr>
      <w:r>
        <w:rPr>
          <w:rFonts w:ascii="Arial" w:cs="Arial" w:eastAsia="Arial" w:hAnsi="Arial"/>
          <w:sz w:val="21"/>
          <w:szCs w:val="21"/>
          <w:color w:val="auto"/>
        </w:rPr>
        <w:t>The JG Grantor Retained Annuity Trust UID JULY 30, 2014</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47" w:lineRule="exact"/>
        <w:rPr>
          <w:sz w:val="20"/>
          <w:szCs w:val="20"/>
          <w:color w:val="auto"/>
        </w:rPr>
      </w:pPr>
    </w:p>
    <w:p>
      <w:pPr>
        <w:ind w:right="6399" w:firstLine="8"/>
        <w:spacing w:after="0" w:line="253" w:lineRule="auto"/>
        <w:tabs>
          <w:tab w:leader="none" w:pos="216" w:val="left"/>
        </w:tabs>
        <w:numPr>
          <w:ilvl w:val="0"/>
          <w:numId w:val="225"/>
        </w:numPr>
        <w:rPr>
          <w:rFonts w:ascii="Arial" w:cs="Arial" w:eastAsia="Arial" w:hAnsi="Arial"/>
          <w:sz w:val="22"/>
          <w:szCs w:val="22"/>
          <w:color w:val="auto"/>
        </w:rPr>
      </w:pPr>
      <w:r>
        <w:rPr>
          <w:rFonts w:ascii="Arial" w:cs="Arial" w:eastAsia="Arial" w:hAnsi="Arial"/>
          <w:sz w:val="22"/>
          <w:szCs w:val="22"/>
          <w:color w:val="auto"/>
        </w:rPr>
        <w:t>Jacob W. Gibson and Beverly J. Picardo, Trustees of the BevCob Family Trust UID September 25, 2014</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47" w:lineRule="exact"/>
        <w:rPr>
          <w:sz w:val="20"/>
          <w:szCs w:val="20"/>
          <w:color w:val="auto"/>
        </w:rPr>
      </w:pPr>
    </w:p>
    <w:p>
      <w:pPr>
        <w:ind w:right="8599" w:firstLine="8"/>
        <w:spacing w:after="0" w:line="461" w:lineRule="auto"/>
        <w:tabs>
          <w:tab w:leader="none" w:pos="216" w:val="left"/>
        </w:tabs>
        <w:numPr>
          <w:ilvl w:val="0"/>
          <w:numId w:val="226"/>
        </w:numPr>
        <w:rPr>
          <w:rFonts w:ascii="Arial" w:cs="Arial" w:eastAsia="Arial" w:hAnsi="Arial"/>
          <w:sz w:val="22"/>
          <w:szCs w:val="22"/>
          <w:color w:val="auto"/>
        </w:rPr>
      </w:pPr>
      <w:r>
        <w:rPr>
          <w:rFonts w:ascii="Arial" w:cs="Arial" w:eastAsia="Arial" w:hAnsi="Arial"/>
          <w:sz w:val="22"/>
          <w:szCs w:val="22"/>
          <w:color w:val="auto"/>
        </w:rPr>
        <w:t>Bhaskar Ghosh [***]</w:t>
      </w:r>
    </w:p>
    <w:p>
      <w:pPr>
        <w:ind w:right="8659" w:firstLine="8"/>
        <w:spacing w:after="0" w:line="461" w:lineRule="auto"/>
        <w:tabs>
          <w:tab w:leader="none" w:pos="216" w:val="left"/>
        </w:tabs>
        <w:numPr>
          <w:ilvl w:val="0"/>
          <w:numId w:val="226"/>
        </w:numPr>
        <w:rPr>
          <w:rFonts w:ascii="Arial" w:cs="Arial" w:eastAsia="Arial" w:hAnsi="Arial"/>
          <w:sz w:val="22"/>
          <w:szCs w:val="22"/>
          <w:color w:val="auto"/>
        </w:rPr>
      </w:pPr>
      <w:r>
        <w:rPr>
          <w:rFonts w:ascii="Arial" w:cs="Arial" w:eastAsia="Arial" w:hAnsi="Arial"/>
          <w:sz w:val="22"/>
          <w:szCs w:val="22"/>
          <w:color w:val="auto"/>
        </w:rPr>
        <w:t>Stephanie Wei [***]</w:t>
      </w:r>
    </w:p>
    <w:p>
      <w:pPr>
        <w:ind w:right="8939" w:firstLine="8"/>
        <w:spacing w:after="0" w:line="468" w:lineRule="auto"/>
        <w:tabs>
          <w:tab w:leader="none" w:pos="216" w:val="left"/>
        </w:tabs>
        <w:numPr>
          <w:ilvl w:val="0"/>
          <w:numId w:val="226"/>
        </w:numPr>
        <w:rPr>
          <w:rFonts w:ascii="Arial" w:cs="Arial" w:eastAsia="Arial" w:hAnsi="Arial"/>
          <w:sz w:val="22"/>
          <w:szCs w:val="22"/>
          <w:color w:val="auto"/>
        </w:rPr>
      </w:pPr>
      <w:r>
        <w:rPr>
          <w:rFonts w:ascii="Arial" w:cs="Arial" w:eastAsia="Arial" w:hAnsi="Arial"/>
          <w:sz w:val="22"/>
          <w:szCs w:val="22"/>
          <w:color w:val="auto"/>
        </w:rPr>
        <w:t>Daniel Yoo [***]</w:t>
      </w:r>
    </w:p>
    <w:p>
      <w:pPr>
        <w:sectPr>
          <w:pgSz w:w="11900" w:h="16838" w:orient="portrait"/>
          <w:cols w:equalWidth="0" w:num="1">
            <w:col w:w="10139"/>
          </w:cols>
          <w:pgMar w:left="320" w:top="1422" w:right="1440" w:bottom="1440" w:gutter="0" w:footer="0" w:header="0"/>
        </w:sectPr>
      </w:pPr>
    </w:p>
    <w:bookmarkStart w:id="302" w:name="page303"/>
    <w:bookmarkEnd w:id="302"/>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OF INVESTORS’ RIGHTS AGREEMENT</w:t>
      </w:r>
    </w:p>
    <w:p>
      <w:pPr>
        <w:spacing w:after="0" w:line="175"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8"/>
          <w:szCs w:val="18"/>
          <w:color w:val="auto"/>
        </w:rPr>
        <w:t>This Amendment of Investors’ Rights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is made as of June 19, 2015 and amends the Investors’ Rights Agreement, dated January 30, 2015, among NerdWallet, Inc. (the “</w:t>
      </w:r>
      <w:r>
        <w:rPr>
          <w:rFonts w:ascii="Arial" w:cs="Arial" w:eastAsia="Arial" w:hAnsi="Arial"/>
          <w:sz w:val="18"/>
          <w:szCs w:val="18"/>
          <w:b w:val="1"/>
          <w:bCs w:val="1"/>
          <w:color w:val="auto"/>
        </w:rPr>
        <w:t>Company</w:t>
      </w:r>
      <w:r>
        <w:rPr>
          <w:rFonts w:ascii="Arial" w:cs="Arial" w:eastAsia="Arial" w:hAnsi="Arial"/>
          <w:sz w:val="18"/>
          <w:szCs w:val="18"/>
          <w:color w:val="auto"/>
        </w:rPr>
        <w:t>”) and the other parties thereto (the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Under Section 3.1(a) of the Agreement, the Company shall deliver to each Major Investor within one hundred twenty (120) days (the “</w:t>
      </w:r>
      <w:r>
        <w:rPr>
          <w:rFonts w:ascii="Arial" w:cs="Arial" w:eastAsia="Arial" w:hAnsi="Arial"/>
          <w:sz w:val="19"/>
          <w:szCs w:val="19"/>
          <w:b w:val="1"/>
          <w:bCs w:val="1"/>
          <w:color w:val="auto"/>
        </w:rPr>
        <w:t>Delivery Period</w:t>
      </w:r>
      <w:r>
        <w:rPr>
          <w:rFonts w:ascii="Arial" w:cs="Arial" w:eastAsia="Arial" w:hAnsi="Arial"/>
          <w:sz w:val="19"/>
          <w:szCs w:val="19"/>
          <w:color w:val="auto"/>
        </w:rPr>
        <w:t>”) after the end of each fiscal year of the Company: a balance sheet as of the end of such year; statements of income and of cash flows for such year; and a statement of stockholders’ equity as of the end of such year, all such financial statements audited and certified by independent public accountants of nationally recognized standing selected by the Company.</w:t>
      </w:r>
    </w:p>
    <w:p>
      <w:pPr>
        <w:spacing w:after="0" w:line="13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Under Section 6.6 of the Agreement, any term of the Agreement may be amended with the written consent of the Company and the holders of a majority of the Registrable Securities then outstanding.</w:t>
      </w:r>
    </w:p>
    <w:p>
      <w:pPr>
        <w:spacing w:after="0" w:line="136" w:lineRule="exact"/>
        <w:rPr>
          <w:sz w:val="20"/>
          <w:szCs w:val="20"/>
          <w:color w:val="auto"/>
        </w:rPr>
      </w:pPr>
    </w:p>
    <w:p>
      <w:pPr>
        <w:ind w:left="1040" w:hanging="384"/>
        <w:spacing w:after="0"/>
        <w:tabs>
          <w:tab w:leader="none" w:pos="10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Company and the undersigned hereby amend Section 3.1(a) of the Agreement to extend the Delivery Period to August 31,</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2015.</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expressly amended by this Amendment, the Agreement shall remain in full force and effect in accordance with its terms.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Capitalized terms used in this Amendment and not otherwise defined shall have the meaning given in the Agreement.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p>
    <w:p>
      <w:pPr>
        <w:sectPr>
          <w:pgSz w:w="11900" w:h="16838" w:orient="portrait"/>
          <w:cols w:equalWidth="0" w:num="1">
            <w:col w:w="11240"/>
          </w:cols>
          <w:pgMar w:left="320" w:top="121" w:right="339" w:bottom="1440" w:gutter="0" w:footer="0" w:header="0"/>
        </w:sectPr>
      </w:pPr>
    </w:p>
    <w:bookmarkStart w:id="303" w:name="page304"/>
    <w:bookmarkEnd w:id="303"/>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color w:val="auto"/>
        </w:rPr>
        <w:t>This Amendment is executed and delivered as of the date first written above.</w:t>
      </w:r>
    </w:p>
    <w:p>
      <w:pPr>
        <w:spacing w:after="0" w:line="214"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NERDWALLET, INC.</w:t>
      </w:r>
    </w:p>
    <w:p>
      <w:pPr>
        <w:spacing w:after="0" w:line="200" w:lineRule="exact"/>
        <w:rPr>
          <w:sz w:val="20"/>
          <w:szCs w:val="20"/>
          <w:color w:val="auto"/>
        </w:rPr>
      </w:pPr>
    </w:p>
    <w:p>
      <w:pPr>
        <w:spacing w:after="0" w:line="351" w:lineRule="exact"/>
        <w:rPr>
          <w:sz w:val="20"/>
          <w:szCs w:val="20"/>
          <w:color w:val="auto"/>
        </w:rPr>
      </w:pPr>
    </w:p>
    <w:p>
      <w:pPr>
        <w:ind w:left="800"/>
        <w:spacing w:after="0"/>
        <w:tabs>
          <w:tab w:leader="none" w:pos="1360" w:val="left"/>
        </w:tabs>
        <w:rPr>
          <w:sz w:val="20"/>
          <w:szCs w:val="20"/>
          <w:color w:val="auto"/>
        </w:rPr>
      </w:pPr>
      <w:r>
        <w:rPr>
          <w:rFonts w:ascii="Arial" w:cs="Arial" w:eastAsia="Arial" w:hAnsi="Arial"/>
          <w:sz w:val="20"/>
          <w:szCs w:val="20"/>
          <w:color w:val="auto"/>
        </w:rPr>
        <w:t>By:</w:t>
        <w:tab/>
        <w:t>/s/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10160</wp:posOffset>
            </wp:positionV>
            <wp:extent cx="31375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0" w:lineRule="exact"/>
        <w:rPr>
          <w:sz w:val="20"/>
          <w:szCs w:val="20"/>
          <w:color w:val="auto"/>
        </w:rPr>
      </w:pPr>
    </w:p>
    <w:p>
      <w:pPr>
        <w:ind w:left="800"/>
        <w:spacing w:after="0"/>
        <w:tabs>
          <w:tab w:leader="none" w:pos="17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27305</wp:posOffset>
            </wp:positionV>
            <wp:extent cx="31375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4" w:lineRule="exact"/>
        <w:rPr>
          <w:sz w:val="20"/>
          <w:szCs w:val="20"/>
          <w:color w:val="auto"/>
        </w:rPr>
      </w:pPr>
    </w:p>
    <w:p>
      <w:pPr>
        <w:ind w:left="800"/>
        <w:spacing w:after="0"/>
        <w:tabs>
          <w:tab w:leader="none" w:pos="17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10160</wp:posOffset>
            </wp:positionV>
            <wp:extent cx="31375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040"/>
        <w:spacing w:after="0"/>
        <w:rPr>
          <w:sz w:val="20"/>
          <w:szCs w:val="20"/>
          <w:color w:val="auto"/>
        </w:rPr>
      </w:pPr>
      <w:r>
        <w:rPr>
          <w:rFonts w:ascii="Arial" w:cs="Arial" w:eastAsia="Arial" w:hAnsi="Arial"/>
          <w:sz w:val="20"/>
          <w:szCs w:val="20"/>
          <w:b w:val="1"/>
          <w:bCs w:val="1"/>
          <w:color w:val="auto"/>
        </w:rPr>
        <w:t>INSTITUTIONAL VENTURE PARTNERS XIV, L.P.</w:t>
      </w:r>
    </w:p>
    <w:p>
      <w:pPr>
        <w:spacing w:after="0" w:line="29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 Institutional Venture Management XIV LLC</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20"/>
          <w:szCs w:val="20"/>
          <w:color w:val="auto"/>
        </w:rPr>
        <w:t>Its: General Partner</w:t>
      </w:r>
    </w:p>
    <w:p>
      <w:pPr>
        <w:spacing w:after="0" w:line="200" w:lineRule="exact"/>
        <w:rPr>
          <w:sz w:val="20"/>
          <w:szCs w:val="20"/>
          <w:color w:val="auto"/>
        </w:rPr>
      </w:pPr>
    </w:p>
    <w:p>
      <w:pPr>
        <w:spacing w:after="0" w:line="350" w:lineRule="exact"/>
        <w:rPr>
          <w:sz w:val="20"/>
          <w:szCs w:val="20"/>
          <w:color w:val="auto"/>
        </w:rPr>
      </w:pPr>
    </w:p>
    <w:tbl>
      <w:tblPr>
        <w:tblLayout w:type="fixed"/>
        <w:tblInd w:w="6040" w:type="dxa"/>
        <w:tblCellMar>
          <w:top w:w="0" w:type="dxa"/>
          <w:left w:w="0" w:type="dxa"/>
          <w:bottom w:w="0" w:type="dxa"/>
          <w:right w:w="0" w:type="dxa"/>
        </w:tblCellMar>
      </w:tblPr>
      <w:tr>
        <w:trPr>
          <w:trHeight w:val="273"/>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43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Jules Maltz</w:t>
            </w:r>
          </w:p>
        </w:tc>
      </w:tr>
      <w:tr>
        <w:trPr>
          <w:trHeight w:val="277"/>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43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Jules Maltz</w:t>
            </w:r>
          </w:p>
        </w:tc>
      </w:tr>
      <w:tr>
        <w:trPr>
          <w:trHeight w:val="236"/>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43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Managing Director</w:t>
            </w:r>
          </w:p>
        </w:tc>
      </w:tr>
    </w:tbl>
    <w:p>
      <w:pPr>
        <w:sectPr>
          <w:pgSz w:w="11900" w:h="16838" w:orient="portrait"/>
          <w:cols w:equalWidth="0" w:num="1">
            <w:col w:w="11240"/>
          </w:cols>
          <w:pgMar w:left="320" w:top="121" w:right="339" w:bottom="1440" w:gutter="0" w:footer="0" w:header="0"/>
        </w:sectPr>
      </w:pPr>
    </w:p>
    <w:bookmarkStart w:id="304" w:name="page305"/>
    <w:bookmarkEnd w:id="304"/>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SECOND AMENDMENT OF INVESTORS’ RIGHTS AGREEMENT</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This Second Amendment of Investors’ Rights Agreement (this “</w:t>
      </w:r>
      <w:r>
        <w:rPr>
          <w:rFonts w:ascii="Arial" w:cs="Arial" w:eastAsia="Arial" w:hAnsi="Arial"/>
          <w:sz w:val="20"/>
          <w:szCs w:val="20"/>
          <w:b w:val="1"/>
          <w:bCs w:val="1"/>
          <w:color w:val="auto"/>
        </w:rPr>
        <w:t>Second Amendment</w:t>
      </w:r>
      <w:r>
        <w:rPr>
          <w:rFonts w:ascii="Arial" w:cs="Arial" w:eastAsia="Arial" w:hAnsi="Arial"/>
          <w:sz w:val="20"/>
          <w:szCs w:val="20"/>
          <w:color w:val="auto"/>
        </w:rPr>
        <w:t>”) is made as of August 26, 2015, and amends the Investors’ Rights Agreement, dated January 30, 2015, among NerdWallet, Inc. (the “</w:t>
      </w:r>
      <w:r>
        <w:rPr>
          <w:rFonts w:ascii="Arial" w:cs="Arial" w:eastAsia="Arial" w:hAnsi="Arial"/>
          <w:sz w:val="20"/>
          <w:szCs w:val="20"/>
          <w:b w:val="1"/>
          <w:bCs w:val="1"/>
          <w:color w:val="auto"/>
        </w:rPr>
        <w:t>Company</w:t>
      </w:r>
      <w:r>
        <w:rPr>
          <w:rFonts w:ascii="Arial" w:cs="Arial" w:eastAsia="Arial" w:hAnsi="Arial"/>
          <w:sz w:val="20"/>
          <w:szCs w:val="20"/>
          <w:color w:val="auto"/>
        </w:rPr>
        <w:t>”) and the other parties thereto (the “</w:t>
      </w:r>
      <w:r>
        <w:rPr>
          <w:rFonts w:ascii="Arial" w:cs="Arial" w:eastAsia="Arial" w:hAnsi="Arial"/>
          <w:sz w:val="20"/>
          <w:szCs w:val="20"/>
          <w:b w:val="1"/>
          <w:bCs w:val="1"/>
          <w:color w:val="auto"/>
        </w:rPr>
        <w:t>Agreement</w:t>
      </w:r>
      <w:r>
        <w:rPr>
          <w:rFonts w:ascii="Arial" w:cs="Arial" w:eastAsia="Arial" w:hAnsi="Arial"/>
          <w:sz w:val="20"/>
          <w:szCs w:val="20"/>
          <w:color w:val="auto"/>
        </w:rPr>
        <w:t>”), as amended on June 19, 2015.</w:t>
      </w:r>
    </w:p>
    <w:p>
      <w:pPr>
        <w:spacing w:after="0" w:line="1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Under Section 3.1(a) of the Agreement, the Company shall deliver to each Major Investor within one hundred twenty (120) days (the “</w:t>
      </w:r>
      <w:r>
        <w:rPr>
          <w:rFonts w:ascii="Arial" w:cs="Arial" w:eastAsia="Arial" w:hAnsi="Arial"/>
          <w:sz w:val="19"/>
          <w:szCs w:val="19"/>
          <w:b w:val="1"/>
          <w:bCs w:val="1"/>
          <w:color w:val="auto"/>
        </w:rPr>
        <w:t>Delivery Period</w:t>
      </w:r>
      <w:r>
        <w:rPr>
          <w:rFonts w:ascii="Arial" w:cs="Arial" w:eastAsia="Arial" w:hAnsi="Arial"/>
          <w:sz w:val="19"/>
          <w:szCs w:val="19"/>
          <w:color w:val="auto"/>
        </w:rPr>
        <w:t>”) after the end of each fiscal year of the Company: a balance sheet as of the end of such year; statements of income and of cash flows for such year; and a statement of stockholders’ equity as of the end of such year, all such financial statements audited and certified by independent public accountants of nationally recognized standing selected by the Company.</w:t>
      </w:r>
    </w:p>
    <w:p>
      <w:pPr>
        <w:spacing w:after="0" w:line="13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Under Section 6.6 of the Agreement, any term of the Agreement may be amended with the written consent of the Company and the holders of a majority of the Registrable Securities then outstanding.</w:t>
      </w:r>
    </w:p>
    <w:p>
      <w:pPr>
        <w:spacing w:after="0" w:line="136" w:lineRule="exact"/>
        <w:rPr>
          <w:sz w:val="20"/>
          <w:szCs w:val="20"/>
          <w:color w:val="auto"/>
        </w:rPr>
      </w:pPr>
    </w:p>
    <w:p>
      <w:pPr>
        <w:jc w:val="both"/>
        <w:ind w:firstLine="656"/>
        <w:spacing w:after="0" w:line="250" w:lineRule="auto"/>
        <w:tabs>
          <w:tab w:leader="none" w:pos="1018" w:val="left"/>
        </w:tabs>
        <w:numPr>
          <w:ilvl w:val="0"/>
          <w:numId w:val="228"/>
        </w:numPr>
        <w:rPr>
          <w:rFonts w:ascii="Arial" w:cs="Arial" w:eastAsia="Arial" w:hAnsi="Arial"/>
          <w:sz w:val="20"/>
          <w:szCs w:val="20"/>
          <w:color w:val="auto"/>
        </w:rPr>
      </w:pPr>
      <w:r>
        <w:rPr>
          <w:rFonts w:ascii="Arial" w:cs="Arial" w:eastAsia="Arial" w:hAnsi="Arial"/>
          <w:sz w:val="20"/>
          <w:szCs w:val="20"/>
          <w:color w:val="auto"/>
        </w:rPr>
        <w:t>The Company and the undersigned have amended the Agreement to extend the Delivery Period to August 31, 2015 on June 19, 2015 pursuant to Section 3.1(a) of the Agreement and hereby desires to further amend the Agreement to extend the Delivery Period from August 31, 2015 to September 30, 2015.</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expressly amended by this Second Amendment, the Agreement shall remain in full force and effect in accordance with its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terms.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Capitalized terms used in this Second Amendment and not otherwise defined shall have the meaning given in the Agreement.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p>
    <w:p>
      <w:pPr>
        <w:sectPr>
          <w:pgSz w:w="11900" w:h="16838" w:orient="portrait"/>
          <w:cols w:equalWidth="0" w:num="1">
            <w:col w:w="11240"/>
          </w:cols>
          <w:pgMar w:left="320" w:top="121" w:right="339" w:bottom="1440" w:gutter="0" w:footer="0" w:header="0"/>
        </w:sectPr>
      </w:pPr>
    </w:p>
    <w:bookmarkStart w:id="305" w:name="page306"/>
    <w:bookmarkEnd w:id="305"/>
    <w:p>
      <w:pPr>
        <w:spacing w:after="0"/>
        <w:rPr>
          <w:sz w:val="20"/>
          <w:szCs w:val="20"/>
          <w:color w:val="auto"/>
        </w:rPr>
      </w:pPr>
      <w:r>
        <w:rPr>
          <w:rFonts w:ascii="Arial" w:cs="Arial" w:eastAsia="Arial" w:hAnsi="Arial"/>
          <w:sz w:val="20"/>
          <w:szCs w:val="20"/>
          <w:color w:val="auto"/>
        </w:rPr>
        <w:t>This Second Amendment is executed and delivered as of the date first written above.</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NERDWALLET, INC.</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By: /s/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10160</wp:posOffset>
            </wp:positionV>
            <wp:extent cx="20142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20"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Name: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27305</wp:posOffset>
            </wp:positionV>
            <wp:extent cx="20142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34" w:lineRule="exact"/>
        <w:rPr>
          <w:sz w:val="20"/>
          <w:szCs w:val="20"/>
          <w:color w:val="auto"/>
        </w:rPr>
      </w:pPr>
    </w:p>
    <w:p>
      <w:pPr>
        <w:ind w:left="3920"/>
        <w:spacing w:after="0"/>
        <w:tabs>
          <w:tab w:leader="none" w:pos="44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10160</wp:posOffset>
            </wp:positionV>
            <wp:extent cx="20142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ind w:right="1719"/>
        <w:spacing w:after="0"/>
        <w:rPr>
          <w:sz w:val="20"/>
          <w:szCs w:val="20"/>
          <w:color w:val="auto"/>
        </w:rPr>
      </w:pPr>
      <w:r>
        <w:rPr>
          <w:rFonts w:ascii="Arial" w:cs="Arial" w:eastAsia="Arial" w:hAnsi="Arial"/>
          <w:sz w:val="20"/>
          <w:szCs w:val="20"/>
          <w:b w:val="1"/>
          <w:bCs w:val="1"/>
          <w:color w:val="auto"/>
        </w:rPr>
        <w:t>INSTITUTIONAL VENTURE PARTNERS XIV, L.P.</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By: Institutional Venture Management XIV LLC</w:t>
      </w:r>
    </w:p>
    <w:p>
      <w:pPr>
        <w:ind w:left="200"/>
        <w:spacing w:after="0"/>
        <w:rPr>
          <w:sz w:val="20"/>
          <w:szCs w:val="20"/>
          <w:color w:val="auto"/>
        </w:rPr>
      </w:pPr>
      <w:r>
        <w:rPr>
          <w:rFonts w:ascii="Arial" w:cs="Arial" w:eastAsia="Arial" w:hAnsi="Arial"/>
          <w:sz w:val="20"/>
          <w:szCs w:val="20"/>
          <w:color w:val="auto"/>
        </w:rPr>
        <w:t>Its: General Partner</w:t>
      </w:r>
    </w:p>
    <w:p>
      <w:pPr>
        <w:spacing w:after="0" w:line="375"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By: /s/ Jules Maltz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10160</wp:posOffset>
            </wp:positionV>
            <wp:extent cx="20142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20"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Name: Jules Maltz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27305</wp:posOffset>
            </wp:positionV>
            <wp:extent cx="20142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014220" cy="8890"/>
                    </a:xfrm>
                    <a:prstGeom prst="rect">
                      <a:avLst/>
                    </a:prstGeom>
                    <a:noFill/>
                  </pic:spPr>
                </pic:pic>
              </a:graphicData>
            </a:graphic>
          </wp:anchor>
        </w:drawing>
      </w:r>
    </w:p>
    <w:p>
      <w:pPr>
        <w:spacing w:after="0" w:line="34" w:lineRule="exact"/>
        <w:rPr>
          <w:sz w:val="20"/>
          <w:szCs w:val="20"/>
          <w:color w:val="auto"/>
        </w:rPr>
      </w:pPr>
    </w:p>
    <w:p>
      <w:pPr>
        <w:jc w:val="center"/>
        <w:ind w:right="219"/>
        <w:spacing w:after="0"/>
        <w:tabs>
          <w:tab w:leader="none" w:pos="1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10160</wp:posOffset>
            </wp:positionV>
            <wp:extent cx="20142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ectPr>
          <w:pgSz w:w="11900" w:h="16838" w:orient="portrait"/>
          <w:cols w:equalWidth="0" w:num="1">
            <w:col w:w="10139"/>
          </w:cols>
          <w:pgMar w:left="320" w:top="1419" w:right="1440" w:bottom="1440" w:gutter="0" w:footer="0" w:header="0"/>
        </w:sectPr>
      </w:pPr>
    </w:p>
    <w:bookmarkStart w:id="306" w:name="page307"/>
    <w:bookmarkEnd w:id="306"/>
    <w:p>
      <w:pPr>
        <w:jc w:val="right"/>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20202"/>
        </w:rPr>
        <w:t>THIRD AMENDMENT OF INVESTORS' RIGHTS AGREEMENT</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020202"/>
        </w:rPr>
        <w:t xml:space="preserve">This Third Amendment of Investors' Rights Agreement (this </w:t>
      </w:r>
      <w:r>
        <w:rPr>
          <w:rFonts w:ascii="Arial" w:cs="Arial" w:eastAsia="Arial" w:hAnsi="Arial"/>
          <w:sz w:val="20"/>
          <w:szCs w:val="20"/>
          <w:b w:val="1"/>
          <w:bCs w:val="1"/>
          <w:color w:val="020202"/>
        </w:rPr>
        <w:t>"Third Amendment")</w:t>
      </w:r>
      <w:r>
        <w:rPr>
          <w:rFonts w:ascii="Arial" w:cs="Arial" w:eastAsia="Arial" w:hAnsi="Arial"/>
          <w:sz w:val="20"/>
          <w:szCs w:val="20"/>
          <w:color w:val="020202"/>
        </w:rPr>
        <w:t xml:space="preserve"> is made as of June 29, 2016, and amends the Investors' Rights Agreement, dated January 30, 2015, among NerdWallet, Inc. (the </w:t>
      </w:r>
      <w:r>
        <w:rPr>
          <w:rFonts w:ascii="Arial" w:cs="Arial" w:eastAsia="Arial" w:hAnsi="Arial"/>
          <w:sz w:val="20"/>
          <w:szCs w:val="20"/>
          <w:b w:val="1"/>
          <w:bCs w:val="1"/>
          <w:color w:val="020202"/>
        </w:rPr>
        <w:t>"Company")</w:t>
      </w:r>
      <w:r>
        <w:rPr>
          <w:rFonts w:ascii="Arial" w:cs="Arial" w:eastAsia="Arial" w:hAnsi="Arial"/>
          <w:sz w:val="20"/>
          <w:szCs w:val="20"/>
          <w:color w:val="020202"/>
        </w:rPr>
        <w:t xml:space="preserve"> and the other parties thereto (the </w:t>
      </w:r>
      <w:r>
        <w:rPr>
          <w:rFonts w:ascii="Arial" w:cs="Arial" w:eastAsia="Arial" w:hAnsi="Arial"/>
          <w:sz w:val="20"/>
          <w:szCs w:val="20"/>
          <w:b w:val="1"/>
          <w:bCs w:val="1"/>
          <w:color w:val="020202"/>
        </w:rPr>
        <w:t xml:space="preserve">"Agreement"), </w:t>
      </w:r>
      <w:r>
        <w:rPr>
          <w:rFonts w:ascii="Arial" w:cs="Arial" w:eastAsia="Arial" w:hAnsi="Arial"/>
          <w:sz w:val="20"/>
          <w:szCs w:val="20"/>
          <w:color w:val="020202"/>
        </w:rPr>
        <w:t>as amended on June 19, 2015 and August 26, 2015.</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020202"/>
        </w:rPr>
        <w:t xml:space="preserve">Under Section 3.1(a) of the Agreement, the Company shall deliver to each Major Investor within one hundred twenty (120) days (the </w:t>
      </w:r>
      <w:r>
        <w:rPr>
          <w:rFonts w:ascii="Arial" w:cs="Arial" w:eastAsia="Arial" w:hAnsi="Arial"/>
          <w:sz w:val="18"/>
          <w:szCs w:val="18"/>
          <w:b w:val="1"/>
          <w:bCs w:val="1"/>
          <w:color w:val="020202"/>
        </w:rPr>
        <w:t xml:space="preserve">"Delivery Period") </w:t>
      </w:r>
      <w:r>
        <w:rPr>
          <w:rFonts w:ascii="Arial" w:cs="Arial" w:eastAsia="Arial" w:hAnsi="Arial"/>
          <w:sz w:val="18"/>
          <w:szCs w:val="18"/>
          <w:color w:val="020202"/>
        </w:rPr>
        <w:t>after the end of each fiscal year of the Company: a balance sheet as of the end of such year; statements of income and of</w:t>
      </w:r>
      <w:r>
        <w:rPr>
          <w:rFonts w:ascii="Arial" w:cs="Arial" w:eastAsia="Arial" w:hAnsi="Arial"/>
          <w:sz w:val="18"/>
          <w:szCs w:val="18"/>
          <w:b w:val="1"/>
          <w:bCs w:val="1"/>
          <w:color w:val="020202"/>
        </w:rPr>
        <w:t xml:space="preserve"> </w:t>
      </w:r>
      <w:r>
        <w:rPr>
          <w:rFonts w:ascii="Arial" w:cs="Arial" w:eastAsia="Arial" w:hAnsi="Arial"/>
          <w:sz w:val="18"/>
          <w:szCs w:val="18"/>
          <w:color w:val="020202"/>
        </w:rPr>
        <w:t>cash flows for such year; and a statement of stockholders</w:t>
      </w:r>
      <w:r>
        <w:rPr>
          <w:rFonts w:ascii="Arial" w:cs="Arial" w:eastAsia="Arial" w:hAnsi="Arial"/>
          <w:sz w:val="18"/>
          <w:szCs w:val="18"/>
          <w:color w:val="1D1D1D"/>
        </w:rPr>
        <w:t>'</w:t>
      </w:r>
      <w:r>
        <w:rPr>
          <w:rFonts w:ascii="Arial" w:cs="Arial" w:eastAsia="Arial" w:hAnsi="Arial"/>
          <w:sz w:val="18"/>
          <w:szCs w:val="18"/>
          <w:color w:val="020202"/>
        </w:rPr>
        <w:t xml:space="preserve"> equity as of the end of such year, all such financial statements audited and certified by independent public accountants of nationally recognized standing selected by the Company.</w:t>
      </w:r>
    </w:p>
    <w:p>
      <w:pPr>
        <w:spacing w:after="0" w:line="16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020202"/>
        </w:rPr>
        <w:t>Under Section 6.6 of the Agreement, any term of the Agreement may be amended with the written consent of the Company and the holders of a majority of the Registrable Securities then outstanding.</w:t>
      </w:r>
    </w:p>
    <w:p>
      <w:pPr>
        <w:spacing w:after="0" w:line="177" w:lineRule="exact"/>
        <w:rPr>
          <w:sz w:val="20"/>
          <w:szCs w:val="20"/>
          <w:color w:val="auto"/>
        </w:rPr>
      </w:pPr>
    </w:p>
    <w:p>
      <w:pPr>
        <w:ind w:left="1300" w:hanging="644"/>
        <w:spacing w:after="0"/>
        <w:tabs>
          <w:tab w:leader="none" w:pos="1300" w:val="left"/>
        </w:tabs>
        <w:numPr>
          <w:ilvl w:val="0"/>
          <w:numId w:val="229"/>
        </w:numPr>
        <w:rPr>
          <w:rFonts w:ascii="Arial" w:cs="Arial" w:eastAsia="Arial" w:hAnsi="Arial"/>
          <w:sz w:val="20"/>
          <w:szCs w:val="20"/>
          <w:color w:val="auto"/>
        </w:rPr>
      </w:pPr>
      <w:r>
        <w:rPr>
          <w:rFonts w:ascii="Arial" w:cs="Arial" w:eastAsia="Arial" w:hAnsi="Arial"/>
          <w:sz w:val="20"/>
          <w:szCs w:val="20"/>
          <w:color w:val="020202"/>
        </w:rPr>
        <w:t>Section 3.1 (a) of the Agreement is hereby amended and restated in its entirety to read as follows:</w:t>
      </w:r>
    </w:p>
    <w:p>
      <w:pPr>
        <w:spacing w:after="0" w:line="216" w:lineRule="exact"/>
        <w:rPr>
          <w:sz w:val="20"/>
          <w:szCs w:val="20"/>
          <w:color w:val="auto"/>
        </w:rPr>
      </w:pPr>
    </w:p>
    <w:p>
      <w:pPr>
        <w:jc w:val="both"/>
        <w:ind w:left="1300"/>
        <w:spacing w:after="0" w:line="263" w:lineRule="auto"/>
        <w:rPr>
          <w:sz w:val="20"/>
          <w:szCs w:val="20"/>
          <w:color w:val="auto"/>
        </w:rPr>
      </w:pPr>
      <w:r>
        <w:rPr>
          <w:rFonts w:ascii="Arial" w:cs="Arial" w:eastAsia="Arial" w:hAnsi="Arial"/>
          <w:sz w:val="19"/>
          <w:szCs w:val="19"/>
          <w:color w:val="020202"/>
        </w:rPr>
        <w:t>"(a) as soon as practicable, but in any event before October 1 of the year following the end of each fiscal year of the Company (i) a balance sheet as of the end of such fiscal year, (ii) statements of income and of cash flows for such fiscal year, and (iii) a statement of stockholders' equity as of the end of such fiscal year, all such financial statements audited and certified by independent public accountants of nationally recognized standing selected by the Company;"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020202"/>
        </w:rPr>
        <w:t>Except as expressly amended by this Third Amendment, the Agreement shall remain in full force and effect in accordance with its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020202"/>
        </w:rPr>
        <w:t>terms.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9"/>
          <w:szCs w:val="19"/>
          <w:color w:val="020202"/>
        </w:rPr>
        <w:t>Capitalized terms used in this Third Amendment and not otherwise defined shall have the meaning given in the Agreement.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020202"/>
        </w:rPr>
        <w:t>[signature page follows]</w:t>
      </w:r>
    </w:p>
    <w:p>
      <w:pPr>
        <w:sectPr>
          <w:pgSz w:w="11900" w:h="16838" w:orient="portrait"/>
          <w:cols w:equalWidth="0" w:num="1">
            <w:col w:w="11240"/>
          </w:cols>
          <w:pgMar w:left="320" w:top="121" w:right="339" w:bottom="1440" w:gutter="0" w:footer="0" w:header="0"/>
        </w:sectPr>
      </w:pPr>
    </w:p>
    <w:bookmarkStart w:id="307" w:name="page308"/>
    <w:bookmarkEnd w:id="307"/>
    <w:p>
      <w:pPr>
        <w:spacing w:after="0"/>
        <w:rPr>
          <w:sz w:val="20"/>
          <w:szCs w:val="20"/>
          <w:color w:val="auto"/>
        </w:rPr>
      </w:pPr>
      <w:r>
        <w:rPr>
          <w:rFonts w:ascii="Arial" w:cs="Arial" w:eastAsia="Arial" w:hAnsi="Arial"/>
          <w:sz w:val="20"/>
          <w:szCs w:val="20"/>
          <w:color w:val="020202"/>
        </w:rPr>
        <w:t>This Second Amendment is executed and delivered as of the date first written above.</w:t>
      </w:r>
    </w:p>
    <w:p>
      <w:pPr>
        <w:spacing w:after="0" w:line="264" w:lineRule="exact"/>
        <w:rPr>
          <w:sz w:val="20"/>
          <w:szCs w:val="20"/>
          <w:color w:val="auto"/>
        </w:rPr>
      </w:pPr>
    </w:p>
    <w:p>
      <w:pPr>
        <w:ind w:left="6500"/>
        <w:spacing w:after="0"/>
        <w:rPr>
          <w:sz w:val="20"/>
          <w:szCs w:val="20"/>
          <w:color w:val="auto"/>
        </w:rPr>
      </w:pPr>
      <w:r>
        <w:rPr>
          <w:rFonts w:ascii="Arial" w:cs="Arial" w:eastAsia="Arial" w:hAnsi="Arial"/>
          <w:sz w:val="20"/>
          <w:szCs w:val="20"/>
          <w:b w:val="1"/>
          <w:bCs w:val="1"/>
          <w:color w:val="020202"/>
        </w:rPr>
        <w:t>NERDWALLET, INC.</w:t>
      </w:r>
    </w:p>
    <w:p>
      <w:pPr>
        <w:spacing w:after="0" w:line="60" w:lineRule="exact"/>
        <w:rPr>
          <w:sz w:val="20"/>
          <w:szCs w:val="20"/>
          <w:color w:val="auto"/>
        </w:rPr>
      </w:pPr>
    </w:p>
    <w:p>
      <w:pPr>
        <w:ind w:left="10300"/>
        <w:spacing w:after="0"/>
        <w:rPr>
          <w:sz w:val="20"/>
          <w:szCs w:val="20"/>
          <w:color w:val="auto"/>
        </w:rPr>
      </w:pPr>
      <w:r>
        <w:rPr>
          <w:rFonts w:ascii="Arial" w:cs="Arial" w:eastAsia="Arial" w:hAnsi="Arial"/>
          <w:sz w:val="20"/>
          <w:szCs w:val="20"/>
          <w:color w:val="auto"/>
        </w:rPr>
        <w:t>/s/</w:t>
      </w:r>
    </w:p>
    <w:p>
      <w:pPr>
        <w:spacing w:after="0" w:line="16" w:lineRule="exact"/>
        <w:rPr>
          <w:sz w:val="20"/>
          <w:szCs w:val="20"/>
          <w:color w:val="auto"/>
        </w:rPr>
      </w:pPr>
    </w:p>
    <w:p>
      <w:pPr>
        <w:ind w:left="6500"/>
        <w:spacing w:after="0"/>
        <w:tabs>
          <w:tab w:leader="none" w:pos="7040" w:val="left"/>
        </w:tabs>
        <w:rPr>
          <w:sz w:val="20"/>
          <w:szCs w:val="20"/>
          <w:color w:val="auto"/>
        </w:rPr>
      </w:pPr>
      <w:r>
        <w:rPr>
          <w:rFonts w:ascii="Arial" w:cs="Arial" w:eastAsia="Arial" w:hAnsi="Arial"/>
          <w:sz w:val="20"/>
          <w:szCs w:val="20"/>
          <w:color w:val="auto"/>
        </w:rPr>
        <w:t>By:</w:t>
        <w:tab/>
        <w:t>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33997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25" w:lineRule="exact"/>
        <w:rPr>
          <w:sz w:val="20"/>
          <w:szCs w:val="20"/>
          <w:color w:val="auto"/>
        </w:rPr>
      </w:pPr>
    </w:p>
    <w:p>
      <w:pPr>
        <w:ind w:left="10300"/>
        <w:spacing w:after="0"/>
        <w:rPr>
          <w:sz w:val="20"/>
          <w:szCs w:val="20"/>
          <w:color w:val="auto"/>
        </w:rPr>
      </w:pPr>
      <w:r>
        <w:rPr>
          <w:rFonts w:ascii="Arial" w:cs="Arial" w:eastAsia="Arial" w:hAnsi="Arial"/>
          <w:sz w:val="20"/>
          <w:szCs w:val="20"/>
          <w:b w:val="1"/>
          <w:bCs w:val="1"/>
          <w:color w:val="auto"/>
        </w:rPr>
        <w:t>Tim</w:t>
      </w:r>
    </w:p>
    <w:p>
      <w:pPr>
        <w:spacing w:after="0" w:line="22" w:lineRule="exact"/>
        <w:rPr>
          <w:sz w:val="20"/>
          <w:szCs w:val="20"/>
          <w:color w:val="auto"/>
        </w:rPr>
      </w:pPr>
    </w:p>
    <w:p>
      <w:pPr>
        <w:ind w:left="650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b w:val="1"/>
          <w:bCs w:val="1"/>
          <w:color w:val="auto"/>
        </w:rPr>
        <w:t>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33997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31" w:lineRule="exact"/>
        <w:rPr>
          <w:sz w:val="20"/>
          <w:szCs w:val="20"/>
          <w:color w:val="auto"/>
        </w:rPr>
      </w:pPr>
    </w:p>
    <w:p>
      <w:pPr>
        <w:ind w:left="6500"/>
        <w:spacing w:after="0"/>
        <w:tabs>
          <w:tab w:leader="none" w:pos="102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27305</wp:posOffset>
            </wp:positionV>
            <wp:extent cx="233997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500"/>
        <w:spacing w:after="0"/>
        <w:rPr>
          <w:sz w:val="20"/>
          <w:szCs w:val="20"/>
          <w:color w:val="auto"/>
        </w:rPr>
      </w:pPr>
      <w:r>
        <w:rPr>
          <w:rFonts w:ascii="Arial" w:cs="Arial" w:eastAsia="Arial" w:hAnsi="Arial"/>
          <w:sz w:val="20"/>
          <w:szCs w:val="20"/>
          <w:b w:val="1"/>
          <w:bCs w:val="1"/>
          <w:color w:val="020202"/>
        </w:rPr>
        <w:t>INSTITUTIONAL VENTURE PARTNERS XIV, L.P.</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0"/>
          <w:szCs w:val="20"/>
          <w:color w:val="020202"/>
        </w:rPr>
        <w:t>Institutional</w:t>
      </w:r>
    </w:p>
    <w:p>
      <w:pPr>
        <w:ind w:left="6500"/>
        <w:spacing w:after="0"/>
        <w:tabs>
          <w:tab w:leader="none" w:pos="7040" w:val="left"/>
        </w:tabs>
        <w:rPr>
          <w:sz w:val="20"/>
          <w:szCs w:val="20"/>
          <w:color w:val="auto"/>
        </w:rPr>
      </w:pPr>
      <w:r>
        <w:rPr>
          <w:rFonts w:ascii="Arial" w:cs="Arial" w:eastAsia="Arial" w:hAnsi="Arial"/>
          <w:sz w:val="20"/>
          <w:szCs w:val="20"/>
          <w:color w:val="020202"/>
        </w:rPr>
        <w:t>By:</w:t>
        <w:tab/>
        <w:t>Venture Management XIV LLC</w:t>
      </w:r>
    </w:p>
    <w:p>
      <w:pPr>
        <w:ind w:left="10300"/>
        <w:spacing w:after="0"/>
        <w:rPr>
          <w:sz w:val="20"/>
          <w:szCs w:val="20"/>
          <w:color w:val="auto"/>
        </w:rPr>
      </w:pPr>
      <w:r>
        <w:rPr>
          <w:rFonts w:ascii="Arial" w:cs="Arial" w:eastAsia="Arial" w:hAnsi="Arial"/>
          <w:sz w:val="20"/>
          <w:szCs w:val="20"/>
          <w:color w:val="020202"/>
        </w:rPr>
        <w:t>General</w:t>
      </w:r>
    </w:p>
    <w:p>
      <w:pPr>
        <w:ind w:left="6500"/>
        <w:spacing w:after="0"/>
        <w:tabs>
          <w:tab w:leader="none" w:pos="7040" w:val="left"/>
        </w:tabs>
        <w:rPr>
          <w:sz w:val="20"/>
          <w:szCs w:val="20"/>
          <w:color w:val="auto"/>
        </w:rPr>
      </w:pPr>
      <w:r>
        <w:rPr>
          <w:rFonts w:ascii="Arial" w:cs="Arial" w:eastAsia="Arial" w:hAnsi="Arial"/>
          <w:sz w:val="20"/>
          <w:szCs w:val="20"/>
          <w:color w:val="020202"/>
        </w:rPr>
        <w:t>Its:</w:t>
        <w:tab/>
        <w:t>Partner</w:t>
      </w:r>
    </w:p>
    <w:p>
      <w:pPr>
        <w:spacing w:after="0" w:line="38" w:lineRule="exact"/>
        <w:rPr>
          <w:sz w:val="20"/>
          <w:szCs w:val="20"/>
          <w:color w:val="auto"/>
        </w:rPr>
      </w:pPr>
    </w:p>
    <w:p>
      <w:pPr>
        <w:ind w:left="10300"/>
        <w:spacing w:after="0"/>
        <w:rPr>
          <w:sz w:val="20"/>
          <w:szCs w:val="20"/>
          <w:color w:val="auto"/>
        </w:rPr>
      </w:pPr>
      <w:r>
        <w:rPr>
          <w:rFonts w:ascii="Arial" w:cs="Arial" w:eastAsia="Arial" w:hAnsi="Arial"/>
          <w:sz w:val="20"/>
          <w:szCs w:val="20"/>
          <w:color w:val="auto"/>
        </w:rPr>
        <w:t>/s/ Jules</w:t>
      </w:r>
    </w:p>
    <w:p>
      <w:pPr>
        <w:spacing w:after="0" w:line="16" w:lineRule="exact"/>
        <w:rPr>
          <w:sz w:val="20"/>
          <w:szCs w:val="20"/>
          <w:color w:val="auto"/>
        </w:rPr>
      </w:pPr>
    </w:p>
    <w:p>
      <w:pPr>
        <w:ind w:left="6500"/>
        <w:spacing w:after="0"/>
        <w:tabs>
          <w:tab w:leader="none" w:pos="7040" w:val="left"/>
        </w:tabs>
        <w:rPr>
          <w:sz w:val="20"/>
          <w:szCs w:val="20"/>
          <w:color w:val="auto"/>
        </w:rPr>
      </w:pPr>
      <w:r>
        <w:rPr>
          <w:rFonts w:ascii="Arial" w:cs="Arial" w:eastAsia="Arial" w:hAnsi="Arial"/>
          <w:sz w:val="20"/>
          <w:szCs w:val="20"/>
          <w:color w:val="auto"/>
        </w:rPr>
        <w:t>By:</w:t>
        <w:tab/>
        <w:t>Maltz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69176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25" w:lineRule="exact"/>
        <w:rPr>
          <w:sz w:val="20"/>
          <w:szCs w:val="20"/>
          <w:color w:val="auto"/>
        </w:rPr>
      </w:pPr>
    </w:p>
    <w:p>
      <w:pPr>
        <w:ind w:left="10300"/>
        <w:spacing w:after="0"/>
        <w:rPr>
          <w:sz w:val="20"/>
          <w:szCs w:val="20"/>
          <w:color w:val="auto"/>
        </w:rPr>
      </w:pPr>
      <w:r>
        <w:rPr>
          <w:rFonts w:ascii="Arial" w:cs="Arial" w:eastAsia="Arial" w:hAnsi="Arial"/>
          <w:sz w:val="20"/>
          <w:szCs w:val="20"/>
          <w:b w:val="1"/>
          <w:bCs w:val="1"/>
          <w:color w:val="auto"/>
        </w:rPr>
        <w:t>Jules</w:t>
      </w:r>
    </w:p>
    <w:p>
      <w:pPr>
        <w:spacing w:after="0" w:line="22" w:lineRule="exact"/>
        <w:rPr>
          <w:sz w:val="20"/>
          <w:szCs w:val="20"/>
          <w:color w:val="auto"/>
        </w:rPr>
      </w:pPr>
    </w:p>
    <w:p>
      <w:pPr>
        <w:ind w:left="650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b w:val="1"/>
          <w:bCs w:val="1"/>
          <w:color w:val="auto"/>
        </w:rPr>
        <w:t>Maltz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69176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31" w:lineRule="exact"/>
        <w:rPr>
          <w:sz w:val="20"/>
          <w:szCs w:val="20"/>
          <w:color w:val="auto"/>
        </w:rPr>
      </w:pPr>
    </w:p>
    <w:p>
      <w:pPr>
        <w:ind w:left="10300"/>
        <w:spacing w:after="0"/>
        <w:rPr>
          <w:sz w:val="20"/>
          <w:szCs w:val="20"/>
          <w:color w:val="auto"/>
        </w:rPr>
      </w:pPr>
      <w:r>
        <w:rPr>
          <w:rFonts w:ascii="Arial" w:cs="Arial" w:eastAsia="Arial" w:hAnsi="Arial"/>
          <w:sz w:val="20"/>
          <w:szCs w:val="20"/>
          <w:color w:val="auto"/>
        </w:rPr>
        <w:t>Managing</w:t>
      </w:r>
    </w:p>
    <w:p>
      <w:pPr>
        <w:spacing w:after="0" w:line="16" w:lineRule="exact"/>
        <w:rPr>
          <w:sz w:val="20"/>
          <w:szCs w:val="20"/>
          <w:color w:val="auto"/>
        </w:rPr>
      </w:pPr>
    </w:p>
    <w:p>
      <w:pPr>
        <w:ind w:left="6500"/>
        <w:spacing w:after="0"/>
        <w:rPr>
          <w:sz w:val="20"/>
          <w:szCs w:val="20"/>
          <w:color w:val="auto"/>
        </w:rPr>
      </w:pPr>
      <w:r>
        <w:rPr>
          <w:rFonts w:ascii="Arial" w:cs="Arial" w:eastAsia="Arial" w:hAnsi="Arial"/>
          <w:sz w:val="20"/>
          <w:szCs w:val="20"/>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69176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ectPr>
          <w:pgSz w:w="11900" w:h="16838" w:orient="portrait"/>
          <w:cols w:equalWidth="0" w:num="1">
            <w:col w:w="11260"/>
          </w:cols>
          <w:pgMar w:left="320" w:top="1419" w:right="319" w:bottom="1440" w:gutter="0" w:footer="0" w:header="0"/>
        </w:sectPr>
      </w:pPr>
    </w:p>
    <w:bookmarkStart w:id="308" w:name="page309"/>
    <w:bookmarkEnd w:id="308"/>
    <w:p>
      <w:pPr>
        <w:ind w:left="10320"/>
        <w:spacing w:after="0"/>
        <w:rPr>
          <w:sz w:val="20"/>
          <w:szCs w:val="20"/>
          <w:color w:val="auto"/>
        </w:rPr>
      </w:pPr>
      <w:r>
        <w:rPr>
          <w:rFonts w:ascii="Arial" w:cs="Arial" w:eastAsia="Arial" w:hAnsi="Arial"/>
          <w:sz w:val="16"/>
          <w:szCs w:val="16"/>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6"/>
          <w:szCs w:val="16"/>
          <w:b w:val="1"/>
          <w:bCs w:val="1"/>
          <w:color w:val="auto"/>
        </w:rPr>
        <w:t>MENDMENT</w:t>
      </w:r>
      <w:r>
        <w:rPr>
          <w:rFonts w:ascii="Arial" w:cs="Arial" w:eastAsia="Arial" w:hAnsi="Arial"/>
          <w:sz w:val="20"/>
          <w:szCs w:val="20"/>
          <w:b w:val="1"/>
          <w:bCs w:val="1"/>
          <w:color w:val="auto"/>
        </w:rPr>
        <w:t xml:space="preserve"> N</w:t>
      </w:r>
      <w:r>
        <w:rPr>
          <w:rFonts w:ascii="Arial" w:cs="Arial" w:eastAsia="Arial" w:hAnsi="Arial"/>
          <w:sz w:val="16"/>
          <w:szCs w:val="16"/>
          <w:b w:val="1"/>
          <w:bCs w:val="1"/>
          <w:color w:val="auto"/>
        </w:rPr>
        <w:t>O</w:t>
      </w:r>
      <w:r>
        <w:rPr>
          <w:rFonts w:ascii="Arial" w:cs="Arial" w:eastAsia="Arial" w:hAnsi="Arial"/>
          <w:sz w:val="20"/>
          <w:szCs w:val="20"/>
          <w:b w:val="1"/>
          <w:bCs w:val="1"/>
          <w:color w:val="auto"/>
        </w:rPr>
        <w:t xml:space="preserve">. 4 </w:t>
      </w:r>
      <w:r>
        <w:rPr>
          <w:rFonts w:ascii="Arial" w:cs="Arial" w:eastAsia="Arial" w:hAnsi="Arial"/>
          <w:sz w:val="16"/>
          <w:szCs w:val="16"/>
          <w:b w:val="1"/>
          <w:bCs w:val="1"/>
          <w:color w:val="auto"/>
        </w:rPr>
        <w:t>TO THE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16"/>
          <w:szCs w:val="16"/>
          <w:b w:val="1"/>
          <w:bCs w:val="1"/>
          <w:color w:val="auto"/>
        </w:rPr>
        <w:t>NVESTORS</w:t>
      </w:r>
      <w:r>
        <w:rPr>
          <w:rFonts w:ascii="Arial" w:cs="Arial" w:eastAsia="Arial" w:hAnsi="Arial"/>
          <w:sz w:val="20"/>
          <w:szCs w:val="20"/>
          <w:b w:val="1"/>
          <w:bCs w:val="1"/>
          <w:color w:val="auto"/>
        </w:rPr>
        <w:t>’ R</w:t>
      </w:r>
      <w:r>
        <w:rPr>
          <w:rFonts w:ascii="Arial" w:cs="Arial" w:eastAsia="Arial" w:hAnsi="Arial"/>
          <w:sz w:val="16"/>
          <w:szCs w:val="16"/>
          <w:b w:val="1"/>
          <w:bCs w:val="1"/>
          <w:color w:val="auto"/>
        </w:rPr>
        <w:t>IGHTS</w:t>
      </w:r>
      <w:r>
        <w:rPr>
          <w:rFonts w:ascii="Arial" w:cs="Arial" w:eastAsia="Arial" w:hAnsi="Arial"/>
          <w:sz w:val="20"/>
          <w:szCs w:val="20"/>
          <w:b w:val="1"/>
          <w:bCs w:val="1"/>
          <w:color w:val="auto"/>
        </w:rPr>
        <w:t xml:space="preserve"> A</w:t>
      </w:r>
      <w:r>
        <w:rPr>
          <w:rFonts w:ascii="Arial" w:cs="Arial" w:eastAsia="Arial" w:hAnsi="Arial"/>
          <w:sz w:val="16"/>
          <w:szCs w:val="16"/>
          <w:b w:val="1"/>
          <w:bCs w:val="1"/>
          <w:color w:val="auto"/>
        </w:rPr>
        <w:t>GREEMENT</w:t>
      </w:r>
    </w:p>
    <w:p>
      <w:pPr>
        <w:spacing w:after="0" w:line="14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T</w:t>
      </w:r>
      <w:r>
        <w:rPr>
          <w:rFonts w:ascii="Arial" w:cs="Arial" w:eastAsia="Arial" w:hAnsi="Arial"/>
          <w:sz w:val="16"/>
          <w:szCs w:val="16"/>
          <w:b w:val="1"/>
          <w:bCs w:val="1"/>
          <w:color w:val="auto"/>
        </w:rPr>
        <w:t>HIS</w:t>
      </w:r>
      <w:r>
        <w:rPr>
          <w:rFonts w:ascii="Arial" w:cs="Arial" w:eastAsia="Arial" w:hAnsi="Arial"/>
          <w:sz w:val="20"/>
          <w:szCs w:val="20"/>
          <w:b w:val="1"/>
          <w:bCs w:val="1"/>
          <w:color w:val="auto"/>
        </w:rPr>
        <w:t xml:space="preserve"> A</w:t>
      </w:r>
      <w:r>
        <w:rPr>
          <w:rFonts w:ascii="Arial" w:cs="Arial" w:eastAsia="Arial" w:hAnsi="Arial"/>
          <w:sz w:val="16"/>
          <w:szCs w:val="16"/>
          <w:b w:val="1"/>
          <w:bCs w:val="1"/>
          <w:color w:val="auto"/>
        </w:rPr>
        <w:t>MENDMENT</w:t>
      </w:r>
      <w:r>
        <w:rPr>
          <w:rFonts w:ascii="Arial" w:cs="Arial" w:eastAsia="Arial" w:hAnsi="Arial"/>
          <w:sz w:val="20"/>
          <w:szCs w:val="20"/>
          <w:b w:val="1"/>
          <w:bCs w:val="1"/>
          <w:color w:val="auto"/>
        </w:rPr>
        <w:t xml:space="preserve"> N</w:t>
      </w:r>
      <w:r>
        <w:rPr>
          <w:rFonts w:ascii="Arial" w:cs="Arial" w:eastAsia="Arial" w:hAnsi="Arial"/>
          <w:sz w:val="16"/>
          <w:szCs w:val="16"/>
          <w:b w:val="1"/>
          <w:bCs w:val="1"/>
          <w:color w:val="auto"/>
        </w:rPr>
        <w:t>O</w:t>
      </w:r>
      <w:r>
        <w:rPr>
          <w:rFonts w:ascii="Arial" w:cs="Arial" w:eastAsia="Arial" w:hAnsi="Arial"/>
          <w:sz w:val="20"/>
          <w:szCs w:val="20"/>
          <w:b w:val="1"/>
          <w:bCs w:val="1"/>
          <w:color w:val="auto"/>
        </w:rPr>
        <w:t xml:space="preserve">.4 </w:t>
      </w:r>
      <w:r>
        <w:rPr>
          <w:rFonts w:ascii="Arial" w:cs="Arial" w:eastAsia="Arial" w:hAnsi="Arial"/>
          <w:sz w:val="16"/>
          <w:szCs w:val="16"/>
          <w:b w:val="1"/>
          <w:bCs w:val="1"/>
          <w:color w:val="auto"/>
        </w:rPr>
        <w:t>TO THE</w:t>
      </w:r>
      <w:r>
        <w:rPr>
          <w:rFonts w:ascii="Arial" w:cs="Arial" w:eastAsia="Arial" w:hAnsi="Arial"/>
          <w:sz w:val="20"/>
          <w:szCs w:val="20"/>
          <w:b w:val="1"/>
          <w:bCs w:val="1"/>
          <w:color w:val="auto"/>
        </w:rPr>
        <w:t xml:space="preserve"> I</w:t>
      </w:r>
      <w:r>
        <w:rPr>
          <w:rFonts w:ascii="Arial" w:cs="Arial" w:eastAsia="Arial" w:hAnsi="Arial"/>
          <w:sz w:val="16"/>
          <w:szCs w:val="16"/>
          <w:b w:val="1"/>
          <w:bCs w:val="1"/>
          <w:color w:val="auto"/>
        </w:rPr>
        <w:t>NVESTORS</w:t>
      </w:r>
      <w:r>
        <w:rPr>
          <w:rFonts w:ascii="Arial" w:cs="Arial" w:eastAsia="Arial" w:hAnsi="Arial"/>
          <w:sz w:val="20"/>
          <w:szCs w:val="20"/>
          <w:b w:val="1"/>
          <w:bCs w:val="1"/>
          <w:color w:val="auto"/>
        </w:rPr>
        <w:t>’ R</w:t>
      </w:r>
      <w:r>
        <w:rPr>
          <w:rFonts w:ascii="Arial" w:cs="Arial" w:eastAsia="Arial" w:hAnsi="Arial"/>
          <w:sz w:val="16"/>
          <w:szCs w:val="16"/>
          <w:b w:val="1"/>
          <w:bCs w:val="1"/>
          <w:color w:val="auto"/>
        </w:rPr>
        <w:t>IGHTS</w:t>
      </w:r>
      <w:r>
        <w:rPr>
          <w:rFonts w:ascii="Arial" w:cs="Arial" w:eastAsia="Arial" w:hAnsi="Arial"/>
          <w:sz w:val="20"/>
          <w:szCs w:val="20"/>
          <w:b w:val="1"/>
          <w:bCs w:val="1"/>
          <w:color w:val="auto"/>
        </w:rPr>
        <w:t xml:space="preserve"> A</w:t>
      </w:r>
      <w:r>
        <w:rPr>
          <w:rFonts w:ascii="Arial" w:cs="Arial" w:eastAsia="Arial" w:hAnsi="Arial"/>
          <w:sz w:val="16"/>
          <w:szCs w:val="16"/>
          <w:b w:val="1"/>
          <w:bCs w:val="1"/>
          <w:color w:val="auto"/>
        </w:rPr>
        <w:t>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(this “</w:t>
      </w:r>
      <w:r>
        <w:rPr>
          <w:rFonts w:ascii="Arial" w:cs="Arial" w:eastAsia="Arial" w:hAnsi="Arial"/>
          <w:sz w:val="20"/>
          <w:szCs w:val="20"/>
          <w:b w:val="1"/>
          <w:bCs w:val="1"/>
          <w:i w:val="1"/>
          <w:iCs w:val="1"/>
          <w:color w:val="auto"/>
        </w:rPr>
        <w:t>Amendment</w:t>
      </w:r>
      <w:r>
        <w:rPr>
          <w:rFonts w:ascii="Arial" w:cs="Arial" w:eastAsia="Arial" w:hAnsi="Arial"/>
          <w:sz w:val="20"/>
          <w:szCs w:val="20"/>
          <w:color w:val="auto"/>
        </w:rPr>
        <w:t>”) is made as of April 7, 2020 by and</w:t>
      </w:r>
      <w:r>
        <w:rPr>
          <w:rFonts w:ascii="Arial" w:cs="Arial" w:eastAsia="Arial" w:hAnsi="Arial"/>
          <w:sz w:val="20"/>
          <w:szCs w:val="20"/>
          <w:b w:val="1"/>
          <w:bCs w:val="1"/>
          <w:color w:val="auto"/>
        </w:rPr>
        <w:t xml:space="preserve"> </w:t>
      </w:r>
      <w:r>
        <w:rPr>
          <w:rFonts w:ascii="Arial" w:cs="Arial" w:eastAsia="Arial" w:hAnsi="Arial"/>
          <w:sz w:val="20"/>
          <w:szCs w:val="20"/>
          <w:color w:val="auto"/>
        </w:rPr>
        <w:t>among NerdWallet, Inc.,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and the undersigned Investors (the “</w:t>
      </w:r>
      <w:r>
        <w:rPr>
          <w:rFonts w:ascii="Arial" w:cs="Arial" w:eastAsia="Arial" w:hAnsi="Arial"/>
          <w:sz w:val="20"/>
          <w:szCs w:val="20"/>
          <w:b w:val="1"/>
          <w:bCs w:val="1"/>
          <w:i w:val="1"/>
          <w:iCs w:val="1"/>
          <w:color w:val="auto"/>
        </w:rPr>
        <w:t>Amending Investors</w:t>
      </w:r>
      <w:r>
        <w:rPr>
          <w:rFonts w:ascii="Arial" w:cs="Arial" w:eastAsia="Arial" w:hAnsi="Arial"/>
          <w:sz w:val="20"/>
          <w:szCs w:val="20"/>
          <w:color w:val="auto"/>
        </w:rPr>
        <w:t>”). Unless otherwise indicated, capitalized terms used in this Amendment but not defined herein shall have the meaning given to them in the Rights Agreement (as defined below).</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w:t>
      </w:r>
      <w:r>
        <w:rPr>
          <w:rFonts w:ascii="Arial" w:cs="Arial" w:eastAsia="Arial" w:hAnsi="Arial"/>
          <w:sz w:val="16"/>
          <w:szCs w:val="16"/>
          <w:b w:val="1"/>
          <w:bCs w:val="1"/>
          <w:color w:val="auto"/>
        </w:rPr>
        <w:t>ECITALS</w:t>
      </w:r>
    </w:p>
    <w:p>
      <w:pPr>
        <w:spacing w:after="0" w:line="162" w:lineRule="exact"/>
        <w:rPr>
          <w:sz w:val="20"/>
          <w:szCs w:val="20"/>
          <w:color w:val="auto"/>
        </w:rPr>
      </w:pPr>
    </w:p>
    <w:p>
      <w:pPr>
        <w:ind w:right="3000"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has entered into the Investors’ Rights Agreement, dated January 30,</w:t>
      </w:r>
      <w:r>
        <w:rPr>
          <w:rFonts w:ascii="Arial" w:cs="Arial" w:eastAsia="Arial" w:hAnsi="Arial"/>
          <w:sz w:val="20"/>
          <w:szCs w:val="20"/>
          <w:b w:val="1"/>
          <w:bCs w:val="1"/>
          <w:color w:val="auto"/>
        </w:rPr>
        <w:t xml:space="preserve"> </w:t>
      </w:r>
      <w:r>
        <w:rPr>
          <w:rFonts w:ascii="Arial" w:cs="Arial" w:eastAsia="Arial" w:hAnsi="Arial"/>
          <w:sz w:val="20"/>
          <w:szCs w:val="20"/>
          <w:color w:val="auto"/>
        </w:rPr>
        <w:t>2015 (the “</w:t>
      </w:r>
      <w:r>
        <w:rPr>
          <w:rFonts w:ascii="Arial" w:cs="Arial" w:eastAsia="Arial" w:hAnsi="Arial"/>
          <w:sz w:val="20"/>
          <w:szCs w:val="20"/>
          <w:b w:val="1"/>
          <w:bCs w:val="1"/>
          <w:i w:val="1"/>
          <w:iCs w:val="1"/>
          <w:color w:val="auto"/>
        </w:rPr>
        <w:t>Rights Agreement</w:t>
      </w:r>
      <w:r>
        <w:rPr>
          <w:rFonts w:ascii="Arial" w:cs="Arial" w:eastAsia="Arial" w:hAnsi="Arial"/>
          <w:sz w:val="20"/>
          <w:szCs w:val="20"/>
          <w:color w:val="auto"/>
        </w:rPr>
        <w:t>”), with the Amending Investors and certain other purchasers of the Company’s securities;</w:t>
      </w:r>
    </w:p>
    <w:p>
      <w:pPr>
        <w:spacing w:after="0" w:line="123" w:lineRule="exact"/>
        <w:rPr>
          <w:sz w:val="20"/>
          <w:szCs w:val="20"/>
          <w:color w:val="auto"/>
        </w:rPr>
      </w:pPr>
    </w:p>
    <w:p>
      <w:pPr>
        <w:ind w:firstLine="648"/>
        <w:spacing w:after="0" w:line="293"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in accordance with Section 6.6 of the Rights Agreement, any term of the Rights Agreement may be amended or</w:t>
      </w:r>
      <w:r>
        <w:rPr>
          <w:rFonts w:ascii="Arial" w:cs="Arial" w:eastAsia="Arial" w:hAnsi="Arial"/>
          <w:sz w:val="19"/>
          <w:szCs w:val="19"/>
          <w:b w:val="1"/>
          <w:bCs w:val="1"/>
          <w:color w:val="auto"/>
        </w:rPr>
        <w:t xml:space="preserve"> </w:t>
      </w:r>
      <w:r>
        <w:rPr>
          <w:rFonts w:ascii="Arial" w:cs="Arial" w:eastAsia="Arial" w:hAnsi="Arial"/>
          <w:sz w:val="19"/>
          <w:szCs w:val="19"/>
          <w:color w:val="auto"/>
        </w:rPr>
        <w:t>modified with the written consent of the Company and the holders of a majority of the Registrable Securities then outstanding; and</w:t>
      </w:r>
    </w:p>
    <w:p>
      <w:pPr>
        <w:spacing w:after="0" w:line="88"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and the Amending Investors (who hold a majority of the outstanding Registrable Securities), on behalf of</w:t>
      </w:r>
      <w:r>
        <w:rPr>
          <w:rFonts w:ascii="Arial" w:cs="Arial" w:eastAsia="Arial" w:hAnsi="Arial"/>
          <w:sz w:val="20"/>
          <w:szCs w:val="20"/>
          <w:b w:val="1"/>
          <w:bCs w:val="1"/>
          <w:color w:val="auto"/>
        </w:rPr>
        <w:t xml:space="preserve"> </w:t>
      </w:r>
      <w:r>
        <w:rPr>
          <w:rFonts w:ascii="Arial" w:cs="Arial" w:eastAsia="Arial" w:hAnsi="Arial"/>
          <w:sz w:val="20"/>
          <w:szCs w:val="20"/>
          <w:color w:val="auto"/>
        </w:rPr>
        <w:t>themselves and the other Investors, desire to amend the Rights Agreement as set forth below:</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6"/>
          <w:szCs w:val="16"/>
          <w:b w:val="1"/>
          <w:bCs w:val="1"/>
          <w:color w:val="auto"/>
        </w:rPr>
        <w:t>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w:t>
      </w:r>
      <w:r>
        <w:rPr>
          <w:rFonts w:ascii="Arial" w:cs="Arial" w:eastAsia="Arial" w:hAnsi="Arial"/>
          <w:sz w:val="18"/>
          <w:szCs w:val="18"/>
          <w:b w:val="1"/>
          <w:bCs w:val="1"/>
          <w:color w:val="auto"/>
        </w:rPr>
        <w:t>, T</w:t>
      </w:r>
      <w:r>
        <w:rPr>
          <w:rFonts w:ascii="Arial" w:cs="Arial" w:eastAsia="Arial" w:hAnsi="Arial"/>
          <w:sz w:val="14"/>
          <w:szCs w:val="14"/>
          <w:b w:val="1"/>
          <w:bCs w:val="1"/>
          <w:color w:val="auto"/>
        </w:rPr>
        <w:t>HEREFORE</w:t>
      </w:r>
      <w:r>
        <w:rPr>
          <w:rFonts w:ascii="Arial" w:cs="Arial" w:eastAsia="Arial" w:hAnsi="Arial"/>
          <w:sz w:val="18"/>
          <w:szCs w:val="18"/>
          <w:color w:val="auto"/>
        </w:rPr>
        <w:t>, in consideration of the mutual agreements contained in this Amendment, the parties hereto agree as follows:</w:t>
      </w:r>
    </w:p>
    <w:p>
      <w:pPr>
        <w:spacing w:after="0" w:line="185" w:lineRule="exact"/>
        <w:rPr>
          <w:sz w:val="20"/>
          <w:szCs w:val="20"/>
          <w:color w:val="auto"/>
        </w:rPr>
      </w:pPr>
    </w:p>
    <w:p>
      <w:pPr>
        <w:ind w:left="360" w:hanging="352"/>
        <w:spacing w:after="0"/>
        <w:tabs>
          <w:tab w:leader="none" w:pos="360" w:val="left"/>
        </w:tabs>
        <w:numPr>
          <w:ilvl w:val="0"/>
          <w:numId w:val="23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Amendment</w:t>
      </w:r>
      <w:r>
        <w:rPr>
          <w:rFonts w:ascii="Arial" w:cs="Arial" w:eastAsia="Arial" w:hAnsi="Arial"/>
          <w:sz w:val="20"/>
          <w:szCs w:val="20"/>
          <w:b w:val="1"/>
          <w:bCs w:val="1"/>
          <w:color w:val="auto"/>
        </w:rPr>
        <w:t xml:space="preserve">. </w:t>
      </w:r>
      <w:r>
        <w:rPr>
          <w:rFonts w:ascii="Arial" w:cs="Arial" w:eastAsia="Arial" w:hAnsi="Arial"/>
          <w:sz w:val="20"/>
          <w:szCs w:val="20"/>
          <w:color w:val="auto"/>
        </w:rPr>
        <w:t>The Rights Agreement is hereby amended as follows:</w:t>
      </w:r>
    </w:p>
    <w:p>
      <w:pPr>
        <w:spacing w:after="0" w:line="168"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6"/>
          <w:szCs w:val="16"/>
          <w:color w:val="auto"/>
        </w:rPr>
        <w:t>Section 5.1 of the Rights Agreement is hereby amended and restated in its entirety to read as follows:</w:t>
      </w:r>
    </w:p>
    <w:p>
      <w:pPr>
        <w:spacing w:after="0" w:line="162" w:lineRule="exact"/>
        <w:rPr>
          <w:sz w:val="20"/>
          <w:szCs w:val="20"/>
          <w:color w:val="auto"/>
        </w:rPr>
      </w:pPr>
    </w:p>
    <w:p>
      <w:pPr>
        <w:jc w:val="both"/>
        <w:ind w:left="1300"/>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The Company shall use its commercially reasonable efforts to obtain, within forty-five (45) days of the date hereof, from financially sound and reputable insurers Directors and Officers liability insurance and term “key-person” insurance on Tim Chen, each in an amount and on terms and conditions satisfactory to the Board of Directors, and will use commercially reasonable efforts to cause such insurance policies to be maintained until such time as the Board of Directors determines that such insurance should be discontinued. The key-person policy shall name the Company as a loss payee, and neither policy shall be cancelable by the Company without prior approval by the Board of Directors including at least one Series A Director. Notwithstanding any other provision of this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to the contrary, for so long as a Series A Director (as defined in the Company’s Certificate of Incorporation) is serving on the Board of Directors, the Company shall not cease to maintain a Directors and Officers liability insurance policy in an amount of at least $5,000,000 unless approved by at least one Series A Director, and the Company shall annually, within one hundred twenty (120) days after the end of each fiscal year of the Company, deliver to the Series A Purchasers a certification that such a Directors and Officers liability insurance policy remains in effect. Each Key Holder hereby covenants and agrees that, to the extent such Key Holder is named under such key-person policy, such Key Holder will execute and deliver to the Company, as reasonably requested, a written notice and consent form with respect to such policy.”</w:t>
      </w:r>
    </w:p>
    <w:p>
      <w:pPr>
        <w:sectPr>
          <w:pgSz w:w="11900" w:h="16838" w:orient="portrait"/>
          <w:cols w:equalWidth="0" w:num="1">
            <w:col w:w="11240"/>
          </w:cols>
          <w:pgMar w:left="320" w:top="121" w:right="339" w:bottom="1440" w:gutter="0" w:footer="0" w:header="0"/>
        </w:sectPr>
      </w:pPr>
    </w:p>
    <w:bookmarkStart w:id="309" w:name="page310"/>
    <w:bookmarkEnd w:id="309"/>
    <w:p>
      <w:pPr>
        <w:ind w:left="660"/>
        <w:spacing w:after="0"/>
        <w:tabs>
          <w:tab w:leader="none" w:pos="114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6"/>
          <w:szCs w:val="16"/>
          <w:color w:val="auto"/>
        </w:rPr>
        <w:t>Section 5.2 of the Rights Agreement is hereby amended and restated in its entirety to read as follows:</w:t>
      </w:r>
    </w:p>
    <w:p>
      <w:pPr>
        <w:spacing w:after="0" w:line="162" w:lineRule="exact"/>
        <w:rPr>
          <w:sz w:val="20"/>
          <w:szCs w:val="20"/>
          <w:color w:val="auto"/>
        </w:rPr>
      </w:pPr>
    </w:p>
    <w:p>
      <w:pPr>
        <w:jc w:val="both"/>
        <w:ind w:left="1300"/>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Employee Agreements</w:t>
      </w:r>
      <w:r>
        <w:rPr>
          <w:rFonts w:ascii="Arial" w:cs="Arial" w:eastAsia="Arial" w:hAnsi="Arial"/>
          <w:sz w:val="19"/>
          <w:szCs w:val="19"/>
          <w:color w:val="auto"/>
        </w:rPr>
        <w:t>. The Company will cause (i) each person now or hereafter employed by it or by any subsidiary (or engaged by the Company or any subsidiary as a consultant/independent contractor) with access to confidential information and/or trade secrets to enter into a nondisclosure and proprietary rights assignment agreement; and (ii) each Key Employee to enter into a one (1) year noncompetition and nonsolicitation agreement, substantially in the form approved by the Board of Directors. In addition, the Company shall not amend, modify, terminate, waive, or otherwise alter, in whole or in part, any of the above-referenced agreements or any restricted stock agreement between the Company and any employee, without the consent of at least one Series A Director.”</w:t>
      </w:r>
    </w:p>
    <w:p>
      <w:pPr>
        <w:spacing w:after="0" w:line="13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6"/>
          <w:szCs w:val="16"/>
          <w:color w:val="auto"/>
        </w:rPr>
        <w:t>Section 5.3 of the Rights Agreement is hereby amended and restated in its entirety to read as follows:</w:t>
      </w:r>
    </w:p>
    <w:p>
      <w:pPr>
        <w:spacing w:after="0" w:line="162" w:lineRule="exact"/>
        <w:rPr>
          <w:sz w:val="20"/>
          <w:szCs w:val="20"/>
          <w:color w:val="auto"/>
        </w:rPr>
      </w:pPr>
    </w:p>
    <w:p>
      <w:pPr>
        <w:jc w:val="both"/>
        <w:ind w:left="1300"/>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Stock</w:t>
      </w:r>
      <w:r>
        <w:rPr>
          <w:rFonts w:ascii="Arial" w:cs="Arial" w:eastAsia="Arial" w:hAnsi="Arial"/>
          <w:sz w:val="18"/>
          <w:szCs w:val="18"/>
          <w:color w:val="auto"/>
        </w:rPr>
        <w:t xml:space="preserve">. Unless otherwise approved by the Board of Directors, including at least one Series A Director, all future employees and consultants of the Company who purchase, receive options to purchase, or receive awards of shares of the Company’s capital stock after the date hereof shall be required to execute restricted stock or option agreements, as applicable, providing for (i) vesting of shares over a four (4) year period, with the first twenty-five percent (25%) of such shares vesting following twelve (12) months of continued employment or service, and the remaining shares vesting in equal monthly installments over the following thirty-six (36) months, and (ii) a market stand- off provision substantially similar to that in </w:t>
      </w:r>
      <w:r>
        <w:rPr>
          <w:rFonts w:ascii="Arial" w:cs="Arial" w:eastAsia="Arial" w:hAnsi="Arial"/>
          <w:sz w:val="18"/>
          <w:szCs w:val="18"/>
          <w:u w:val="single" w:color="auto"/>
          <w:color w:val="auto"/>
        </w:rPr>
        <w:t>Subsection 2.11</w:t>
      </w:r>
      <w:r>
        <w:rPr>
          <w:rFonts w:ascii="Arial" w:cs="Arial" w:eastAsia="Arial" w:hAnsi="Arial"/>
          <w:sz w:val="18"/>
          <w:szCs w:val="18"/>
          <w:color w:val="auto"/>
        </w:rPr>
        <w:t>. In addition, unless otherwise approved by the Board of Directors, including at least one Series A Director, the Company shall retain a “right of first refusal” on employee transfers until the Company’s IPO and shall have the right to repurchase unvested shares at cost upon termination of employment of a holder of restricted stock.”</w:t>
      </w:r>
    </w:p>
    <w:p>
      <w:pPr>
        <w:spacing w:after="0" w:line="116" w:lineRule="exact"/>
        <w:rPr>
          <w:sz w:val="20"/>
          <w:szCs w:val="20"/>
          <w:color w:val="auto"/>
        </w:rPr>
      </w:pPr>
    </w:p>
    <w:p>
      <w:pPr>
        <w:ind w:right="540" w:firstLine="648"/>
        <w:spacing w:after="0" w:line="260" w:lineRule="auto"/>
        <w:rPr>
          <w:sz w:val="20"/>
          <w:szCs w:val="20"/>
          <w:color w:val="auto"/>
        </w:rPr>
      </w:pPr>
      <w:r>
        <w:rPr>
          <w:rFonts w:ascii="Arial" w:cs="Arial" w:eastAsia="Arial" w:hAnsi="Arial"/>
          <w:sz w:val="20"/>
          <w:szCs w:val="20"/>
          <w:color w:val="auto"/>
        </w:rPr>
        <w:t>1.4. The introductory language at the beginning of Section 5.4 of the Rights Agreement is hereby amended and restated in its entirety to read as follows:</w:t>
      </w:r>
    </w:p>
    <w:p>
      <w:pPr>
        <w:spacing w:after="0" w:line="123" w:lineRule="exact"/>
        <w:rPr>
          <w:sz w:val="20"/>
          <w:szCs w:val="20"/>
          <w:color w:val="auto"/>
        </w:rPr>
      </w:pPr>
    </w:p>
    <w:p>
      <w:pPr>
        <w:jc w:val="both"/>
        <w:ind w:left="1300"/>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Matters Requiring Investor Director Approval</w:t>
      </w:r>
      <w:r>
        <w:rPr>
          <w:rFonts w:ascii="Arial" w:cs="Arial" w:eastAsia="Arial" w:hAnsi="Arial"/>
          <w:sz w:val="19"/>
          <w:szCs w:val="19"/>
          <w:color w:val="auto"/>
        </w:rPr>
        <w:t>. So long as the holders of Series A Preferred Stock are entitled to elect a Series A Director, the Company hereby covenants and agrees with each of the Investors that it shall not, without approval of the Board of Directors, which approval must include the affirmative vote of at least one Series A Director:”.</w:t>
      </w:r>
    </w:p>
    <w:p>
      <w:pPr>
        <w:spacing w:after="0" w:line="110" w:lineRule="exact"/>
        <w:rPr>
          <w:sz w:val="20"/>
          <w:szCs w:val="20"/>
          <w:color w:val="auto"/>
        </w:rPr>
      </w:pPr>
    </w:p>
    <w:p>
      <w:pPr>
        <w:ind w:left="360" w:hanging="352"/>
        <w:spacing w:after="0"/>
        <w:tabs>
          <w:tab w:leader="none" w:pos="360" w:val="left"/>
        </w:tabs>
        <w:numPr>
          <w:ilvl w:val="0"/>
          <w:numId w:val="23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Miscellaneous</w:t>
      </w:r>
      <w:r>
        <w:rPr>
          <w:rFonts w:ascii="Arial" w:cs="Arial" w:eastAsia="Arial" w:hAnsi="Arial"/>
          <w:sz w:val="20"/>
          <w:szCs w:val="20"/>
          <w:b w:val="1"/>
          <w:bCs w:val="1"/>
          <w:color w:val="auto"/>
        </w:rPr>
        <w:t>.</w:t>
      </w:r>
    </w:p>
    <w:p>
      <w:pPr>
        <w:spacing w:after="0" w:line="168"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2.1. This Amendment may be signed in one or more counterparts, each of which shall be deemed an original, and all of which shall constitute one instrument.</w:t>
      </w:r>
    </w:p>
    <w:p>
      <w:pPr>
        <w:spacing w:after="0" w:line="123" w:lineRule="exact"/>
        <w:rPr>
          <w:sz w:val="20"/>
          <w:szCs w:val="20"/>
          <w:color w:val="auto"/>
        </w:rPr>
      </w:pPr>
    </w:p>
    <w:p>
      <w:pPr>
        <w:ind w:right="3140" w:firstLine="648"/>
        <w:spacing w:after="0" w:line="260" w:lineRule="auto"/>
        <w:rPr>
          <w:sz w:val="20"/>
          <w:szCs w:val="20"/>
          <w:color w:val="auto"/>
        </w:rPr>
      </w:pPr>
      <w:r>
        <w:rPr>
          <w:rFonts w:ascii="Arial" w:cs="Arial" w:eastAsia="Arial" w:hAnsi="Arial"/>
          <w:sz w:val="20"/>
          <w:szCs w:val="20"/>
          <w:color w:val="auto"/>
        </w:rPr>
        <w:t>2.2. Except as expressly modified by this Amendment, all of the terms and conditions of the Rights Agreement shall remain in full force and effect.</w:t>
      </w:r>
    </w:p>
    <w:p>
      <w:pPr>
        <w:sectPr>
          <w:pgSz w:w="11900" w:h="16838" w:orient="portrait"/>
          <w:cols w:equalWidth="0" w:num="1">
            <w:col w:w="11240"/>
          </w:cols>
          <w:pgMar w:left="320" w:top="1419" w:right="339" w:bottom="1440" w:gutter="0" w:footer="0" w:header="0"/>
        </w:sectPr>
      </w:pPr>
    </w:p>
    <w:bookmarkStart w:id="310" w:name="page311"/>
    <w:bookmarkEnd w:id="310"/>
    <w:p>
      <w:pPr>
        <w:ind w:firstLine="648"/>
        <w:spacing w:after="0" w:line="260" w:lineRule="auto"/>
        <w:rPr>
          <w:sz w:val="20"/>
          <w:szCs w:val="20"/>
          <w:color w:val="auto"/>
        </w:rPr>
      </w:pPr>
      <w:r>
        <w:rPr>
          <w:rFonts w:ascii="Arial" w:cs="Arial" w:eastAsia="Arial" w:hAnsi="Arial"/>
          <w:sz w:val="20"/>
          <w:szCs w:val="20"/>
          <w:color w:val="auto"/>
        </w:rPr>
        <w:t>2.3. This Amendment shall be governed by, and construed in accordance with, the laws of the State of Delaware, regardless of the laws that might otherwise govern under applicable principles of conflicts of laws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w:t>
      </w:r>
      <w:r>
        <w:rPr>
          <w:rFonts w:ascii="Arial" w:cs="Arial" w:eastAsia="Arial" w:hAnsi="Arial"/>
          <w:sz w:val="16"/>
          <w:szCs w:val="16"/>
          <w:color w:val="auto"/>
        </w:rPr>
        <w:t>EMAINDER OF</w:t>
      </w:r>
      <w:r>
        <w:rPr>
          <w:rFonts w:ascii="Arial" w:cs="Arial" w:eastAsia="Arial" w:hAnsi="Arial"/>
          <w:sz w:val="20"/>
          <w:szCs w:val="20"/>
          <w:color w:val="auto"/>
        </w:rPr>
        <w:t xml:space="preserve"> T</w:t>
      </w:r>
      <w:r>
        <w:rPr>
          <w:rFonts w:ascii="Arial" w:cs="Arial" w:eastAsia="Arial" w:hAnsi="Arial"/>
          <w:sz w:val="16"/>
          <w:szCs w:val="16"/>
          <w:color w:val="auto"/>
        </w:rPr>
        <w:t>HIS</w:t>
      </w:r>
      <w:r>
        <w:rPr>
          <w:rFonts w:ascii="Arial" w:cs="Arial" w:eastAsia="Arial" w:hAnsi="Arial"/>
          <w:sz w:val="20"/>
          <w:szCs w:val="20"/>
          <w:color w:val="auto"/>
        </w:rPr>
        <w:t xml:space="preserve"> P</w:t>
      </w:r>
      <w:r>
        <w:rPr>
          <w:rFonts w:ascii="Arial" w:cs="Arial" w:eastAsia="Arial" w:hAnsi="Arial"/>
          <w:sz w:val="16"/>
          <w:szCs w:val="16"/>
          <w:color w:val="auto"/>
        </w:rPr>
        <w:t>AGE</w:t>
      </w:r>
      <w:r>
        <w:rPr>
          <w:rFonts w:ascii="Arial" w:cs="Arial" w:eastAsia="Arial" w:hAnsi="Arial"/>
          <w:sz w:val="20"/>
          <w:szCs w:val="20"/>
          <w:color w:val="auto"/>
        </w:rPr>
        <w:t xml:space="preserve"> I</w:t>
      </w:r>
      <w:r>
        <w:rPr>
          <w:rFonts w:ascii="Arial" w:cs="Arial" w:eastAsia="Arial" w:hAnsi="Arial"/>
          <w:sz w:val="16"/>
          <w:szCs w:val="16"/>
          <w:color w:val="auto"/>
        </w:rPr>
        <w:t>NTENTIONALLY</w:t>
      </w:r>
      <w:r>
        <w:rPr>
          <w:rFonts w:ascii="Arial" w:cs="Arial" w:eastAsia="Arial" w:hAnsi="Arial"/>
          <w:sz w:val="20"/>
          <w:szCs w:val="20"/>
          <w:color w:val="auto"/>
        </w:rPr>
        <w:t xml:space="preserve"> L</w:t>
      </w:r>
      <w:r>
        <w:rPr>
          <w:rFonts w:ascii="Arial" w:cs="Arial" w:eastAsia="Arial" w:hAnsi="Arial"/>
          <w:sz w:val="16"/>
          <w:szCs w:val="16"/>
          <w:color w:val="auto"/>
        </w:rPr>
        <w:t>EFT</w:t>
      </w:r>
      <w:r>
        <w:rPr>
          <w:rFonts w:ascii="Arial" w:cs="Arial" w:eastAsia="Arial" w:hAnsi="Arial"/>
          <w:sz w:val="20"/>
          <w:szCs w:val="20"/>
          <w:color w:val="auto"/>
        </w:rPr>
        <w:t xml:space="preserve"> B</w:t>
      </w:r>
      <w:r>
        <w:rPr>
          <w:rFonts w:ascii="Arial" w:cs="Arial" w:eastAsia="Arial" w:hAnsi="Arial"/>
          <w:sz w:val="16"/>
          <w:szCs w:val="16"/>
          <w:color w:val="auto"/>
        </w:rPr>
        <w:t>LANK</w:t>
      </w:r>
      <w:r>
        <w:rPr>
          <w:rFonts w:ascii="Arial" w:cs="Arial" w:eastAsia="Arial" w:hAnsi="Arial"/>
          <w:sz w:val="20"/>
          <w:szCs w:val="20"/>
          <w:color w:val="auto"/>
        </w:rPr>
        <w:t>.]</w:t>
      </w:r>
    </w:p>
    <w:p>
      <w:pPr>
        <w:sectPr>
          <w:pgSz w:w="11900" w:h="16838" w:orient="portrait"/>
          <w:cols w:equalWidth="0" w:num="1">
            <w:col w:w="11240"/>
          </w:cols>
          <w:pgMar w:left="320" w:top="1419" w:right="339" w:bottom="1440" w:gutter="0" w:footer="0" w:header="0"/>
        </w:sectPr>
      </w:pPr>
    </w:p>
    <w:bookmarkStart w:id="311" w:name="page312"/>
    <w:bookmarkEnd w:id="311"/>
    <w:p>
      <w:pPr>
        <w:ind w:firstLine="648"/>
        <w:spacing w:after="0" w:line="267"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16"/>
          <w:szCs w:val="16"/>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6"/>
          <w:szCs w:val="16"/>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6"/>
          <w:szCs w:val="16"/>
          <w:b w:val="1"/>
          <w:bCs w:val="1"/>
          <w:color w:val="auto"/>
        </w:rPr>
        <w:t>HEREOF</w:t>
      </w:r>
      <w:r>
        <w:rPr>
          <w:rFonts w:ascii="Arial" w:cs="Arial" w:eastAsia="Arial" w:hAnsi="Arial"/>
          <w:sz w:val="20"/>
          <w:szCs w:val="20"/>
          <w:b w:val="1"/>
          <w:bCs w:val="1"/>
          <w:color w:val="auto"/>
        </w:rPr>
        <w:t xml:space="preserve">, </w:t>
      </w:r>
      <w:r>
        <w:rPr>
          <w:rFonts w:ascii="Arial" w:cs="Arial" w:eastAsia="Arial" w:hAnsi="Arial"/>
          <w:sz w:val="20"/>
          <w:szCs w:val="20"/>
          <w:color w:val="auto"/>
        </w:rPr>
        <w:t>the parties hereto have executed this</w:t>
      </w:r>
      <w:r>
        <w:rPr>
          <w:rFonts w:ascii="Arial" w:cs="Arial" w:eastAsia="Arial" w:hAnsi="Arial"/>
          <w:sz w:val="20"/>
          <w:szCs w:val="20"/>
          <w:b w:val="1"/>
          <w:bCs w:val="1"/>
          <w:color w:val="auto"/>
        </w:rPr>
        <w:t xml:space="preserve"> A</w:t>
      </w:r>
      <w:r>
        <w:rPr>
          <w:rFonts w:ascii="Arial" w:cs="Arial" w:eastAsia="Arial" w:hAnsi="Arial"/>
          <w:sz w:val="16"/>
          <w:szCs w:val="16"/>
          <w:b w:val="1"/>
          <w:bCs w:val="1"/>
          <w:color w:val="auto"/>
        </w:rPr>
        <w:t>MENDMENT</w:t>
      </w:r>
      <w:r>
        <w:rPr>
          <w:rFonts w:ascii="Arial" w:cs="Arial" w:eastAsia="Arial" w:hAnsi="Arial"/>
          <w:sz w:val="20"/>
          <w:szCs w:val="20"/>
          <w:b w:val="1"/>
          <w:bCs w:val="1"/>
          <w:color w:val="auto"/>
        </w:rPr>
        <w:t xml:space="preserve"> N</w:t>
      </w:r>
      <w:r>
        <w:rPr>
          <w:rFonts w:ascii="Arial" w:cs="Arial" w:eastAsia="Arial" w:hAnsi="Arial"/>
          <w:sz w:val="16"/>
          <w:szCs w:val="16"/>
          <w:b w:val="1"/>
          <w:bCs w:val="1"/>
          <w:color w:val="auto"/>
        </w:rPr>
        <w:t>O</w:t>
      </w:r>
      <w:r>
        <w:rPr>
          <w:rFonts w:ascii="Arial" w:cs="Arial" w:eastAsia="Arial" w:hAnsi="Arial"/>
          <w:sz w:val="20"/>
          <w:szCs w:val="20"/>
          <w:b w:val="1"/>
          <w:bCs w:val="1"/>
          <w:color w:val="auto"/>
        </w:rPr>
        <w:t xml:space="preserve">. 4 </w:t>
      </w:r>
      <w:r>
        <w:rPr>
          <w:rFonts w:ascii="Arial" w:cs="Arial" w:eastAsia="Arial" w:hAnsi="Arial"/>
          <w:sz w:val="16"/>
          <w:szCs w:val="16"/>
          <w:b w:val="1"/>
          <w:bCs w:val="1"/>
          <w:color w:val="auto"/>
        </w:rPr>
        <w:t>TO THE</w:t>
      </w:r>
      <w:r>
        <w:rPr>
          <w:rFonts w:ascii="Arial" w:cs="Arial" w:eastAsia="Arial" w:hAnsi="Arial"/>
          <w:sz w:val="20"/>
          <w:szCs w:val="20"/>
          <w:b w:val="1"/>
          <w:bCs w:val="1"/>
          <w:color w:val="auto"/>
        </w:rPr>
        <w:t xml:space="preserve"> I</w:t>
      </w:r>
      <w:r>
        <w:rPr>
          <w:rFonts w:ascii="Arial" w:cs="Arial" w:eastAsia="Arial" w:hAnsi="Arial"/>
          <w:sz w:val="16"/>
          <w:szCs w:val="16"/>
          <w:b w:val="1"/>
          <w:bCs w:val="1"/>
          <w:color w:val="auto"/>
        </w:rPr>
        <w:t>NVESTORS</w:t>
      </w:r>
      <w:r>
        <w:rPr>
          <w:rFonts w:ascii="Arial" w:cs="Arial" w:eastAsia="Arial" w:hAnsi="Arial"/>
          <w:sz w:val="20"/>
          <w:szCs w:val="20"/>
          <w:b w:val="1"/>
          <w:bCs w:val="1"/>
          <w:color w:val="auto"/>
        </w:rPr>
        <w:t>’ R</w:t>
      </w:r>
      <w:r>
        <w:rPr>
          <w:rFonts w:ascii="Arial" w:cs="Arial" w:eastAsia="Arial" w:hAnsi="Arial"/>
          <w:sz w:val="16"/>
          <w:szCs w:val="16"/>
          <w:b w:val="1"/>
          <w:bCs w:val="1"/>
          <w:color w:val="auto"/>
        </w:rPr>
        <w:t>IGHTS</w:t>
      </w:r>
      <w:r>
        <w:rPr>
          <w:rFonts w:ascii="Arial" w:cs="Arial" w:eastAsia="Arial" w:hAnsi="Arial"/>
          <w:sz w:val="20"/>
          <w:szCs w:val="20"/>
          <w:b w:val="1"/>
          <w:bCs w:val="1"/>
          <w:color w:val="auto"/>
        </w:rPr>
        <w:t xml:space="preserve"> A</w:t>
      </w:r>
      <w:r>
        <w:rPr>
          <w:rFonts w:ascii="Arial" w:cs="Arial" w:eastAsia="Arial" w:hAnsi="Arial"/>
          <w:sz w:val="16"/>
          <w:szCs w:val="16"/>
          <w:b w:val="1"/>
          <w:bCs w:val="1"/>
          <w:color w:val="auto"/>
        </w:rPr>
        <w:t>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as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date set forth in the first paragraph hereof.</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COMPANY:</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N</w:t>
      </w:r>
      <w:r>
        <w:rPr>
          <w:rFonts w:ascii="Arial" w:cs="Arial" w:eastAsia="Arial" w:hAnsi="Arial"/>
          <w:sz w:val="16"/>
          <w:szCs w:val="16"/>
          <w:b w:val="1"/>
          <w:bCs w:val="1"/>
          <w:color w:val="auto"/>
        </w:rPr>
        <w:t>ERD</w:t>
      </w:r>
      <w:r>
        <w:rPr>
          <w:rFonts w:ascii="Arial" w:cs="Arial" w:eastAsia="Arial" w:hAnsi="Arial"/>
          <w:sz w:val="20"/>
          <w:szCs w:val="20"/>
          <w:b w:val="1"/>
          <w:bCs w:val="1"/>
          <w:color w:val="auto"/>
        </w:rPr>
        <w:t>W</w:t>
      </w:r>
      <w:r>
        <w:rPr>
          <w:rFonts w:ascii="Arial" w:cs="Arial" w:eastAsia="Arial" w:hAnsi="Arial"/>
          <w:sz w:val="16"/>
          <w:szCs w:val="16"/>
          <w:b w:val="1"/>
          <w:bCs w:val="1"/>
          <w:color w:val="auto"/>
        </w:rPr>
        <w:t>ALLET,</w:t>
      </w:r>
      <w:r>
        <w:rPr>
          <w:rFonts w:ascii="Arial" w:cs="Arial" w:eastAsia="Arial" w:hAnsi="Arial"/>
          <w:sz w:val="20"/>
          <w:szCs w:val="20"/>
          <w:b w:val="1"/>
          <w:bCs w:val="1"/>
          <w:color w:val="auto"/>
        </w:rPr>
        <w:t xml:space="preserve"> I</w:t>
      </w:r>
      <w:r>
        <w:rPr>
          <w:rFonts w:ascii="Arial" w:cs="Arial" w:eastAsia="Arial" w:hAnsi="Arial"/>
          <w:sz w:val="16"/>
          <w:szCs w:val="16"/>
          <w:b w:val="1"/>
          <w:bCs w:val="1"/>
          <w:color w:val="auto"/>
        </w:rPr>
        <w:t>NC.</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940" w:type="dxa"/>
            <w:vAlign w:val="bottom"/>
          </w:tcPr>
          <w:p>
            <w:pPr>
              <w:spacing w:after="0"/>
              <w:rPr>
                <w:sz w:val="20"/>
                <w:szCs w:val="20"/>
                <w:color w:val="auto"/>
              </w:rPr>
            </w:pPr>
            <w:r>
              <w:rPr>
                <w:rFonts w:ascii="Arial" w:cs="Arial" w:eastAsia="Arial" w:hAnsi="Arial"/>
                <w:sz w:val="20"/>
                <w:szCs w:val="20"/>
                <w:color w:val="auto"/>
              </w:rPr>
              <w:t>Signature:</w:t>
            </w:r>
          </w:p>
        </w:tc>
        <w:tc>
          <w:tcPr>
            <w:tcW w:w="280" w:type="dxa"/>
            <w:vAlign w:val="bottom"/>
          </w:tcPr>
          <w:p>
            <w:pPr>
              <w:spacing w:after="0"/>
              <w:rPr>
                <w:sz w:val="21"/>
                <w:szCs w:val="21"/>
                <w:color w:val="auto"/>
              </w:rPr>
            </w:pPr>
          </w:p>
        </w:tc>
        <w:tc>
          <w:tcPr>
            <w:tcW w:w="4820" w:type="dxa"/>
            <w:vAlign w:val="bottom"/>
            <w:gridSpan w:val="2"/>
          </w:tcPr>
          <w:p>
            <w:pPr>
              <w:ind w:left="20"/>
              <w:spacing w:after="0"/>
              <w:rPr>
                <w:sz w:val="20"/>
                <w:szCs w:val="20"/>
                <w:color w:val="auto"/>
              </w:rPr>
            </w:pPr>
            <w:r>
              <w:rPr>
                <w:rFonts w:ascii="Arial" w:cs="Arial" w:eastAsia="Arial" w:hAnsi="Arial"/>
                <w:sz w:val="20"/>
                <w:szCs w:val="20"/>
                <w:color w:val="auto"/>
              </w:rPr>
              <w:t>/s/ Tim Chen</w:t>
            </w:r>
          </w:p>
        </w:tc>
      </w:tr>
      <w:tr>
        <w:trPr>
          <w:trHeight w:val="23"/>
        </w:trPr>
        <w:tc>
          <w:tcPr>
            <w:tcW w:w="122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403"/>
        </w:trPr>
        <w:tc>
          <w:tcPr>
            <w:tcW w:w="1220" w:type="dxa"/>
            <w:vAlign w:val="bottom"/>
            <w:gridSpan w:val="2"/>
          </w:tcPr>
          <w:p>
            <w:pPr>
              <w:spacing w:after="0"/>
              <w:rPr>
                <w:sz w:val="20"/>
                <w:szCs w:val="20"/>
                <w:color w:val="auto"/>
              </w:rPr>
            </w:pPr>
            <w:r>
              <w:rPr>
                <w:rFonts w:ascii="Arial" w:cs="Arial" w:eastAsia="Arial" w:hAnsi="Arial"/>
                <w:sz w:val="20"/>
                <w:szCs w:val="20"/>
                <w:color w:val="auto"/>
              </w:rPr>
              <w:t>Print Name:</w:t>
            </w:r>
          </w:p>
        </w:tc>
        <w:tc>
          <w:tcPr>
            <w:tcW w:w="300" w:type="dxa"/>
            <w:vAlign w:val="bottom"/>
          </w:tcPr>
          <w:p>
            <w:pPr>
              <w:spacing w:after="0"/>
              <w:rPr>
                <w:sz w:val="24"/>
                <w:szCs w:val="24"/>
                <w:color w:val="auto"/>
              </w:rPr>
            </w:pPr>
          </w:p>
        </w:tc>
        <w:tc>
          <w:tcPr>
            <w:tcW w:w="4520" w:type="dxa"/>
            <w:vAlign w:val="bottom"/>
          </w:tcPr>
          <w:p>
            <w:pPr>
              <w:ind w:left="20"/>
              <w:spacing w:after="0"/>
              <w:rPr>
                <w:sz w:val="20"/>
                <w:szCs w:val="20"/>
                <w:color w:val="auto"/>
              </w:rPr>
            </w:pPr>
            <w:r>
              <w:rPr>
                <w:rFonts w:ascii="Arial" w:cs="Arial" w:eastAsia="Arial" w:hAnsi="Arial"/>
                <w:sz w:val="20"/>
                <w:szCs w:val="20"/>
                <w:color w:val="auto"/>
              </w:rPr>
              <w:t>Tim Chen</w:t>
            </w:r>
          </w:p>
        </w:tc>
      </w:tr>
      <w:tr>
        <w:trPr>
          <w:trHeight w:val="23"/>
        </w:trPr>
        <w:tc>
          <w:tcPr>
            <w:tcW w:w="94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403"/>
        </w:trPr>
        <w:tc>
          <w:tcPr>
            <w:tcW w:w="940" w:type="dxa"/>
            <w:vAlign w:val="bottom"/>
          </w:tcPr>
          <w:p>
            <w:pPr>
              <w:spacing w:after="0"/>
              <w:rPr>
                <w:sz w:val="20"/>
                <w:szCs w:val="20"/>
                <w:color w:val="auto"/>
              </w:rPr>
            </w:pPr>
            <w:r>
              <w:rPr>
                <w:rFonts w:ascii="Arial" w:cs="Arial" w:eastAsia="Arial" w:hAnsi="Arial"/>
                <w:sz w:val="20"/>
                <w:szCs w:val="20"/>
                <w:color w:val="auto"/>
              </w:rPr>
              <w:t>Title:</w:t>
            </w:r>
          </w:p>
        </w:tc>
        <w:tc>
          <w:tcPr>
            <w:tcW w:w="5100" w:type="dxa"/>
            <w:vAlign w:val="bottom"/>
            <w:gridSpan w:val="3"/>
          </w:tcPr>
          <w:p>
            <w:pPr>
              <w:ind w:left="20"/>
              <w:spacing w:after="0"/>
              <w:rPr>
                <w:sz w:val="20"/>
                <w:szCs w:val="20"/>
                <w:color w:val="auto"/>
              </w:rPr>
            </w:pPr>
            <w:r>
              <w:rPr>
                <w:rFonts w:ascii="Arial" w:cs="Arial" w:eastAsia="Arial" w:hAnsi="Arial"/>
                <w:sz w:val="20"/>
                <w:szCs w:val="20"/>
                <w:color w:val="auto"/>
              </w:rPr>
              <w:t>President and Chief Executive Officer</w:t>
            </w:r>
          </w:p>
        </w:tc>
      </w:tr>
      <w:tr>
        <w:trPr>
          <w:trHeight w:val="23"/>
        </w:trPr>
        <w:tc>
          <w:tcPr>
            <w:tcW w:w="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to Amendment No. 4 to the Amended and Restated Investor Rights Agreement]</w:t>
      </w:r>
    </w:p>
    <w:p>
      <w:pPr>
        <w:sectPr>
          <w:pgSz w:w="11900" w:h="16838" w:orient="portrait"/>
          <w:cols w:equalWidth="0" w:num="1">
            <w:col w:w="11200"/>
          </w:cols>
          <w:pgMar w:left="320" w:top="1413" w:right="379" w:bottom="1440" w:gutter="0" w:footer="0" w:header="0"/>
        </w:sectPr>
      </w:pPr>
    </w:p>
    <w:bookmarkStart w:id="312" w:name="page313"/>
    <w:bookmarkEnd w:id="312"/>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16"/>
          <w:szCs w:val="16"/>
          <w:b w:val="1"/>
          <w:bCs w:val="1"/>
          <w:color w:val="auto"/>
        </w:rPr>
        <w:t>NSTITUTIONAL</w:t>
      </w:r>
      <w:r>
        <w:rPr>
          <w:rFonts w:ascii="Arial" w:cs="Arial" w:eastAsia="Arial" w:hAnsi="Arial"/>
          <w:sz w:val="20"/>
          <w:szCs w:val="20"/>
          <w:b w:val="1"/>
          <w:bCs w:val="1"/>
          <w:color w:val="auto"/>
        </w:rPr>
        <w:t xml:space="preserve"> V</w:t>
      </w:r>
      <w:r>
        <w:rPr>
          <w:rFonts w:ascii="Arial" w:cs="Arial" w:eastAsia="Arial" w:hAnsi="Arial"/>
          <w:sz w:val="16"/>
          <w:szCs w:val="16"/>
          <w:b w:val="1"/>
          <w:bCs w:val="1"/>
          <w:color w:val="auto"/>
        </w:rPr>
        <w:t>ENTURE</w:t>
      </w:r>
      <w:r>
        <w:rPr>
          <w:rFonts w:ascii="Arial" w:cs="Arial" w:eastAsia="Arial" w:hAnsi="Arial"/>
          <w:sz w:val="20"/>
          <w:szCs w:val="20"/>
          <w:b w:val="1"/>
          <w:bCs w:val="1"/>
          <w:color w:val="auto"/>
        </w:rPr>
        <w:t xml:space="preserve"> P</w:t>
      </w:r>
      <w:r>
        <w:rPr>
          <w:rFonts w:ascii="Arial" w:cs="Arial" w:eastAsia="Arial" w:hAnsi="Arial"/>
          <w:sz w:val="16"/>
          <w:szCs w:val="16"/>
          <w:b w:val="1"/>
          <w:bCs w:val="1"/>
          <w:color w:val="auto"/>
        </w:rPr>
        <w:t>ARTNERS</w:t>
      </w:r>
      <w:r>
        <w:rPr>
          <w:rFonts w:ascii="Arial" w:cs="Arial" w:eastAsia="Arial" w:hAnsi="Arial"/>
          <w:sz w:val="20"/>
          <w:szCs w:val="20"/>
          <w:b w:val="1"/>
          <w:bCs w:val="1"/>
          <w:color w:val="auto"/>
        </w:rPr>
        <w:t xml:space="preserve"> XIV, L.P.</w:t>
      </w:r>
    </w:p>
    <w:p>
      <w:pPr>
        <w:spacing w:after="0" w:line="54"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B</w:t>
      </w:r>
      <w:r>
        <w:rPr>
          <w:rFonts w:ascii="Arial" w:cs="Arial" w:eastAsia="Arial" w:hAnsi="Arial"/>
          <w:sz w:val="16"/>
          <w:szCs w:val="16"/>
          <w:b w:val="1"/>
          <w:bCs w:val="1"/>
          <w:color w:val="auto"/>
        </w:rPr>
        <w:t>Y:</w:t>
      </w:r>
      <w:r>
        <w:rPr>
          <w:sz w:val="20"/>
          <w:szCs w:val="20"/>
          <w:color w:val="auto"/>
        </w:rPr>
        <w:tab/>
      </w:r>
      <w:r>
        <w:rPr>
          <w:rFonts w:ascii="Arial" w:cs="Arial" w:eastAsia="Arial" w:hAnsi="Arial"/>
          <w:sz w:val="20"/>
          <w:szCs w:val="20"/>
          <w:b w:val="1"/>
          <w:bCs w:val="1"/>
          <w:color w:val="auto"/>
        </w:rPr>
        <w:t>I</w:t>
      </w:r>
      <w:r>
        <w:rPr>
          <w:rFonts w:ascii="Arial" w:cs="Arial" w:eastAsia="Arial" w:hAnsi="Arial"/>
          <w:sz w:val="16"/>
          <w:szCs w:val="16"/>
          <w:b w:val="1"/>
          <w:bCs w:val="1"/>
          <w:color w:val="auto"/>
        </w:rPr>
        <w:t>NSTITUTIONAL</w:t>
      </w:r>
      <w:r>
        <w:rPr>
          <w:rFonts w:ascii="Arial" w:cs="Arial" w:eastAsia="Arial" w:hAnsi="Arial"/>
          <w:sz w:val="20"/>
          <w:szCs w:val="20"/>
          <w:b w:val="1"/>
          <w:bCs w:val="1"/>
          <w:color w:val="auto"/>
        </w:rPr>
        <w:t xml:space="preserve"> V</w:t>
      </w:r>
      <w:r>
        <w:rPr>
          <w:rFonts w:ascii="Arial" w:cs="Arial" w:eastAsia="Arial" w:hAnsi="Arial"/>
          <w:sz w:val="16"/>
          <w:szCs w:val="16"/>
          <w:b w:val="1"/>
          <w:bCs w:val="1"/>
          <w:color w:val="auto"/>
        </w:rPr>
        <w:t>ENTURE</w:t>
      </w:r>
      <w:r>
        <w:rPr>
          <w:rFonts w:ascii="Arial" w:cs="Arial" w:eastAsia="Arial" w:hAnsi="Arial"/>
          <w:sz w:val="20"/>
          <w:szCs w:val="20"/>
          <w:b w:val="1"/>
          <w:bCs w:val="1"/>
          <w:color w:val="auto"/>
        </w:rPr>
        <w:t xml:space="preserve"> M</w:t>
      </w:r>
      <w:r>
        <w:rPr>
          <w:rFonts w:ascii="Arial" w:cs="Arial" w:eastAsia="Arial" w:hAnsi="Arial"/>
          <w:sz w:val="16"/>
          <w:szCs w:val="16"/>
          <w:b w:val="1"/>
          <w:bCs w:val="1"/>
          <w:color w:val="auto"/>
        </w:rPr>
        <w:t>ANAGEMENT</w:t>
      </w:r>
      <w:r>
        <w:rPr>
          <w:rFonts w:ascii="Arial" w:cs="Arial" w:eastAsia="Arial" w:hAnsi="Arial"/>
          <w:sz w:val="20"/>
          <w:szCs w:val="20"/>
          <w:b w:val="1"/>
          <w:bCs w:val="1"/>
          <w:color w:val="auto"/>
        </w:rPr>
        <w:t xml:space="preserve"> XIV LLC</w:t>
      </w:r>
    </w:p>
    <w:p>
      <w:pPr>
        <w:spacing w:after="0" w:line="54"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I</w:t>
      </w:r>
      <w:r>
        <w:rPr>
          <w:rFonts w:ascii="Arial" w:cs="Arial" w:eastAsia="Arial" w:hAnsi="Arial"/>
          <w:sz w:val="16"/>
          <w:szCs w:val="16"/>
          <w:b w:val="1"/>
          <w:bCs w:val="1"/>
          <w:color w:val="auto"/>
        </w:rPr>
        <w:t>TS:</w:t>
      </w:r>
      <w:r>
        <w:rPr>
          <w:sz w:val="20"/>
          <w:szCs w:val="20"/>
          <w:color w:val="auto"/>
        </w:rPr>
        <w:tab/>
      </w:r>
      <w:r>
        <w:rPr>
          <w:rFonts w:ascii="Arial" w:cs="Arial" w:eastAsia="Arial" w:hAnsi="Arial"/>
          <w:sz w:val="19"/>
          <w:szCs w:val="19"/>
          <w:b w:val="1"/>
          <w:bCs w:val="1"/>
          <w:color w:val="auto"/>
        </w:rPr>
        <w:t>G</w:t>
      </w:r>
      <w:r>
        <w:rPr>
          <w:rFonts w:ascii="Arial" w:cs="Arial" w:eastAsia="Arial" w:hAnsi="Arial"/>
          <w:sz w:val="15"/>
          <w:szCs w:val="15"/>
          <w:b w:val="1"/>
          <w:bCs w:val="1"/>
          <w:color w:val="auto"/>
        </w:rPr>
        <w:t>ENERAL</w:t>
      </w:r>
      <w:r>
        <w:rPr>
          <w:rFonts w:ascii="Arial" w:cs="Arial" w:eastAsia="Arial" w:hAnsi="Arial"/>
          <w:sz w:val="19"/>
          <w:szCs w:val="19"/>
          <w:b w:val="1"/>
          <w:bCs w:val="1"/>
          <w:color w:val="auto"/>
        </w:rPr>
        <w:t xml:space="preserve"> P</w:t>
      </w:r>
      <w:r>
        <w:rPr>
          <w:rFonts w:ascii="Arial" w:cs="Arial" w:eastAsia="Arial" w:hAnsi="Arial"/>
          <w:sz w:val="15"/>
          <w:szCs w:val="15"/>
          <w:b w:val="1"/>
          <w:bCs w:val="1"/>
          <w:color w:val="auto"/>
        </w:rPr>
        <w:t>ARTNER</w:t>
      </w:r>
    </w:p>
    <w:p>
      <w:pPr>
        <w:spacing w:after="0" w:line="222"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Tom Loverro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27305</wp:posOffset>
            </wp:positionV>
            <wp:extent cx="332613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96"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Tom Loverro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27305</wp:posOffset>
            </wp:positionV>
            <wp:extent cx="326580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96"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27305</wp:posOffset>
            </wp:positionV>
            <wp:extent cx="332613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RRE VENTURES VI, LP</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5240" w:type="dxa"/>
            <w:vAlign w:val="bottom"/>
            <w:gridSpan w:val="2"/>
          </w:tcPr>
          <w:p>
            <w:pPr>
              <w:ind w:left="20"/>
              <w:spacing w:after="0"/>
              <w:rPr>
                <w:sz w:val="20"/>
                <w:szCs w:val="20"/>
                <w:color w:val="auto"/>
              </w:rPr>
            </w:pPr>
            <w:r>
              <w:rPr>
                <w:rFonts w:ascii="Arial" w:cs="Arial" w:eastAsia="Arial" w:hAnsi="Arial"/>
                <w:sz w:val="20"/>
                <w:szCs w:val="20"/>
                <w:color w:val="auto"/>
              </w:rPr>
              <w:t>/s/ William Porteous</w:t>
            </w:r>
          </w:p>
        </w:tc>
      </w:tr>
      <w:tr>
        <w:trPr>
          <w:trHeight w:val="23"/>
        </w:trPr>
        <w:tc>
          <w:tcPr>
            <w:tcW w:w="7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403"/>
        </w:trPr>
        <w:tc>
          <w:tcPr>
            <w:tcW w:w="760" w:type="dxa"/>
            <w:vAlign w:val="bottom"/>
          </w:tcPr>
          <w:p>
            <w:pPr>
              <w:spacing w:after="0"/>
              <w:rPr>
                <w:sz w:val="20"/>
                <w:szCs w:val="20"/>
                <w:color w:val="auto"/>
              </w:rPr>
            </w:pPr>
            <w:r>
              <w:rPr>
                <w:rFonts w:ascii="Arial" w:cs="Arial" w:eastAsia="Arial" w:hAnsi="Arial"/>
                <w:sz w:val="20"/>
                <w:szCs w:val="20"/>
                <w:color w:val="auto"/>
              </w:rPr>
              <w:t>Name:</w:t>
            </w:r>
          </w:p>
        </w:tc>
        <w:tc>
          <w:tcPr>
            <w:tcW w:w="100" w:type="dxa"/>
            <w:vAlign w:val="bottom"/>
          </w:tcPr>
          <w:p>
            <w:pPr>
              <w:spacing w:after="0"/>
              <w:rPr>
                <w:sz w:val="24"/>
                <w:szCs w:val="24"/>
                <w:color w:val="auto"/>
              </w:rPr>
            </w:pPr>
          </w:p>
        </w:tc>
        <w:tc>
          <w:tcPr>
            <w:tcW w:w="5140" w:type="dxa"/>
            <w:vAlign w:val="bottom"/>
          </w:tcPr>
          <w:p>
            <w:pPr>
              <w:ind w:left="20"/>
              <w:spacing w:after="0"/>
              <w:rPr>
                <w:sz w:val="20"/>
                <w:szCs w:val="20"/>
                <w:color w:val="auto"/>
              </w:rPr>
            </w:pPr>
            <w:r>
              <w:rPr>
                <w:rFonts w:ascii="Arial" w:cs="Arial" w:eastAsia="Arial" w:hAnsi="Arial"/>
                <w:sz w:val="20"/>
                <w:szCs w:val="20"/>
                <w:color w:val="auto"/>
              </w:rPr>
              <w:t>William Porteous</w:t>
            </w:r>
          </w:p>
        </w:tc>
      </w:tr>
      <w:tr>
        <w:trPr>
          <w:trHeight w:val="23"/>
        </w:trPr>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403"/>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5240" w:type="dxa"/>
            <w:vAlign w:val="bottom"/>
            <w:gridSpan w:val="2"/>
          </w:tcPr>
          <w:p>
            <w:pPr>
              <w:ind w:left="20"/>
              <w:spacing w:after="0"/>
              <w:rPr>
                <w:sz w:val="20"/>
                <w:szCs w:val="20"/>
                <w:color w:val="auto"/>
              </w:rPr>
            </w:pPr>
            <w:r>
              <w:rPr>
                <w:rFonts w:ascii="Arial" w:cs="Arial" w:eastAsia="Arial" w:hAnsi="Arial"/>
                <w:sz w:val="20"/>
                <w:szCs w:val="20"/>
                <w:color w:val="auto"/>
              </w:rPr>
              <w:t>General Partner and COO</w:t>
            </w:r>
          </w:p>
        </w:tc>
      </w:tr>
      <w:tr>
        <w:trPr>
          <w:trHeight w:val="23"/>
        </w:trPr>
        <w:tc>
          <w:tcPr>
            <w:tcW w:w="760" w:type="dxa"/>
            <w:vAlign w:val="bottom"/>
          </w:tcPr>
          <w:p>
            <w:pPr>
              <w:spacing w:after="0"/>
              <w:rPr>
                <w:sz w:val="2"/>
                <w:szCs w:val="2"/>
                <w:color w:val="auto"/>
              </w:rPr>
            </w:pPr>
          </w:p>
        </w:tc>
        <w:tc>
          <w:tcPr>
            <w:tcW w:w="5240" w:type="dxa"/>
            <w:vAlign w:val="bottom"/>
            <w:tcBorders>
              <w:bottom w:val="single" w:sz="8" w:color="auto"/>
            </w:tcBorders>
            <w:gridSpan w:val="2"/>
          </w:tcPr>
          <w:p>
            <w:pPr>
              <w:spacing w:after="0"/>
              <w:rPr>
                <w:sz w:val="2"/>
                <w:szCs w:val="2"/>
                <w:color w:val="auto"/>
              </w:rPr>
            </w:pPr>
          </w:p>
        </w:tc>
      </w:tr>
      <w:tr>
        <w:trPr>
          <w:trHeight w:val="565"/>
        </w:trPr>
        <w:tc>
          <w:tcPr>
            <w:tcW w:w="6000" w:type="dxa"/>
            <w:vAlign w:val="bottom"/>
            <w:gridSpan w:val="3"/>
          </w:tcPr>
          <w:p>
            <w:pPr>
              <w:spacing w:after="0"/>
              <w:rPr>
                <w:sz w:val="20"/>
                <w:szCs w:val="20"/>
                <w:color w:val="auto"/>
              </w:rPr>
            </w:pPr>
            <w:r>
              <w:rPr>
                <w:rFonts w:ascii="Arial" w:cs="Arial" w:eastAsia="Arial" w:hAnsi="Arial"/>
                <w:sz w:val="20"/>
                <w:szCs w:val="20"/>
                <w:b w:val="1"/>
                <w:bCs w:val="1"/>
                <w:color w:val="auto"/>
              </w:rPr>
              <w:t>RRE LEADERS FUND, LP</w:t>
            </w:r>
          </w:p>
        </w:tc>
      </w:tr>
      <w:tr>
        <w:trPr>
          <w:trHeight w:val="445"/>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5240" w:type="dxa"/>
            <w:vAlign w:val="bottom"/>
            <w:gridSpan w:val="2"/>
          </w:tcPr>
          <w:p>
            <w:pPr>
              <w:ind w:left="20"/>
              <w:spacing w:after="0"/>
              <w:rPr>
                <w:sz w:val="20"/>
                <w:szCs w:val="20"/>
                <w:color w:val="auto"/>
              </w:rPr>
            </w:pPr>
            <w:r>
              <w:rPr>
                <w:rFonts w:ascii="Arial" w:cs="Arial" w:eastAsia="Arial" w:hAnsi="Arial"/>
                <w:sz w:val="20"/>
                <w:szCs w:val="20"/>
                <w:color w:val="auto"/>
              </w:rPr>
              <w:t>/s/ William Porteous</w:t>
            </w:r>
          </w:p>
        </w:tc>
      </w:tr>
      <w:tr>
        <w:trPr>
          <w:trHeight w:val="23"/>
        </w:trPr>
        <w:tc>
          <w:tcPr>
            <w:tcW w:w="7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402"/>
        </w:trPr>
        <w:tc>
          <w:tcPr>
            <w:tcW w:w="760" w:type="dxa"/>
            <w:vAlign w:val="bottom"/>
          </w:tcPr>
          <w:p>
            <w:pPr>
              <w:spacing w:after="0"/>
              <w:rPr>
                <w:sz w:val="20"/>
                <w:szCs w:val="20"/>
                <w:color w:val="auto"/>
              </w:rPr>
            </w:pPr>
            <w:r>
              <w:rPr>
                <w:rFonts w:ascii="Arial" w:cs="Arial" w:eastAsia="Arial" w:hAnsi="Arial"/>
                <w:sz w:val="20"/>
                <w:szCs w:val="20"/>
                <w:color w:val="auto"/>
              </w:rPr>
              <w:t>Name:</w:t>
            </w:r>
          </w:p>
        </w:tc>
        <w:tc>
          <w:tcPr>
            <w:tcW w:w="100" w:type="dxa"/>
            <w:vAlign w:val="bottom"/>
          </w:tcPr>
          <w:p>
            <w:pPr>
              <w:spacing w:after="0"/>
              <w:rPr>
                <w:sz w:val="24"/>
                <w:szCs w:val="24"/>
                <w:color w:val="auto"/>
              </w:rPr>
            </w:pPr>
          </w:p>
        </w:tc>
        <w:tc>
          <w:tcPr>
            <w:tcW w:w="5140" w:type="dxa"/>
            <w:vAlign w:val="bottom"/>
          </w:tcPr>
          <w:p>
            <w:pPr>
              <w:ind w:left="20"/>
              <w:spacing w:after="0"/>
              <w:rPr>
                <w:sz w:val="20"/>
                <w:szCs w:val="20"/>
                <w:color w:val="auto"/>
              </w:rPr>
            </w:pPr>
            <w:r>
              <w:rPr>
                <w:rFonts w:ascii="Arial" w:cs="Arial" w:eastAsia="Arial" w:hAnsi="Arial"/>
                <w:sz w:val="20"/>
                <w:szCs w:val="20"/>
                <w:color w:val="auto"/>
              </w:rPr>
              <w:t>William Porteous</w:t>
            </w:r>
          </w:p>
        </w:tc>
      </w:tr>
      <w:tr>
        <w:trPr>
          <w:trHeight w:val="23"/>
        </w:trPr>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402"/>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5240" w:type="dxa"/>
            <w:vAlign w:val="bottom"/>
            <w:gridSpan w:val="2"/>
          </w:tcPr>
          <w:p>
            <w:pPr>
              <w:ind w:left="20"/>
              <w:spacing w:after="0"/>
              <w:rPr>
                <w:sz w:val="20"/>
                <w:szCs w:val="20"/>
                <w:color w:val="auto"/>
              </w:rPr>
            </w:pPr>
            <w:r>
              <w:rPr>
                <w:rFonts w:ascii="Arial" w:cs="Arial" w:eastAsia="Arial" w:hAnsi="Arial"/>
                <w:sz w:val="20"/>
                <w:szCs w:val="20"/>
                <w:color w:val="auto"/>
              </w:rPr>
              <w:t>General Partner and COO</w:t>
            </w:r>
          </w:p>
        </w:tc>
      </w:tr>
      <w:tr>
        <w:trPr>
          <w:trHeight w:val="23"/>
        </w:trPr>
        <w:tc>
          <w:tcPr>
            <w:tcW w:w="7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ind w:right="1059"/>
        <w:spacing w:after="0"/>
        <w:rPr>
          <w:sz w:val="20"/>
          <w:szCs w:val="20"/>
          <w:color w:val="auto"/>
        </w:rPr>
      </w:pPr>
      <w:r>
        <w:rPr>
          <w:rFonts w:ascii="Arial" w:cs="Arial" w:eastAsia="Arial" w:hAnsi="Arial"/>
          <w:sz w:val="18"/>
          <w:szCs w:val="18"/>
          <w:color w:val="auto"/>
        </w:rPr>
        <w:t>[Signature Page to Amendment No. 4 to the Amended and Restated Investor Rights Agreement]</w:t>
      </w:r>
    </w:p>
    <w:p>
      <w:pPr>
        <w:sectPr>
          <w:pgSz w:w="11900" w:h="16838" w:orient="portrait"/>
          <w:cols w:equalWidth="0" w:num="1">
            <w:col w:w="10119"/>
          </w:cols>
          <w:pgMar w:left="340" w:top="1440" w:right="1440" w:bottom="1440" w:gutter="0" w:footer="0" w:header="0"/>
        </w:sectPr>
      </w:pPr>
    </w:p>
    <w:bookmarkStart w:id="313" w:name="page314"/>
    <w:bookmarkEnd w:id="313"/>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HOLDER:</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TIM CHEN TRUSTEE OF THE TIM CHEN REVOCABLE TRUST U/A/D 3/11/2016</w:t>
      </w:r>
    </w:p>
    <w:p>
      <w:pPr>
        <w:spacing w:after="0" w:line="222"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27305</wp:posOffset>
            </wp:positionV>
            <wp:extent cx="334327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96"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27305</wp:posOffset>
            </wp:positionV>
            <wp:extent cx="328295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96"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27305</wp:posOffset>
            </wp:positionV>
            <wp:extent cx="334327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SEED INVESTOR 2019 ANNUITY TRUST U/A/D 8/19/2019</w:t>
      </w:r>
    </w:p>
    <w:p>
      <w:pPr>
        <w:spacing w:after="0" w:line="222"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Stephen deHaan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27305</wp:posOffset>
            </wp:positionV>
            <wp:extent cx="334327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96"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Stephen deHaan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27305</wp:posOffset>
            </wp:positionV>
            <wp:extent cx="328295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96"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Special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27305</wp:posOffset>
            </wp:positionV>
            <wp:extent cx="334327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SEED INVESTOR IRREVOCABLE REMAINDER TRUST U/A/D 3/11/2016</w:t>
      </w:r>
    </w:p>
    <w:p>
      <w:pPr>
        <w:spacing w:after="0" w:line="222"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Stephen deHaan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27305</wp:posOffset>
            </wp:positionV>
            <wp:extent cx="334327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196"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Stephen deHaan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27305</wp:posOffset>
            </wp:positionV>
            <wp:extent cx="328295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96"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Special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27305</wp:posOffset>
            </wp:positionV>
            <wp:extent cx="334327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ind w:right="1059"/>
        <w:spacing w:after="0"/>
        <w:rPr>
          <w:sz w:val="20"/>
          <w:szCs w:val="20"/>
          <w:color w:val="auto"/>
        </w:rPr>
      </w:pPr>
      <w:r>
        <w:rPr>
          <w:rFonts w:ascii="Arial" w:cs="Arial" w:eastAsia="Arial" w:hAnsi="Arial"/>
          <w:sz w:val="18"/>
          <w:szCs w:val="18"/>
          <w:color w:val="auto"/>
        </w:rPr>
        <w:t>[Signature Page to Amendment No. 4 to the Amended and Restated Investor Rights Agreement]</w:t>
      </w:r>
    </w:p>
    <w:p>
      <w:pPr>
        <w:sectPr>
          <w:pgSz w:w="11900" w:h="16838" w:orient="portrait"/>
          <w:cols w:equalWidth="0" w:num="1">
            <w:col w:w="10119"/>
          </w:cols>
          <w:pgMar w:left="340" w:top="1440" w:right="1440" w:bottom="1440" w:gutter="0" w:footer="0" w:header="0"/>
        </w:sectPr>
      </w:pPr>
    </w:p>
    <w:bookmarkStart w:id="314" w:name="page315"/>
    <w:bookmarkEnd w:id="314"/>
    <w:p>
      <w:pPr>
        <w:jc w:val="right"/>
        <w:spacing w:after="0"/>
        <w:rPr>
          <w:sz w:val="20"/>
          <w:szCs w:val="20"/>
          <w:color w:val="auto"/>
        </w:rPr>
      </w:pPr>
      <w:r>
        <w:rPr>
          <w:rFonts w:ascii="Arial" w:cs="Arial" w:eastAsia="Arial" w:hAnsi="Arial"/>
          <w:sz w:val="18"/>
          <w:szCs w:val="18"/>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680"/>
        <w:spacing w:after="0"/>
        <w:rPr>
          <w:sz w:val="20"/>
          <w:szCs w:val="20"/>
          <w:color w:val="auto"/>
        </w:rPr>
      </w:pPr>
      <w:r>
        <w:rPr>
          <w:rFonts w:ascii="Arial" w:cs="Arial" w:eastAsia="Arial" w:hAnsi="Arial"/>
          <w:sz w:val="20"/>
          <w:szCs w:val="20"/>
          <w:b w:val="1"/>
          <w:bCs w:val="1"/>
          <w:color w:val="auto"/>
        </w:rPr>
        <w:t>NERDWALLET, INC.</w:t>
      </w:r>
    </w:p>
    <w:p>
      <w:pPr>
        <w:spacing w:after="0" w:line="162" w:lineRule="exact"/>
        <w:rPr>
          <w:sz w:val="20"/>
          <w:szCs w:val="20"/>
          <w:color w:val="auto"/>
        </w:rPr>
      </w:pPr>
    </w:p>
    <w:p>
      <w:pPr>
        <w:ind w:left="4140"/>
        <w:spacing w:after="0"/>
        <w:rPr>
          <w:sz w:val="20"/>
          <w:szCs w:val="20"/>
          <w:color w:val="auto"/>
        </w:rPr>
      </w:pPr>
      <w:r>
        <w:rPr>
          <w:rFonts w:ascii="Arial" w:cs="Arial" w:eastAsia="Arial" w:hAnsi="Arial"/>
          <w:sz w:val="20"/>
          <w:szCs w:val="20"/>
          <w:b w:val="1"/>
          <w:bCs w:val="1"/>
          <w:color w:val="auto"/>
        </w:rPr>
        <w:t>2012 EQUITY INCENTIVE PLAN</w:t>
      </w:r>
    </w:p>
    <w:p>
      <w:pPr>
        <w:spacing w:after="0" w:line="168"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6"/>
          <w:szCs w:val="16"/>
          <w:u w:val="single" w:color="auto"/>
          <w:color w:val="auto"/>
        </w:rPr>
        <w:t>Purposes of the Plan</w:t>
      </w:r>
      <w:r>
        <w:rPr>
          <w:rFonts w:ascii="Arial" w:cs="Arial" w:eastAsia="Arial" w:hAnsi="Arial"/>
          <w:sz w:val="16"/>
          <w:szCs w:val="16"/>
          <w:color w:val="auto"/>
        </w:rPr>
        <w:t>. The purposes of this Plan are:</w:t>
      </w:r>
    </w:p>
    <w:p>
      <w:pPr>
        <w:spacing w:after="0" w:line="162" w:lineRule="exact"/>
        <w:rPr>
          <w:sz w:val="20"/>
          <w:szCs w:val="20"/>
          <w:color w:val="auto"/>
        </w:rPr>
      </w:pPr>
    </w:p>
    <w:p>
      <w:pPr>
        <w:ind w:left="1500" w:right="2640"/>
        <w:spacing w:after="0" w:line="408" w:lineRule="auto"/>
        <w:rPr>
          <w:sz w:val="20"/>
          <w:szCs w:val="20"/>
          <w:color w:val="auto"/>
        </w:rPr>
      </w:pPr>
      <w:r>
        <w:rPr>
          <w:rFonts w:ascii="Arial" w:cs="Arial" w:eastAsia="Arial" w:hAnsi="Arial"/>
          <w:sz w:val="20"/>
          <w:szCs w:val="20"/>
          <w:color w:val="auto"/>
        </w:rPr>
        <w:t>to attract and retain the best available personnel for positions of substantial responsibility, to provide additional incentive to Employees, Directors and Consultants, and to promote the success of the Company’s business.</w:t>
      </w:r>
    </w:p>
    <w:p>
      <w:pPr>
        <w:spacing w:after="0" w:line="2" w:lineRule="exact"/>
        <w:rPr>
          <w:sz w:val="20"/>
          <w:szCs w:val="20"/>
          <w:color w:val="auto"/>
        </w:rPr>
      </w:pPr>
    </w:p>
    <w:p>
      <w:pPr>
        <w:ind w:right="20" w:firstLine="1296"/>
        <w:spacing w:after="0" w:line="260" w:lineRule="auto"/>
        <w:rPr>
          <w:sz w:val="20"/>
          <w:szCs w:val="20"/>
          <w:color w:val="auto"/>
        </w:rPr>
      </w:pPr>
      <w:r>
        <w:rPr>
          <w:rFonts w:ascii="Arial" w:cs="Arial" w:eastAsia="Arial" w:hAnsi="Arial"/>
          <w:sz w:val="20"/>
          <w:szCs w:val="20"/>
          <w:color w:val="auto"/>
        </w:rPr>
        <w:t>The Plan permits the grant of Incentive Stock Options, Nonstatutory Stock Options, Stock Appreciation Rights, Restricted Stock and Restricted Stock Units.</w:t>
      </w:r>
    </w:p>
    <w:p>
      <w:pPr>
        <w:spacing w:after="0" w:line="123" w:lineRule="exact"/>
        <w:rPr>
          <w:sz w:val="20"/>
          <w:szCs w:val="20"/>
          <w:color w:val="auto"/>
        </w:rPr>
      </w:pPr>
    </w:p>
    <w:p>
      <w:pPr>
        <w:ind w:left="1000" w:hanging="344"/>
        <w:spacing w:after="0"/>
        <w:tabs>
          <w:tab w:leader="none" w:pos="1000" w:val="left"/>
        </w:tabs>
        <w:numPr>
          <w:ilvl w:val="0"/>
          <w:numId w:val="232"/>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As used herein, the following definitions will apply:</w:t>
      </w:r>
    </w:p>
    <w:p>
      <w:pPr>
        <w:spacing w:after="0" w:line="161" w:lineRule="exact"/>
        <w:rPr>
          <w:rFonts w:ascii="Arial" w:cs="Arial" w:eastAsia="Arial" w:hAnsi="Arial"/>
          <w:sz w:val="20"/>
          <w:szCs w:val="20"/>
          <w:color w:val="auto"/>
        </w:rPr>
      </w:pPr>
    </w:p>
    <w:p>
      <w:pPr>
        <w:ind w:left="1820" w:hanging="516"/>
        <w:spacing w:after="0"/>
        <w:tabs>
          <w:tab w:leader="none" w:pos="1820" w:val="left"/>
        </w:tabs>
        <w:numPr>
          <w:ilvl w:val="1"/>
          <w:numId w:val="23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Administrator</w:t>
      </w:r>
      <w:r>
        <w:rPr>
          <w:rFonts w:ascii="Arial" w:cs="Arial" w:eastAsia="Arial" w:hAnsi="Arial"/>
          <w:sz w:val="19"/>
          <w:szCs w:val="19"/>
          <w:color w:val="auto"/>
        </w:rPr>
        <w:t>” means the Board or any of its Committees as will be administering the Plan, in accordance with</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Section 4 of the Plan.</w:t>
      </w:r>
    </w:p>
    <w:p>
      <w:pPr>
        <w:spacing w:after="0" w:line="145" w:lineRule="exact"/>
        <w:rPr>
          <w:rFonts w:ascii="Arial" w:cs="Arial" w:eastAsia="Arial" w:hAnsi="Arial"/>
          <w:sz w:val="19"/>
          <w:szCs w:val="19"/>
          <w:color w:val="auto"/>
        </w:rPr>
      </w:pPr>
    </w:p>
    <w:p>
      <w:pPr>
        <w:jc w:val="both"/>
        <w:ind w:firstLine="1304"/>
        <w:spacing w:after="0" w:line="291" w:lineRule="auto"/>
        <w:tabs>
          <w:tab w:leader="none" w:pos="1819" w:val="left"/>
        </w:tabs>
        <w:numPr>
          <w:ilvl w:val="1"/>
          <w:numId w:val="2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requirements relating to the administration of equity- 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w:t>
      </w:r>
    </w:p>
    <w:p>
      <w:pPr>
        <w:spacing w:after="0" w:line="97" w:lineRule="exact"/>
        <w:rPr>
          <w:rFonts w:ascii="Arial" w:cs="Arial" w:eastAsia="Arial" w:hAnsi="Arial"/>
          <w:sz w:val="18"/>
          <w:szCs w:val="18"/>
          <w:color w:val="auto"/>
        </w:rPr>
      </w:pPr>
    </w:p>
    <w:p>
      <w:pPr>
        <w:ind w:right="20" w:firstLine="1304"/>
        <w:spacing w:after="0" w:line="260" w:lineRule="auto"/>
        <w:tabs>
          <w:tab w:leader="none" w:pos="1754" w:val="left"/>
        </w:tabs>
        <w:numPr>
          <w:ilvl w:val="1"/>
          <w:numId w:val="23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Award</w:t>
      </w:r>
      <w:r>
        <w:rPr>
          <w:rFonts w:ascii="Arial" w:cs="Arial" w:eastAsia="Arial" w:hAnsi="Arial"/>
          <w:sz w:val="20"/>
          <w:szCs w:val="20"/>
          <w:color w:val="auto"/>
        </w:rPr>
        <w:t>” means, individually or collectively, a grant under the Plan of Options, Stock Appreciation Rights, Restricted Stock, or Restricted Stock Units.</w:t>
      </w:r>
    </w:p>
    <w:p>
      <w:pPr>
        <w:spacing w:after="0" w:line="122" w:lineRule="exact"/>
        <w:rPr>
          <w:rFonts w:ascii="Arial" w:cs="Arial" w:eastAsia="Arial" w:hAnsi="Arial"/>
          <w:sz w:val="20"/>
          <w:szCs w:val="20"/>
          <w:color w:val="auto"/>
        </w:rPr>
      </w:pPr>
    </w:p>
    <w:p>
      <w:pPr>
        <w:ind w:firstLine="1304"/>
        <w:spacing w:after="0" w:line="260" w:lineRule="auto"/>
        <w:tabs>
          <w:tab w:leader="none" w:pos="1725" w:val="left"/>
        </w:tabs>
        <w:numPr>
          <w:ilvl w:val="1"/>
          <w:numId w:val="23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Award Agreement</w:t>
      </w:r>
      <w:r>
        <w:rPr>
          <w:rFonts w:ascii="Arial" w:cs="Arial" w:eastAsia="Arial" w:hAnsi="Arial"/>
          <w:sz w:val="20"/>
          <w:szCs w:val="20"/>
          <w:color w:val="auto"/>
        </w:rPr>
        <w:t>” means the written or electronic agreement setting forth the terms and provisions applicable to each Award granted under the Plan. The Award Agreement is subject to the terms and conditions of the Plan.</w:t>
      </w:r>
    </w:p>
    <w:p>
      <w:pPr>
        <w:spacing w:after="0" w:line="122" w:lineRule="exact"/>
        <w:rPr>
          <w:rFonts w:ascii="Arial" w:cs="Arial" w:eastAsia="Arial" w:hAnsi="Arial"/>
          <w:sz w:val="20"/>
          <w:szCs w:val="20"/>
          <w:color w:val="auto"/>
        </w:rPr>
      </w:pPr>
    </w:p>
    <w:p>
      <w:pPr>
        <w:ind w:left="1720" w:hanging="416"/>
        <w:spacing w:after="0"/>
        <w:tabs>
          <w:tab w:leader="none" w:pos="1720" w:val="left"/>
        </w:tabs>
        <w:numPr>
          <w:ilvl w:val="1"/>
          <w:numId w:val="23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w:t>
      </w:r>
      <w:r>
        <w:rPr>
          <w:rFonts w:ascii="Arial" w:cs="Arial" w:eastAsia="Arial" w:hAnsi="Arial"/>
          <w:sz w:val="20"/>
          <w:szCs w:val="20"/>
          <w:color w:val="auto"/>
        </w:rPr>
        <w:t>” means the Board of Directors of the Company.</w:t>
      </w:r>
    </w:p>
    <w:p>
      <w:pPr>
        <w:spacing w:after="0" w:line="161" w:lineRule="exact"/>
        <w:rPr>
          <w:rFonts w:ascii="Arial" w:cs="Arial" w:eastAsia="Arial" w:hAnsi="Arial"/>
          <w:sz w:val="20"/>
          <w:szCs w:val="20"/>
          <w:color w:val="auto"/>
        </w:rPr>
      </w:pPr>
    </w:p>
    <w:p>
      <w:pPr>
        <w:ind w:left="1700" w:hanging="396"/>
        <w:spacing w:after="0"/>
        <w:tabs>
          <w:tab w:leader="none" w:pos="1700" w:val="left"/>
        </w:tabs>
        <w:numPr>
          <w:ilvl w:val="1"/>
          <w:numId w:val="232"/>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means the occurrence of any of the following events:</w:t>
      </w:r>
    </w:p>
    <w:p>
      <w:pPr>
        <w:spacing w:after="0" w:line="161" w:lineRule="exact"/>
        <w:rPr>
          <w:rFonts w:ascii="Arial" w:cs="Arial" w:eastAsia="Arial" w:hAnsi="Arial"/>
          <w:sz w:val="20"/>
          <w:szCs w:val="20"/>
          <w:color w:val="auto"/>
        </w:rPr>
      </w:pPr>
    </w:p>
    <w:p>
      <w:pPr>
        <w:jc w:val="both"/>
        <w:ind w:firstLine="1952"/>
        <w:spacing w:after="0" w:line="244" w:lineRule="auto"/>
        <w:tabs>
          <w:tab w:leader="none" w:pos="2369" w:val="left"/>
        </w:tabs>
        <w:numPr>
          <w:ilvl w:val="2"/>
          <w:numId w:val="232"/>
        </w:numPr>
        <w:rPr>
          <w:rFonts w:ascii="Arial" w:cs="Arial" w:eastAsia="Arial" w:hAnsi="Arial"/>
          <w:sz w:val="20"/>
          <w:szCs w:val="20"/>
          <w:color w:val="auto"/>
        </w:rPr>
      </w:pPr>
      <w:r>
        <w:rPr>
          <w:rFonts w:ascii="Arial" w:cs="Arial" w:eastAsia="Arial" w:hAnsi="Arial"/>
          <w:sz w:val="20"/>
          <w:szCs w:val="20"/>
          <w:u w:val="single" w:color="auto"/>
          <w:color w:val="auto"/>
        </w:rPr>
        <w:t>Change in Ownership of the Company</w:t>
      </w:r>
      <w:r>
        <w:rPr>
          <w:rFonts w:ascii="Arial" w:cs="Arial" w:eastAsia="Arial" w:hAnsi="Arial"/>
          <w:sz w:val="20"/>
          <w:szCs w:val="20"/>
          <w:color w:val="auto"/>
        </w:rPr>
        <w:t>. A change in the ownership of the Company which occurs on the date that any one person, or more than one person acting as a group (“Person”), acquires ownership of the stock of the Company that, together with the stock held by such Person, constitutes more than 50% of the total voting power of the stock of the Company, except that any change in the ownership of the stock of the Company as a result of a private financing of the Company that is approved by the Board will not be considered a Change in Control; or</w:t>
      </w:r>
    </w:p>
    <w:p>
      <w:pPr>
        <w:spacing w:after="0" w:line="140" w:lineRule="exact"/>
        <w:rPr>
          <w:rFonts w:ascii="Arial" w:cs="Arial" w:eastAsia="Arial" w:hAnsi="Arial"/>
          <w:sz w:val="20"/>
          <w:szCs w:val="20"/>
          <w:color w:val="auto"/>
        </w:rPr>
      </w:pPr>
    </w:p>
    <w:p>
      <w:pPr>
        <w:jc w:val="both"/>
        <w:ind w:firstLine="1952"/>
        <w:spacing w:after="0" w:line="243" w:lineRule="auto"/>
        <w:tabs>
          <w:tab w:leader="none" w:pos="2437" w:val="left"/>
        </w:tabs>
        <w:numPr>
          <w:ilvl w:val="2"/>
          <w:numId w:val="232"/>
        </w:numPr>
        <w:rPr>
          <w:rFonts w:ascii="Arial" w:cs="Arial" w:eastAsia="Arial" w:hAnsi="Arial"/>
          <w:sz w:val="20"/>
          <w:szCs w:val="20"/>
          <w:color w:val="auto"/>
        </w:rPr>
      </w:pPr>
      <w:r>
        <w:rPr>
          <w:rFonts w:ascii="Arial" w:cs="Arial" w:eastAsia="Arial" w:hAnsi="Arial"/>
          <w:sz w:val="20"/>
          <w:szCs w:val="20"/>
          <w:u w:val="single" w:color="auto"/>
          <w:color w:val="auto"/>
        </w:rPr>
        <w:t>Change in Effective Control of the Company</w:t>
      </w:r>
      <w:r>
        <w:rPr>
          <w:rFonts w:ascii="Arial" w:cs="Arial" w:eastAsia="Arial" w:hAnsi="Arial"/>
          <w:sz w:val="20"/>
          <w:szCs w:val="20"/>
          <w:color w:val="auto"/>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141" w:lineRule="exact"/>
        <w:rPr>
          <w:rFonts w:ascii="Arial" w:cs="Arial" w:eastAsia="Arial" w:hAnsi="Arial"/>
          <w:sz w:val="20"/>
          <w:szCs w:val="20"/>
          <w:color w:val="auto"/>
        </w:rPr>
      </w:pPr>
    </w:p>
    <w:p>
      <w:pPr>
        <w:ind w:firstLine="1952"/>
        <w:spacing w:after="0" w:line="260" w:lineRule="auto"/>
        <w:tabs>
          <w:tab w:leader="none" w:pos="2533" w:val="left"/>
        </w:tabs>
        <w:numPr>
          <w:ilvl w:val="2"/>
          <w:numId w:val="232"/>
        </w:numPr>
        <w:rPr>
          <w:rFonts w:ascii="Arial" w:cs="Arial" w:eastAsia="Arial" w:hAnsi="Arial"/>
          <w:sz w:val="20"/>
          <w:szCs w:val="20"/>
          <w:color w:val="auto"/>
        </w:rPr>
      </w:pPr>
      <w:r>
        <w:rPr>
          <w:rFonts w:ascii="Arial" w:cs="Arial" w:eastAsia="Arial" w:hAnsi="Arial"/>
          <w:sz w:val="20"/>
          <w:szCs w:val="20"/>
          <w:u w:val="single" w:color="auto"/>
          <w:color w:val="auto"/>
        </w:rPr>
        <w:t>Change in Ownership of a Substantial Portion of the Company’s Assets</w:t>
      </w:r>
      <w:r>
        <w:rPr>
          <w:rFonts w:ascii="Arial" w:cs="Arial" w:eastAsia="Arial" w:hAnsi="Arial"/>
          <w:sz w:val="20"/>
          <w:szCs w:val="20"/>
          <w:color w:val="auto"/>
        </w:rPr>
        <w:t>. A change in the ownership of a substantial portion of the Company’s assets which occurs on the date that</w:t>
      </w:r>
    </w:p>
    <w:p>
      <w:pPr>
        <w:sectPr>
          <w:pgSz w:w="11900" w:h="16838" w:orient="portrait"/>
          <w:cols w:equalWidth="0" w:num="1">
            <w:col w:w="11240"/>
          </w:cols>
          <w:pgMar w:left="320" w:top="121" w:right="339" w:bottom="1440" w:gutter="0" w:footer="0" w:header="0"/>
        </w:sectPr>
      </w:pPr>
    </w:p>
    <w:bookmarkStart w:id="315" w:name="page316"/>
    <w:bookmarkEnd w:id="315"/>
    <w:p>
      <w:pPr>
        <w:jc w:val="both"/>
        <w:spacing w:after="0" w:line="244" w:lineRule="auto"/>
        <w:rPr>
          <w:sz w:val="20"/>
          <w:szCs w:val="20"/>
          <w:color w:val="auto"/>
        </w:rPr>
      </w:pPr>
      <w:r>
        <w:rPr>
          <w:rFonts w:ascii="Arial" w:cs="Arial" w:eastAsia="Arial" w:hAnsi="Arial"/>
          <w:sz w:val="20"/>
          <w:szCs w:val="20"/>
          <w:color w:val="auto"/>
        </w:rPr>
        <w:t>any Person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For purposes of this subsection (iii), gross fair market value means the value of the assets of the Company, or the value of the assets being disposed of, determined without regard to any liabilities associated with such assets.</w:t>
      </w:r>
    </w:p>
    <w:p>
      <w:pPr>
        <w:spacing w:after="0" w:line="140" w:lineRule="exact"/>
        <w:rPr>
          <w:sz w:val="20"/>
          <w:szCs w:val="20"/>
          <w:color w:val="auto"/>
        </w:rPr>
      </w:pPr>
    </w:p>
    <w:p>
      <w:pPr>
        <w:jc w:val="both"/>
        <w:ind w:firstLine="1944"/>
        <w:spacing w:after="0" w:line="316" w:lineRule="auto"/>
        <w:rPr>
          <w:sz w:val="20"/>
          <w:szCs w:val="20"/>
          <w:color w:val="auto"/>
        </w:rPr>
      </w:pPr>
      <w:r>
        <w:rPr>
          <w:rFonts w:ascii="Arial" w:cs="Arial" w:eastAsia="Arial" w:hAnsi="Arial"/>
          <w:sz w:val="18"/>
          <w:szCs w:val="18"/>
          <w:color w:val="auto"/>
        </w:rPr>
        <w:t>For purposes of this Section 2(f), persons will be considered to be acting as a group if they are owners of a corporation that enters into a merger, consolidation, purchase or acquisition of stock, or similar business transaction with the Company.</w:t>
      </w:r>
    </w:p>
    <w:p>
      <w:pPr>
        <w:spacing w:after="0" w:line="76" w:lineRule="exact"/>
        <w:rPr>
          <w:sz w:val="20"/>
          <w:szCs w:val="20"/>
          <w:color w:val="auto"/>
        </w:rPr>
      </w:pPr>
    </w:p>
    <w:p>
      <w:pPr>
        <w:jc w:val="both"/>
        <w:ind w:firstLine="1944"/>
        <w:spacing w:after="0" w:line="246" w:lineRule="auto"/>
        <w:rPr>
          <w:sz w:val="20"/>
          <w:szCs w:val="20"/>
          <w:color w:val="auto"/>
        </w:rPr>
      </w:pPr>
      <w:r>
        <w:rPr>
          <w:rFonts w:ascii="Arial" w:cs="Arial" w:eastAsia="Arial" w:hAnsi="Arial"/>
          <w:sz w:val="20"/>
          <w:szCs w:val="20"/>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37" w:lineRule="exact"/>
        <w:rPr>
          <w:sz w:val="20"/>
          <w:szCs w:val="20"/>
          <w:color w:val="auto"/>
        </w:rPr>
      </w:pPr>
    </w:p>
    <w:p>
      <w:pPr>
        <w:jc w:val="both"/>
        <w:ind w:firstLine="1944"/>
        <w:spacing w:after="0" w:line="269" w:lineRule="auto"/>
        <w:rPr>
          <w:sz w:val="20"/>
          <w:szCs w:val="20"/>
          <w:color w:val="auto"/>
        </w:rPr>
      </w:pPr>
      <w:r>
        <w:rPr>
          <w:rFonts w:ascii="Arial" w:cs="Arial" w:eastAsia="Arial" w:hAnsi="Arial"/>
          <w:sz w:val="19"/>
          <w:szCs w:val="19"/>
          <w:color w:val="auto"/>
        </w:rPr>
        <w:t>Further and for the avoidance of doubt, a transaction will not constitute a Change in Control if: (i) its sole purpose is to change the jurisdiction of the Company’s incorporation, or (ii) its sole purpose is to create a holding company that will be owned in substantially the same proportions by the persons who held the Company’s securities immediately before such transaction.</w:t>
      </w:r>
    </w:p>
    <w:p>
      <w:pPr>
        <w:spacing w:after="0" w:line="116" w:lineRule="exact"/>
        <w:rPr>
          <w:sz w:val="20"/>
          <w:szCs w:val="20"/>
          <w:color w:val="auto"/>
        </w:rPr>
      </w:pPr>
    </w:p>
    <w:p>
      <w:pPr>
        <w:ind w:firstLine="1304"/>
        <w:spacing w:after="0" w:line="260" w:lineRule="auto"/>
        <w:tabs>
          <w:tab w:leader="none" w:pos="1738" w:val="left"/>
        </w:tabs>
        <w:numPr>
          <w:ilvl w:val="1"/>
          <w:numId w:val="23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 as amended. Any reference to a section of the Code herein will be a reference to any successor or amended section of the Code.</w:t>
      </w:r>
    </w:p>
    <w:p>
      <w:pPr>
        <w:spacing w:after="0" w:line="122" w:lineRule="exact"/>
        <w:rPr>
          <w:rFonts w:ascii="Arial" w:cs="Arial" w:eastAsia="Arial" w:hAnsi="Arial"/>
          <w:sz w:val="20"/>
          <w:szCs w:val="20"/>
          <w:color w:val="auto"/>
        </w:rPr>
      </w:pPr>
    </w:p>
    <w:p>
      <w:pPr>
        <w:ind w:firstLine="1304"/>
        <w:spacing w:after="0" w:line="260" w:lineRule="auto"/>
        <w:tabs>
          <w:tab w:leader="none" w:pos="1819" w:val="left"/>
        </w:tabs>
        <w:numPr>
          <w:ilvl w:val="1"/>
          <w:numId w:val="23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Committee</w:t>
      </w:r>
      <w:r>
        <w:rPr>
          <w:rFonts w:ascii="Arial" w:cs="Arial" w:eastAsia="Arial" w:hAnsi="Arial"/>
          <w:sz w:val="20"/>
          <w:szCs w:val="20"/>
          <w:color w:val="auto"/>
        </w:rPr>
        <w:t>” means a committee of Directors or of other individuals satisfying Applicable Laws appointed by the Board, or by the compensation committee of the Board, in accordance with Section 4 hereof.</w:t>
      </w:r>
    </w:p>
    <w:p>
      <w:pPr>
        <w:spacing w:after="0" w:line="122" w:lineRule="exact"/>
        <w:rPr>
          <w:rFonts w:ascii="Arial" w:cs="Arial" w:eastAsia="Arial" w:hAnsi="Arial"/>
          <w:sz w:val="20"/>
          <w:szCs w:val="20"/>
          <w:color w:val="auto"/>
        </w:rPr>
      </w:pPr>
    </w:p>
    <w:p>
      <w:pPr>
        <w:ind w:left="1680" w:hanging="376"/>
        <w:spacing w:after="0"/>
        <w:tabs>
          <w:tab w:leader="none" w:pos="1680" w:val="left"/>
        </w:tabs>
        <w:numPr>
          <w:ilvl w:val="1"/>
          <w:numId w:val="23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Common Stock</w:t>
      </w:r>
      <w:r>
        <w:rPr>
          <w:rFonts w:ascii="Arial" w:cs="Arial" w:eastAsia="Arial" w:hAnsi="Arial"/>
          <w:sz w:val="20"/>
          <w:szCs w:val="20"/>
          <w:color w:val="auto"/>
        </w:rPr>
        <w:t>” means the common stock of the Company.</w:t>
      </w:r>
    </w:p>
    <w:p>
      <w:pPr>
        <w:spacing w:after="0" w:line="161" w:lineRule="exact"/>
        <w:rPr>
          <w:rFonts w:ascii="Arial" w:cs="Arial" w:eastAsia="Arial" w:hAnsi="Arial"/>
          <w:sz w:val="20"/>
          <w:szCs w:val="20"/>
          <w:color w:val="auto"/>
        </w:rPr>
      </w:pPr>
    </w:p>
    <w:p>
      <w:pPr>
        <w:ind w:left="1680" w:hanging="376"/>
        <w:spacing w:after="0"/>
        <w:tabs>
          <w:tab w:leader="none" w:pos="1680" w:val="left"/>
        </w:tabs>
        <w:numPr>
          <w:ilvl w:val="1"/>
          <w:numId w:val="23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w:t>
      </w:r>
      <w:r>
        <w:rPr>
          <w:rFonts w:ascii="Arial" w:cs="Arial" w:eastAsia="Arial" w:hAnsi="Arial"/>
          <w:sz w:val="20"/>
          <w:szCs w:val="20"/>
          <w:color w:val="auto"/>
        </w:rPr>
        <w:t>” means NerdWallet, Inc., a Delaware corporation, or any successor thereto.</w:t>
      </w:r>
    </w:p>
    <w:p>
      <w:pPr>
        <w:spacing w:after="0" w:line="161" w:lineRule="exact"/>
        <w:rPr>
          <w:rFonts w:ascii="Arial" w:cs="Arial" w:eastAsia="Arial" w:hAnsi="Arial"/>
          <w:sz w:val="20"/>
          <w:szCs w:val="20"/>
          <w:color w:val="auto"/>
        </w:rPr>
      </w:pPr>
    </w:p>
    <w:p>
      <w:pPr>
        <w:ind w:left="1800" w:hanging="496"/>
        <w:spacing w:after="0"/>
        <w:tabs>
          <w:tab w:leader="none" w:pos="180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Consultant</w:t>
      </w:r>
      <w:r>
        <w:rPr>
          <w:rFonts w:ascii="Arial" w:cs="Arial" w:eastAsia="Arial" w:hAnsi="Arial"/>
          <w:sz w:val="18"/>
          <w:szCs w:val="18"/>
          <w:color w:val="auto"/>
        </w:rPr>
        <w:t>” means any person, including an advisor, engaged by the Company or a Parent or Subsidiary to render</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services to such entity.</w:t>
      </w:r>
    </w:p>
    <w:p>
      <w:pPr>
        <w:spacing w:after="0" w:line="145" w:lineRule="exact"/>
        <w:rPr>
          <w:rFonts w:ascii="Arial" w:cs="Arial" w:eastAsia="Arial" w:hAnsi="Arial"/>
          <w:sz w:val="18"/>
          <w:szCs w:val="18"/>
          <w:color w:val="auto"/>
        </w:rPr>
      </w:pPr>
    </w:p>
    <w:p>
      <w:pPr>
        <w:ind w:left="1680" w:hanging="376"/>
        <w:spacing w:after="0"/>
        <w:tabs>
          <w:tab w:leader="none" w:pos="1680" w:val="left"/>
        </w:tabs>
        <w:numPr>
          <w:ilvl w:val="1"/>
          <w:numId w:val="23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Director</w:t>
      </w:r>
      <w:r>
        <w:rPr>
          <w:rFonts w:ascii="Arial" w:cs="Arial" w:eastAsia="Arial" w:hAnsi="Arial"/>
          <w:sz w:val="20"/>
          <w:szCs w:val="20"/>
          <w:color w:val="auto"/>
        </w:rPr>
        <w:t>” means a member of the Board.</w:t>
      </w:r>
    </w:p>
    <w:p>
      <w:pPr>
        <w:spacing w:after="0" w:line="161" w:lineRule="exact"/>
        <w:rPr>
          <w:rFonts w:ascii="Arial" w:cs="Arial" w:eastAsia="Arial" w:hAnsi="Arial"/>
          <w:sz w:val="20"/>
          <w:szCs w:val="20"/>
          <w:color w:val="auto"/>
        </w:rPr>
      </w:pPr>
    </w:p>
    <w:p>
      <w:pPr>
        <w:jc w:val="both"/>
        <w:ind w:firstLine="1304"/>
        <w:spacing w:after="0" w:line="269" w:lineRule="auto"/>
        <w:tabs>
          <w:tab w:leader="none" w:pos="1847" w:val="left"/>
        </w:tabs>
        <w:numPr>
          <w:ilvl w:val="1"/>
          <w:numId w:val="23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Disability</w:t>
      </w:r>
      <w:r>
        <w:rPr>
          <w:rFonts w:ascii="Arial" w:cs="Arial" w:eastAsia="Arial" w:hAnsi="Arial"/>
          <w:sz w:val="19"/>
          <w:szCs w:val="19"/>
          <w:color w:val="auto"/>
        </w:rPr>
        <w:t>” means total and permanent disability as defined in Code Section 22(e)(3),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15" w:lineRule="exact"/>
        <w:rPr>
          <w:rFonts w:ascii="Arial" w:cs="Arial" w:eastAsia="Arial" w:hAnsi="Arial"/>
          <w:sz w:val="19"/>
          <w:szCs w:val="19"/>
          <w:color w:val="auto"/>
        </w:rPr>
      </w:pPr>
    </w:p>
    <w:p>
      <w:pPr>
        <w:jc w:val="both"/>
        <w:ind w:firstLine="1304"/>
        <w:spacing w:after="0" w:line="250" w:lineRule="auto"/>
        <w:tabs>
          <w:tab w:leader="none" w:pos="1900" w:val="left"/>
        </w:tabs>
        <w:numPr>
          <w:ilvl w:val="1"/>
          <w:numId w:val="23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Employee</w:t>
      </w:r>
      <w:r>
        <w:rPr>
          <w:rFonts w:ascii="Arial" w:cs="Arial" w:eastAsia="Arial" w:hAnsi="Arial"/>
          <w:sz w:val="20"/>
          <w:szCs w:val="20"/>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31" w:lineRule="exact"/>
        <w:rPr>
          <w:rFonts w:ascii="Arial" w:cs="Arial" w:eastAsia="Arial" w:hAnsi="Arial"/>
          <w:sz w:val="20"/>
          <w:szCs w:val="20"/>
          <w:color w:val="auto"/>
        </w:rPr>
      </w:pPr>
    </w:p>
    <w:p>
      <w:pPr>
        <w:ind w:left="1740" w:hanging="436"/>
        <w:spacing w:after="0"/>
        <w:tabs>
          <w:tab w:leader="none" w:pos="1740" w:val="left"/>
        </w:tabs>
        <w:numPr>
          <w:ilvl w:val="1"/>
          <w:numId w:val="23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means the Securities Exchange Act of 1934, as amended.</w:t>
      </w:r>
    </w:p>
    <w:p>
      <w:pPr>
        <w:spacing w:after="0" w:line="161" w:lineRule="exact"/>
        <w:rPr>
          <w:rFonts w:ascii="Arial" w:cs="Arial" w:eastAsia="Arial" w:hAnsi="Arial"/>
          <w:sz w:val="20"/>
          <w:szCs w:val="20"/>
          <w:color w:val="auto"/>
        </w:rPr>
      </w:pPr>
    </w:p>
    <w:p>
      <w:pPr>
        <w:jc w:val="both"/>
        <w:ind w:firstLine="1304"/>
        <w:spacing w:after="0" w:line="275" w:lineRule="auto"/>
        <w:tabs>
          <w:tab w:leader="none" w:pos="1765" w:val="left"/>
        </w:tabs>
        <w:numPr>
          <w:ilvl w:val="1"/>
          <w:numId w:val="2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Program</w:t>
      </w:r>
      <w:r>
        <w:rPr>
          <w:rFonts w:ascii="Arial" w:cs="Arial" w:eastAsia="Arial" w:hAnsi="Arial"/>
          <w:sz w:val="18"/>
          <w:szCs w:val="18"/>
          <w:color w:val="auto"/>
        </w:rPr>
        <w:t>” means a program under which (i) outstanding Awards are surrendered or cancelled in exchange for Awards of the same type (which may have higher or lower exercise prices and different terms), Awards of a different type, and/or cash,</w:t>
      </w:r>
    </w:p>
    <w:p>
      <w:pPr>
        <w:ind w:left="300" w:hanging="292"/>
        <w:spacing w:after="0"/>
        <w:tabs>
          <w:tab w:leader="none" w:pos="300" w:val="left"/>
        </w:tabs>
        <w:numPr>
          <w:ilvl w:val="0"/>
          <w:numId w:val="234"/>
        </w:numPr>
        <w:rPr>
          <w:rFonts w:ascii="Arial" w:cs="Arial" w:eastAsia="Arial" w:hAnsi="Arial"/>
          <w:sz w:val="20"/>
          <w:szCs w:val="20"/>
          <w:color w:val="auto"/>
        </w:rPr>
      </w:pPr>
      <w:r>
        <w:rPr>
          <w:rFonts w:ascii="Arial" w:cs="Arial" w:eastAsia="Arial" w:hAnsi="Arial"/>
          <w:sz w:val="20"/>
          <w:szCs w:val="20"/>
          <w:color w:val="auto"/>
        </w:rPr>
        <w:t>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9" w:right="339" w:bottom="1440" w:gutter="0" w:footer="0" w:header="0"/>
        </w:sectPr>
      </w:pPr>
    </w:p>
    <w:bookmarkStart w:id="316" w:name="page317"/>
    <w:bookmarkEnd w:id="316"/>
    <w:p>
      <w:pPr>
        <w:jc w:val="both"/>
        <w:spacing w:after="0" w:line="250" w:lineRule="auto"/>
        <w:rPr>
          <w:sz w:val="20"/>
          <w:szCs w:val="20"/>
          <w:color w:val="auto"/>
        </w:rPr>
      </w:pPr>
      <w:r>
        <w:rPr>
          <w:rFonts w:ascii="Arial" w:cs="Arial" w:eastAsia="Arial" w:hAnsi="Arial"/>
          <w:sz w:val="20"/>
          <w:szCs w:val="20"/>
          <w:color w:val="auto"/>
        </w:rPr>
        <w:t>would have the opportunity to transfer any outstanding Awards to a financial institution or other person or entity selected by the Administrator, and/or (iii) the exercise price of an outstanding Award is reduced or increased. The Administrator will determine the terms and conditions of any Exchange Program in its sole discretion.</w:t>
      </w:r>
    </w:p>
    <w:p>
      <w:pPr>
        <w:spacing w:after="0" w:line="132" w:lineRule="exact"/>
        <w:rPr>
          <w:sz w:val="20"/>
          <w:szCs w:val="20"/>
          <w:color w:val="auto"/>
        </w:rPr>
      </w:pPr>
    </w:p>
    <w:p>
      <w:pPr>
        <w:ind w:left="1740" w:hanging="436"/>
        <w:spacing w:after="0"/>
        <w:tabs>
          <w:tab w:leader="none" w:pos="1740" w:val="left"/>
        </w:tabs>
        <w:numPr>
          <w:ilvl w:val="0"/>
          <w:numId w:val="23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Fair Market Value</w:t>
      </w:r>
      <w:r>
        <w:rPr>
          <w:rFonts w:ascii="Arial" w:cs="Arial" w:eastAsia="Arial" w:hAnsi="Arial"/>
          <w:sz w:val="20"/>
          <w:szCs w:val="20"/>
          <w:color w:val="auto"/>
        </w:rPr>
        <w:t>” means, as of any date, the value of Common Stock determined as follows:</w:t>
      </w:r>
    </w:p>
    <w:p>
      <w:pPr>
        <w:spacing w:after="0" w:line="161" w:lineRule="exact"/>
        <w:rPr>
          <w:rFonts w:ascii="Arial" w:cs="Arial" w:eastAsia="Arial" w:hAnsi="Arial"/>
          <w:sz w:val="20"/>
          <w:szCs w:val="20"/>
          <w:color w:val="auto"/>
        </w:rPr>
      </w:pPr>
    </w:p>
    <w:p>
      <w:pPr>
        <w:jc w:val="both"/>
        <w:ind w:firstLine="1952"/>
        <w:spacing w:after="0" w:line="282" w:lineRule="auto"/>
        <w:tabs>
          <w:tab w:leader="none" w:pos="2329" w:val="left"/>
        </w:tabs>
        <w:numPr>
          <w:ilvl w:val="1"/>
          <w:numId w:val="235"/>
        </w:numPr>
        <w:rPr>
          <w:rFonts w:ascii="Arial" w:cs="Arial" w:eastAsia="Arial" w:hAnsi="Arial"/>
          <w:sz w:val="18"/>
          <w:szCs w:val="18"/>
          <w:color w:val="auto"/>
        </w:rPr>
      </w:pPr>
      <w:r>
        <w:rPr>
          <w:rFonts w:ascii="Arial" w:cs="Arial" w:eastAsia="Arial" w:hAnsi="Arial"/>
          <w:sz w:val="18"/>
          <w:szCs w:val="18"/>
          <w:color w:val="auto"/>
        </w:rPr>
        <w:t xml:space="preserve">If the Common Stock is listed on any established stock exchange or a national market system, including without limitation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w:t>
      </w:r>
    </w:p>
    <w:p>
      <w:pPr>
        <w:spacing w:after="0" w:line="107" w:lineRule="exact"/>
        <w:rPr>
          <w:rFonts w:ascii="Arial" w:cs="Arial" w:eastAsia="Arial" w:hAnsi="Arial"/>
          <w:sz w:val="18"/>
          <w:szCs w:val="18"/>
          <w:color w:val="auto"/>
        </w:rPr>
      </w:pPr>
    </w:p>
    <w:p>
      <w:pPr>
        <w:jc w:val="both"/>
        <w:ind w:firstLine="1952"/>
        <w:spacing w:after="0" w:line="246" w:lineRule="auto"/>
        <w:tabs>
          <w:tab w:leader="none" w:pos="2425" w:val="left"/>
        </w:tabs>
        <w:numPr>
          <w:ilvl w:val="1"/>
          <w:numId w:val="235"/>
        </w:numPr>
        <w:rPr>
          <w:rFonts w:ascii="Arial" w:cs="Arial" w:eastAsia="Arial" w:hAnsi="Arial"/>
          <w:sz w:val="20"/>
          <w:szCs w:val="20"/>
          <w:color w:val="auto"/>
        </w:rPr>
      </w:pPr>
      <w:r>
        <w:rPr>
          <w:rFonts w:ascii="Arial" w:cs="Arial" w:eastAsia="Arial" w:hAnsi="Arial"/>
          <w:sz w:val="20"/>
          <w:szCs w:val="20"/>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date such bids and asks were reported), as reported in </w:t>
      </w:r>
      <w:r>
        <w:rPr>
          <w:rFonts w:ascii="Arial" w:cs="Arial" w:eastAsia="Arial" w:hAnsi="Arial"/>
          <w:sz w:val="20"/>
          <w:szCs w:val="20"/>
          <w:i w:val="1"/>
          <w:iCs w:val="1"/>
          <w:color w:val="auto"/>
        </w:rPr>
        <w:t>The Wall Street Journal</w:t>
      </w:r>
      <w:r>
        <w:rPr>
          <w:rFonts w:ascii="Arial" w:cs="Arial" w:eastAsia="Arial" w:hAnsi="Arial"/>
          <w:sz w:val="20"/>
          <w:szCs w:val="20"/>
          <w:color w:val="auto"/>
        </w:rPr>
        <w:t xml:space="preserve"> or such other source as the Administrator deems reliable; or</w:t>
      </w:r>
    </w:p>
    <w:p>
      <w:pPr>
        <w:spacing w:after="0" w:line="137" w:lineRule="exact"/>
        <w:rPr>
          <w:rFonts w:ascii="Arial" w:cs="Arial" w:eastAsia="Arial" w:hAnsi="Arial"/>
          <w:sz w:val="20"/>
          <w:szCs w:val="20"/>
          <w:color w:val="auto"/>
        </w:rPr>
      </w:pPr>
    </w:p>
    <w:p>
      <w:pPr>
        <w:ind w:firstLine="1952"/>
        <w:spacing w:after="0" w:line="260" w:lineRule="auto"/>
        <w:tabs>
          <w:tab w:leader="none" w:pos="2485" w:val="left"/>
        </w:tabs>
        <w:numPr>
          <w:ilvl w:val="1"/>
          <w:numId w:val="235"/>
        </w:numPr>
        <w:rPr>
          <w:rFonts w:ascii="Arial" w:cs="Arial" w:eastAsia="Arial" w:hAnsi="Arial"/>
          <w:sz w:val="20"/>
          <w:szCs w:val="20"/>
          <w:color w:val="auto"/>
        </w:rPr>
      </w:pPr>
      <w:r>
        <w:rPr>
          <w:rFonts w:ascii="Arial" w:cs="Arial" w:eastAsia="Arial" w:hAnsi="Arial"/>
          <w:sz w:val="20"/>
          <w:szCs w:val="20"/>
          <w:color w:val="auto"/>
        </w:rPr>
        <w:t>In the absence of an established market for the Common Stock, the Fair Market Value will be determined in good faith by the Administrator.</w:t>
      </w:r>
    </w:p>
    <w:p>
      <w:pPr>
        <w:spacing w:after="0" w:line="122" w:lineRule="exact"/>
        <w:rPr>
          <w:rFonts w:ascii="Arial" w:cs="Arial" w:eastAsia="Arial" w:hAnsi="Arial"/>
          <w:sz w:val="20"/>
          <w:szCs w:val="20"/>
          <w:color w:val="auto"/>
        </w:rPr>
      </w:pPr>
    </w:p>
    <w:p>
      <w:pPr>
        <w:ind w:firstLine="1304"/>
        <w:spacing w:after="0" w:line="260" w:lineRule="auto"/>
        <w:tabs>
          <w:tab w:leader="none" w:pos="1827" w:val="left"/>
        </w:tabs>
        <w:numPr>
          <w:ilvl w:val="0"/>
          <w:numId w:val="23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Incentive Stock Option</w:t>
      </w:r>
      <w:r>
        <w:rPr>
          <w:rFonts w:ascii="Arial" w:cs="Arial" w:eastAsia="Arial" w:hAnsi="Arial"/>
          <w:sz w:val="20"/>
          <w:szCs w:val="20"/>
          <w:color w:val="auto"/>
        </w:rPr>
        <w:t>” means an Option that by its terms qualifies and is otherwise intended to qualify as an incentive stock option within the meaning of Code Section 422 and the regulations promulgated thereunder.</w:t>
      </w:r>
    </w:p>
    <w:p>
      <w:pPr>
        <w:spacing w:after="0" w:line="122" w:lineRule="exact"/>
        <w:rPr>
          <w:rFonts w:ascii="Arial" w:cs="Arial" w:eastAsia="Arial" w:hAnsi="Arial"/>
          <w:sz w:val="20"/>
          <w:szCs w:val="20"/>
          <w:color w:val="auto"/>
        </w:rPr>
      </w:pPr>
    </w:p>
    <w:p>
      <w:pPr>
        <w:ind w:firstLine="1304"/>
        <w:spacing w:after="0" w:line="260" w:lineRule="auto"/>
        <w:tabs>
          <w:tab w:leader="none" w:pos="1784" w:val="left"/>
        </w:tabs>
        <w:numPr>
          <w:ilvl w:val="0"/>
          <w:numId w:val="23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Nonstatutory Stock Option</w:t>
      </w:r>
      <w:r>
        <w:rPr>
          <w:rFonts w:ascii="Arial" w:cs="Arial" w:eastAsia="Arial" w:hAnsi="Arial"/>
          <w:sz w:val="20"/>
          <w:szCs w:val="20"/>
          <w:color w:val="auto"/>
        </w:rPr>
        <w:t>” means an Option that by its terms does not qualify or is not intended to qualify as an Incentive Stock Option.</w:t>
      </w:r>
    </w:p>
    <w:p>
      <w:pPr>
        <w:spacing w:after="0" w:line="122" w:lineRule="exact"/>
        <w:rPr>
          <w:rFonts w:ascii="Arial" w:cs="Arial" w:eastAsia="Arial" w:hAnsi="Arial"/>
          <w:sz w:val="20"/>
          <w:szCs w:val="20"/>
          <w:color w:val="auto"/>
        </w:rPr>
      </w:pPr>
    </w:p>
    <w:p>
      <w:pPr>
        <w:ind w:left="1680" w:hanging="376"/>
        <w:spacing w:after="0"/>
        <w:tabs>
          <w:tab w:leader="none" w:pos="1680" w:val="left"/>
        </w:tabs>
        <w:numPr>
          <w:ilvl w:val="0"/>
          <w:numId w:val="23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Option</w:t>
      </w:r>
      <w:r>
        <w:rPr>
          <w:rFonts w:ascii="Arial" w:cs="Arial" w:eastAsia="Arial" w:hAnsi="Arial"/>
          <w:sz w:val="20"/>
          <w:szCs w:val="20"/>
          <w:color w:val="auto"/>
        </w:rPr>
        <w:t>” means a stock option granted pursuant to the Plan.</w:t>
      </w:r>
    </w:p>
    <w:p>
      <w:pPr>
        <w:spacing w:after="0" w:line="161" w:lineRule="exact"/>
        <w:rPr>
          <w:rFonts w:ascii="Arial" w:cs="Arial" w:eastAsia="Arial" w:hAnsi="Arial"/>
          <w:sz w:val="20"/>
          <w:szCs w:val="20"/>
          <w:color w:val="auto"/>
        </w:rPr>
      </w:pPr>
    </w:p>
    <w:p>
      <w:pPr>
        <w:ind w:left="1740" w:hanging="436"/>
        <w:spacing w:after="0"/>
        <w:tabs>
          <w:tab w:leader="none" w:pos="1740" w:val="left"/>
        </w:tabs>
        <w:numPr>
          <w:ilvl w:val="0"/>
          <w:numId w:val="23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w:t>
      </w:r>
      <w:r>
        <w:rPr>
          <w:rFonts w:ascii="Arial" w:cs="Arial" w:eastAsia="Arial" w:hAnsi="Arial"/>
          <w:sz w:val="19"/>
          <w:szCs w:val="19"/>
          <w:color w:val="auto"/>
        </w:rPr>
        <w:t>” means a “parent corporation,” whether now or hereafter existing, as defined in Code Section 424(e).</w:t>
      </w:r>
    </w:p>
    <w:p>
      <w:pPr>
        <w:spacing w:after="0" w:line="173" w:lineRule="exact"/>
        <w:rPr>
          <w:rFonts w:ascii="Arial" w:cs="Arial" w:eastAsia="Arial" w:hAnsi="Arial"/>
          <w:sz w:val="19"/>
          <w:szCs w:val="19"/>
          <w:color w:val="auto"/>
        </w:rPr>
      </w:pPr>
    </w:p>
    <w:p>
      <w:pPr>
        <w:ind w:left="1740" w:hanging="436"/>
        <w:spacing w:after="0"/>
        <w:tabs>
          <w:tab w:leader="none" w:pos="1740" w:val="left"/>
        </w:tabs>
        <w:numPr>
          <w:ilvl w:val="0"/>
          <w:numId w:val="23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means the holder of an outstanding Award.</w:t>
      </w:r>
    </w:p>
    <w:p>
      <w:pPr>
        <w:spacing w:after="0" w:line="161" w:lineRule="exact"/>
        <w:rPr>
          <w:rFonts w:ascii="Arial" w:cs="Arial" w:eastAsia="Arial" w:hAnsi="Arial"/>
          <w:sz w:val="20"/>
          <w:szCs w:val="20"/>
          <w:color w:val="auto"/>
        </w:rPr>
      </w:pPr>
    </w:p>
    <w:p>
      <w:pPr>
        <w:jc w:val="both"/>
        <w:ind w:firstLine="1304"/>
        <w:spacing w:after="0" w:line="269" w:lineRule="auto"/>
        <w:tabs>
          <w:tab w:leader="none" w:pos="1904" w:val="left"/>
        </w:tabs>
        <w:numPr>
          <w:ilvl w:val="0"/>
          <w:numId w:val="23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Period of Restriction</w:t>
      </w:r>
      <w:r>
        <w:rPr>
          <w:rFonts w:ascii="Arial" w:cs="Arial" w:eastAsia="Arial" w:hAnsi="Arial"/>
          <w:sz w:val="19"/>
          <w:szCs w:val="19"/>
          <w:color w:val="auto"/>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15" w:lineRule="exact"/>
        <w:rPr>
          <w:rFonts w:ascii="Arial" w:cs="Arial" w:eastAsia="Arial" w:hAnsi="Arial"/>
          <w:sz w:val="19"/>
          <w:szCs w:val="19"/>
          <w:color w:val="auto"/>
        </w:rPr>
      </w:pPr>
    </w:p>
    <w:p>
      <w:pPr>
        <w:ind w:left="1740" w:hanging="436"/>
        <w:spacing w:after="0"/>
        <w:tabs>
          <w:tab w:leader="none" w:pos="1740" w:val="left"/>
        </w:tabs>
        <w:numPr>
          <w:ilvl w:val="0"/>
          <w:numId w:val="23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means this 2012 Equity Incentive Plan.</w:t>
      </w:r>
    </w:p>
    <w:p>
      <w:pPr>
        <w:spacing w:after="0" w:line="161" w:lineRule="exact"/>
        <w:rPr>
          <w:rFonts w:ascii="Arial" w:cs="Arial" w:eastAsia="Arial" w:hAnsi="Arial"/>
          <w:sz w:val="20"/>
          <w:szCs w:val="20"/>
          <w:color w:val="auto"/>
        </w:rPr>
      </w:pPr>
    </w:p>
    <w:p>
      <w:pPr>
        <w:ind w:firstLine="1304"/>
        <w:spacing w:after="0" w:line="260" w:lineRule="auto"/>
        <w:tabs>
          <w:tab w:leader="none" w:pos="1725" w:val="left"/>
        </w:tabs>
        <w:numPr>
          <w:ilvl w:val="0"/>
          <w:numId w:val="23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Stock</w:t>
      </w:r>
      <w:r>
        <w:rPr>
          <w:rFonts w:ascii="Arial" w:cs="Arial" w:eastAsia="Arial" w:hAnsi="Arial"/>
          <w:sz w:val="20"/>
          <w:szCs w:val="20"/>
          <w:color w:val="auto"/>
        </w:rPr>
        <w:t>” means Shares issued pursuant to an Award of Restricted Stock under Section 8 of the Plan, or issued pursuant to the early exercise of an Option.</w:t>
      </w:r>
    </w:p>
    <w:p>
      <w:pPr>
        <w:spacing w:after="0" w:line="122" w:lineRule="exact"/>
        <w:rPr>
          <w:rFonts w:ascii="Arial" w:cs="Arial" w:eastAsia="Arial" w:hAnsi="Arial"/>
          <w:sz w:val="20"/>
          <w:szCs w:val="20"/>
          <w:color w:val="auto"/>
        </w:rPr>
      </w:pPr>
    </w:p>
    <w:p>
      <w:pPr>
        <w:ind w:firstLine="1304"/>
        <w:spacing w:after="0" w:line="316" w:lineRule="auto"/>
        <w:tabs>
          <w:tab w:leader="none" w:pos="1808" w:val="left"/>
        </w:tabs>
        <w:numPr>
          <w:ilvl w:val="0"/>
          <w:numId w:val="2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 bookkeeping entry representing an amount equal to the Fair Market Value of one Share, granted pursuant to Section 9. Each Restricted Stock Unit represents an unfunded and unsecured obligation of the Company.</w:t>
      </w:r>
    </w:p>
    <w:p>
      <w:pPr>
        <w:spacing w:after="0" w:line="76" w:lineRule="exact"/>
        <w:rPr>
          <w:sz w:val="20"/>
          <w:szCs w:val="20"/>
          <w:color w:val="auto"/>
        </w:rPr>
      </w:pPr>
    </w:p>
    <w:p>
      <w:pPr>
        <w:ind w:left="1800" w:hanging="496"/>
        <w:spacing w:after="0"/>
        <w:tabs>
          <w:tab w:leader="none" w:pos="1800" w:val="left"/>
        </w:tabs>
        <w:numPr>
          <w:ilvl w:val="0"/>
          <w:numId w:val="23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Service Provider</w:t>
      </w:r>
      <w:r>
        <w:rPr>
          <w:rFonts w:ascii="Arial" w:cs="Arial" w:eastAsia="Arial" w:hAnsi="Arial"/>
          <w:sz w:val="20"/>
          <w:szCs w:val="20"/>
          <w:color w:val="auto"/>
        </w:rPr>
        <w:t>” means an Employee, Director or Consultant.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8" w:lineRule="exact"/>
        <w:rPr>
          <w:rFonts w:ascii="Arial" w:cs="Arial" w:eastAsia="Arial" w:hAnsi="Arial"/>
          <w:sz w:val="20"/>
          <w:szCs w:val="20"/>
          <w:color w:val="auto"/>
        </w:rPr>
      </w:pPr>
    </w:p>
    <w:p>
      <w:pPr>
        <w:ind w:left="5500"/>
        <w:spacing w:after="0"/>
        <w:rPr>
          <w:rFonts w:ascii="Arial" w:cs="Arial" w:eastAsia="Arial" w:hAnsi="Arial"/>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19" w:right="339" w:bottom="1440" w:gutter="0" w:footer="0" w:header="0"/>
        </w:sectPr>
      </w:pPr>
    </w:p>
    <w:bookmarkStart w:id="317" w:name="page318"/>
    <w:bookmarkEnd w:id="317"/>
    <w:p>
      <w:pPr>
        <w:ind w:left="1840" w:hanging="536"/>
        <w:spacing w:after="0"/>
        <w:tabs>
          <w:tab w:leader="none" w:pos="1840" w:val="left"/>
        </w:tabs>
        <w:numPr>
          <w:ilvl w:val="1"/>
          <w:numId w:val="23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Share</w:t>
      </w:r>
      <w:r>
        <w:rPr>
          <w:rFonts w:ascii="Arial" w:cs="Arial" w:eastAsia="Arial" w:hAnsi="Arial"/>
          <w:sz w:val="20"/>
          <w:szCs w:val="20"/>
          <w:color w:val="auto"/>
        </w:rPr>
        <w:t>” means a share of the Common Stock, as adjusted in accordance with Section 13 of the Plan.</w:t>
      </w:r>
    </w:p>
    <w:p>
      <w:pPr>
        <w:spacing w:after="0" w:line="161" w:lineRule="exact"/>
        <w:rPr>
          <w:rFonts w:ascii="Arial" w:cs="Arial" w:eastAsia="Arial" w:hAnsi="Arial"/>
          <w:sz w:val="20"/>
          <w:szCs w:val="20"/>
          <w:color w:val="auto"/>
        </w:rPr>
      </w:pPr>
    </w:p>
    <w:p>
      <w:pPr>
        <w:ind w:firstLine="1304"/>
        <w:spacing w:after="0" w:line="260" w:lineRule="auto"/>
        <w:tabs>
          <w:tab w:leader="none" w:pos="1801" w:val="left"/>
        </w:tabs>
        <w:numPr>
          <w:ilvl w:val="1"/>
          <w:numId w:val="23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Stock Appreciation Right</w:t>
      </w:r>
      <w:r>
        <w:rPr>
          <w:rFonts w:ascii="Arial" w:cs="Arial" w:eastAsia="Arial" w:hAnsi="Arial"/>
          <w:sz w:val="20"/>
          <w:szCs w:val="20"/>
          <w:color w:val="auto"/>
        </w:rPr>
        <w:t>” means an Award, granted alone or in connection with an Option, that pursuant to Section 7 is designated as a Stock Appreciation Right.</w:t>
      </w:r>
    </w:p>
    <w:p>
      <w:pPr>
        <w:spacing w:after="0" w:line="122" w:lineRule="exact"/>
        <w:rPr>
          <w:rFonts w:ascii="Arial" w:cs="Arial" w:eastAsia="Arial" w:hAnsi="Arial"/>
          <w:sz w:val="20"/>
          <w:szCs w:val="20"/>
          <w:color w:val="auto"/>
        </w:rPr>
      </w:pPr>
    </w:p>
    <w:p>
      <w:pPr>
        <w:ind w:left="1840" w:hanging="536"/>
        <w:spacing w:after="0"/>
        <w:tabs>
          <w:tab w:leader="none" w:pos="184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 “subsidiary corporation,” whether now or hereafter existing, as defined in Code Section 424(f).</w:t>
      </w:r>
    </w:p>
    <w:p>
      <w:pPr>
        <w:spacing w:after="0" w:line="184" w:lineRule="exact"/>
        <w:rPr>
          <w:rFonts w:ascii="Arial" w:cs="Arial" w:eastAsia="Arial" w:hAnsi="Arial"/>
          <w:sz w:val="18"/>
          <w:szCs w:val="18"/>
          <w:color w:val="auto"/>
        </w:rPr>
      </w:pPr>
    </w:p>
    <w:p>
      <w:pPr>
        <w:ind w:left="1000" w:hanging="344"/>
        <w:spacing w:after="0"/>
        <w:tabs>
          <w:tab w:leader="none" w:pos="1000" w:val="left"/>
        </w:tabs>
        <w:numPr>
          <w:ilvl w:val="0"/>
          <w:numId w:val="238"/>
        </w:numPr>
        <w:rPr>
          <w:rFonts w:ascii="Arial" w:cs="Arial" w:eastAsia="Arial" w:hAnsi="Arial"/>
          <w:sz w:val="20"/>
          <w:szCs w:val="20"/>
          <w:color w:val="auto"/>
        </w:rPr>
      </w:pPr>
      <w:r>
        <w:rPr>
          <w:rFonts w:ascii="Arial" w:cs="Arial" w:eastAsia="Arial" w:hAnsi="Arial"/>
          <w:sz w:val="20"/>
          <w:szCs w:val="20"/>
          <w:u w:val="single" w:color="auto"/>
          <w:color w:val="auto"/>
        </w:rPr>
        <w:t>Stock Subject to the Plan</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1304"/>
        <w:spacing w:after="0" w:line="313" w:lineRule="auto"/>
        <w:tabs>
          <w:tab w:leader="none" w:pos="1713" w:val="left"/>
        </w:tabs>
        <w:numPr>
          <w:ilvl w:val="1"/>
          <w:numId w:val="238"/>
        </w:numPr>
        <w:rPr>
          <w:rFonts w:ascii="Arial" w:cs="Arial" w:eastAsia="Arial" w:hAnsi="Arial"/>
          <w:sz w:val="16"/>
          <w:szCs w:val="16"/>
          <w:color w:val="auto"/>
        </w:rPr>
      </w:pPr>
      <w:r>
        <w:rPr>
          <w:rFonts w:ascii="Arial" w:cs="Arial" w:eastAsia="Arial" w:hAnsi="Arial"/>
          <w:sz w:val="16"/>
          <w:szCs w:val="16"/>
          <w:u w:val="single" w:color="auto"/>
          <w:color w:val="auto"/>
        </w:rPr>
        <w:t>Stock Subject to the Plan</w:t>
      </w:r>
      <w:r>
        <w:rPr>
          <w:rFonts w:ascii="Arial" w:cs="Arial" w:eastAsia="Arial" w:hAnsi="Arial"/>
          <w:sz w:val="16"/>
          <w:szCs w:val="16"/>
          <w:color w:val="auto"/>
        </w:rPr>
        <w:t xml:space="preserve">. Subject to the provisions of Section 13 of the Plan, the maximum aggregate number of Shares that may be subject to Awards and sold under the Plan is </w:t>
      </w:r>
      <w:r>
        <w:rPr>
          <w:rFonts w:ascii="Arial" w:cs="Arial" w:eastAsia="Arial" w:hAnsi="Arial"/>
          <w:sz w:val="16"/>
          <w:szCs w:val="16"/>
          <w:b w:val="1"/>
          <w:bCs w:val="1"/>
          <w:color w:val="auto"/>
        </w:rPr>
        <w:t>0</w:t>
      </w:r>
      <w:r>
        <w:rPr>
          <w:rFonts w:ascii="Arial" w:cs="Arial" w:eastAsia="Arial" w:hAnsi="Arial"/>
          <w:sz w:val="16"/>
          <w:szCs w:val="16"/>
          <w:color w:val="auto"/>
        </w:rPr>
        <w:t xml:space="preserve"> Shares, plus (i) any Shares that, as of the date of stockholder approval of this Plan, have been reserved but not issued pursuant to any awards granted under the Ksquared Capital Management, LLC 2011 Unit Option Plan (the “2011 Plan”) and are not subject to any awards granted thereunder, and (ii) any Shares subject to stock options or similar awards granted under the 2011 Plan that expire or otherwise terminate without having been exercised in full and Shares issued pursuant to awards granted under the 2011 Plan that are forfeited to or repurchased by the Company, with the maximum number of Shares to be added to the Plan pursuant to clauses (i) and (ii) equal to 1,000,000 Shares. The Shares may be authorized but unissued, or reacquired Common Stock.</w:t>
      </w:r>
    </w:p>
    <w:p>
      <w:pPr>
        <w:spacing w:after="0" w:line="88" w:lineRule="exact"/>
        <w:rPr>
          <w:rFonts w:ascii="Arial" w:cs="Arial" w:eastAsia="Arial" w:hAnsi="Arial"/>
          <w:sz w:val="16"/>
          <w:szCs w:val="16"/>
          <w:color w:val="auto"/>
        </w:rPr>
      </w:pPr>
    </w:p>
    <w:p>
      <w:pPr>
        <w:jc w:val="both"/>
        <w:ind w:firstLine="1304"/>
        <w:spacing w:after="0" w:line="305" w:lineRule="auto"/>
        <w:tabs>
          <w:tab w:leader="none" w:pos="1778" w:val="left"/>
        </w:tabs>
        <w:numPr>
          <w:ilvl w:val="1"/>
          <w:numId w:val="238"/>
        </w:numPr>
        <w:rPr>
          <w:rFonts w:ascii="Arial" w:cs="Arial" w:eastAsia="Arial" w:hAnsi="Arial"/>
          <w:sz w:val="16"/>
          <w:szCs w:val="16"/>
          <w:color w:val="auto"/>
        </w:rPr>
      </w:pPr>
      <w:r>
        <w:rPr>
          <w:rFonts w:ascii="Arial" w:cs="Arial" w:eastAsia="Arial" w:hAnsi="Arial"/>
          <w:sz w:val="16"/>
          <w:szCs w:val="16"/>
          <w:u w:val="single" w:color="auto"/>
          <w:color w:val="auto"/>
        </w:rPr>
        <w:t>Lapsed Awards</w:t>
      </w:r>
      <w:r>
        <w:rPr>
          <w:rFonts w:ascii="Arial" w:cs="Arial" w:eastAsia="Arial" w:hAnsi="Arial"/>
          <w:sz w:val="16"/>
          <w:szCs w:val="16"/>
          <w:color w:val="auto"/>
        </w:rPr>
        <w:t>. If an Award expires or becomes unexercisable without having been exercised in full, is surrendered pursuant to an Exchange Program, or, with respect to Restricted Stock or Restricted Stock Units, is forfeited to or repurchased by the Company due to the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pursuant to a Stock Appreciation Right will cease to be available under the Plan; all remaining Shares under Stock Appreciation Rights will remain available for future grant or sale under the Plan (unless the Plan has terminated). Shares that have actually been issued under the Plan under any Award will not be returned to the Plan and will not become available for future distribution under the Plan; provided, however, that if Shares issued pursuant to Awards of Restricted Stock or Restricted Stock Units are repurchased by the Company or are forfeited to the Company due to the failure to vest, such Shares will become available for future grant under the Plan. Shares used to pay the exercise price of an Award or to satisfy the tax withholding obligations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13, the maximum number of Shares that may be issued upon the exercise of Incentive Stock Options will equal the aggregate Share number stated in Section 3(a), plus, to the extent allowable under Code Section 422 and the Treasury Regulations promulgated thereunder, any Shares that become available for issuance under the Plan pursuant to Section 3(b).</w:t>
      </w:r>
    </w:p>
    <w:p>
      <w:pPr>
        <w:spacing w:after="0" w:line="331" w:lineRule="exact"/>
        <w:rPr>
          <w:rFonts w:ascii="Arial" w:cs="Arial" w:eastAsia="Arial" w:hAnsi="Arial"/>
          <w:sz w:val="16"/>
          <w:szCs w:val="16"/>
          <w:color w:val="auto"/>
        </w:rPr>
      </w:pPr>
    </w:p>
    <w:p>
      <w:pPr>
        <w:ind w:firstLine="1304"/>
        <w:spacing w:after="0" w:line="260" w:lineRule="auto"/>
        <w:tabs>
          <w:tab w:leader="none" w:pos="1727" w:val="left"/>
        </w:tabs>
        <w:numPr>
          <w:ilvl w:val="1"/>
          <w:numId w:val="238"/>
        </w:numPr>
        <w:rPr>
          <w:rFonts w:ascii="Arial" w:cs="Arial" w:eastAsia="Arial" w:hAnsi="Arial"/>
          <w:sz w:val="20"/>
          <w:szCs w:val="20"/>
          <w:color w:val="auto"/>
        </w:rPr>
      </w:pPr>
      <w:r>
        <w:rPr>
          <w:rFonts w:ascii="Arial" w:cs="Arial" w:eastAsia="Arial" w:hAnsi="Arial"/>
          <w:sz w:val="20"/>
          <w:szCs w:val="20"/>
          <w:u w:val="single" w:color="auto"/>
          <w:color w:val="auto"/>
        </w:rPr>
        <w:t>Share Reserve</w:t>
      </w:r>
      <w:r>
        <w:rPr>
          <w:rFonts w:ascii="Arial" w:cs="Arial" w:eastAsia="Arial" w:hAnsi="Arial"/>
          <w:sz w:val="20"/>
          <w:szCs w:val="20"/>
          <w:color w:val="auto"/>
        </w:rPr>
        <w:t>. The Company, during the term of this Plan, will at all times reserve and keep available such number of Shares as will be sufficient to satisfy the requirements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19" w:right="339" w:bottom="1440" w:gutter="0" w:footer="0" w:header="0"/>
        </w:sectPr>
      </w:pPr>
    </w:p>
    <w:bookmarkStart w:id="318" w:name="page319"/>
    <w:bookmarkEnd w:id="318"/>
    <w:p>
      <w:pPr>
        <w:ind w:left="1000" w:hanging="344"/>
        <w:spacing w:after="0"/>
        <w:tabs>
          <w:tab w:leader="none" w:pos="1000" w:val="left"/>
        </w:tabs>
        <w:numPr>
          <w:ilvl w:val="0"/>
          <w:numId w:val="239"/>
        </w:numPr>
        <w:rPr>
          <w:rFonts w:ascii="Arial" w:cs="Arial" w:eastAsia="Arial" w:hAnsi="Arial"/>
          <w:sz w:val="20"/>
          <w:szCs w:val="20"/>
          <w:color w:val="auto"/>
        </w:rPr>
      </w:pPr>
      <w:r>
        <w:rPr>
          <w:rFonts w:ascii="Arial" w:cs="Arial" w:eastAsia="Arial" w:hAnsi="Arial"/>
          <w:sz w:val="20"/>
          <w:szCs w:val="20"/>
          <w:u w:val="single" w:color="auto"/>
          <w:color w:val="auto"/>
        </w:rPr>
        <w:t>Administration of the Plan</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720" w:hanging="416"/>
        <w:spacing w:after="0"/>
        <w:tabs>
          <w:tab w:leader="none" w:pos="1720" w:val="left"/>
        </w:tabs>
        <w:numPr>
          <w:ilvl w:val="1"/>
          <w:numId w:val="239"/>
        </w:numPr>
        <w:rPr>
          <w:rFonts w:ascii="Arial" w:cs="Arial" w:eastAsia="Arial" w:hAnsi="Arial"/>
          <w:sz w:val="20"/>
          <w:szCs w:val="20"/>
          <w:color w:val="auto"/>
        </w:rPr>
      </w:pPr>
      <w:r>
        <w:rPr>
          <w:rFonts w:ascii="Arial" w:cs="Arial" w:eastAsia="Arial" w:hAnsi="Arial"/>
          <w:sz w:val="20"/>
          <w:szCs w:val="20"/>
          <w:u w:val="single" w:color="auto"/>
          <w:color w:val="auto"/>
        </w:rPr>
        <w:t>Procedure</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2420" w:hanging="468"/>
        <w:spacing w:after="0"/>
        <w:tabs>
          <w:tab w:leader="none" w:pos="2420" w:val="left"/>
        </w:tabs>
        <w:numPr>
          <w:ilvl w:val="2"/>
          <w:numId w:val="239"/>
        </w:numPr>
        <w:rPr>
          <w:rFonts w:ascii="Arial" w:cs="Arial" w:eastAsia="Arial" w:hAnsi="Arial"/>
          <w:sz w:val="18"/>
          <w:szCs w:val="18"/>
          <w:color w:val="auto"/>
        </w:rPr>
      </w:pPr>
      <w:r>
        <w:rPr>
          <w:rFonts w:ascii="Arial" w:cs="Arial" w:eastAsia="Arial" w:hAnsi="Arial"/>
          <w:sz w:val="18"/>
          <w:szCs w:val="18"/>
          <w:u w:val="single" w:color="auto"/>
          <w:color w:val="auto"/>
        </w:rPr>
        <w:t>Multiple Administrative Bodies</w:t>
      </w:r>
      <w:r>
        <w:rPr>
          <w:rFonts w:ascii="Arial" w:cs="Arial" w:eastAsia="Arial" w:hAnsi="Arial"/>
          <w:sz w:val="18"/>
          <w:szCs w:val="18"/>
          <w:color w:val="auto"/>
        </w:rPr>
        <w:t>. Different Committees with respect to different groups of Service Providers</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may administer the Plan.</w:t>
      </w:r>
    </w:p>
    <w:p>
      <w:pPr>
        <w:spacing w:after="0" w:line="145" w:lineRule="exact"/>
        <w:rPr>
          <w:rFonts w:ascii="Arial" w:cs="Arial" w:eastAsia="Arial" w:hAnsi="Arial"/>
          <w:sz w:val="18"/>
          <w:szCs w:val="18"/>
          <w:color w:val="auto"/>
        </w:rPr>
      </w:pPr>
    </w:p>
    <w:p>
      <w:pPr>
        <w:ind w:right="20" w:firstLine="1952"/>
        <w:spacing w:after="0" w:line="260" w:lineRule="auto"/>
        <w:tabs>
          <w:tab w:leader="none" w:pos="2424" w:val="left"/>
        </w:tabs>
        <w:numPr>
          <w:ilvl w:val="2"/>
          <w:numId w:val="239"/>
        </w:numPr>
        <w:rPr>
          <w:rFonts w:ascii="Arial" w:cs="Arial" w:eastAsia="Arial" w:hAnsi="Arial"/>
          <w:sz w:val="20"/>
          <w:szCs w:val="20"/>
          <w:color w:val="auto"/>
        </w:rPr>
      </w:pPr>
      <w:r>
        <w:rPr>
          <w:rFonts w:ascii="Arial" w:cs="Arial" w:eastAsia="Arial" w:hAnsi="Arial"/>
          <w:sz w:val="20"/>
          <w:szCs w:val="20"/>
          <w:u w:val="single" w:color="auto"/>
          <w:color w:val="auto"/>
        </w:rPr>
        <w:t>Other Administration</w:t>
      </w:r>
      <w:r>
        <w:rPr>
          <w:rFonts w:ascii="Arial" w:cs="Arial" w:eastAsia="Arial" w:hAnsi="Arial"/>
          <w:sz w:val="20"/>
          <w:szCs w:val="20"/>
          <w:color w:val="auto"/>
        </w:rPr>
        <w:t>. Other than as provided above, the Plan will be administered by (A) the Board or (B) a Committee, which Committee will be constituted to satisfy Applicable Laws.</w:t>
      </w:r>
    </w:p>
    <w:p>
      <w:pPr>
        <w:spacing w:after="0" w:line="122" w:lineRule="exact"/>
        <w:rPr>
          <w:rFonts w:ascii="Arial" w:cs="Arial" w:eastAsia="Arial" w:hAnsi="Arial"/>
          <w:sz w:val="20"/>
          <w:szCs w:val="20"/>
          <w:color w:val="auto"/>
        </w:rPr>
      </w:pPr>
    </w:p>
    <w:p>
      <w:pPr>
        <w:ind w:firstLine="1304"/>
        <w:spacing w:after="0" w:line="260" w:lineRule="auto"/>
        <w:tabs>
          <w:tab w:leader="none" w:pos="1819" w:val="left"/>
        </w:tabs>
        <w:numPr>
          <w:ilvl w:val="1"/>
          <w:numId w:val="239"/>
        </w:numPr>
        <w:rPr>
          <w:rFonts w:ascii="Arial" w:cs="Arial" w:eastAsia="Arial" w:hAnsi="Arial"/>
          <w:sz w:val="20"/>
          <w:szCs w:val="20"/>
          <w:color w:val="auto"/>
        </w:rPr>
      </w:pPr>
      <w:r>
        <w:rPr>
          <w:rFonts w:ascii="Arial" w:cs="Arial" w:eastAsia="Arial" w:hAnsi="Arial"/>
          <w:sz w:val="20"/>
          <w:szCs w:val="20"/>
          <w:u w:val="single" w:color="auto"/>
          <w:color w:val="auto"/>
        </w:rPr>
        <w:t>Powers of the Administrator</w:t>
      </w:r>
      <w:r>
        <w:rPr>
          <w:rFonts w:ascii="Arial" w:cs="Arial" w:eastAsia="Arial" w:hAnsi="Arial"/>
          <w:sz w:val="20"/>
          <w:szCs w:val="20"/>
          <w:color w:val="auto"/>
        </w:rPr>
        <w:t>. Subject to the provisions of the Plan, and in the case of a Committee, subject to the specific duties delegated by the Board to such Committee, the Administrator will have the authority, in its discretion:</w:t>
      </w:r>
    </w:p>
    <w:p>
      <w:pPr>
        <w:spacing w:after="0" w:line="122" w:lineRule="exact"/>
        <w:rPr>
          <w:rFonts w:ascii="Arial" w:cs="Arial" w:eastAsia="Arial" w:hAnsi="Arial"/>
          <w:sz w:val="20"/>
          <w:szCs w:val="20"/>
          <w:color w:val="auto"/>
        </w:rPr>
      </w:pPr>
    </w:p>
    <w:p>
      <w:pPr>
        <w:ind w:left="2340" w:hanging="388"/>
        <w:spacing w:after="0"/>
        <w:tabs>
          <w:tab w:leader="none" w:pos="2340" w:val="left"/>
        </w:tabs>
        <w:numPr>
          <w:ilvl w:val="2"/>
          <w:numId w:val="239"/>
        </w:numPr>
        <w:rPr>
          <w:rFonts w:ascii="Arial" w:cs="Arial" w:eastAsia="Arial" w:hAnsi="Arial"/>
          <w:sz w:val="20"/>
          <w:szCs w:val="20"/>
          <w:color w:val="auto"/>
        </w:rPr>
      </w:pPr>
      <w:r>
        <w:rPr>
          <w:rFonts w:ascii="Arial" w:cs="Arial" w:eastAsia="Arial" w:hAnsi="Arial"/>
          <w:sz w:val="20"/>
          <w:szCs w:val="20"/>
          <w:color w:val="auto"/>
        </w:rPr>
        <w:t>to determine the Fair Market Value;</w:t>
      </w:r>
    </w:p>
    <w:p>
      <w:pPr>
        <w:spacing w:after="0" w:line="161" w:lineRule="exact"/>
        <w:rPr>
          <w:rFonts w:ascii="Arial" w:cs="Arial" w:eastAsia="Arial" w:hAnsi="Arial"/>
          <w:sz w:val="20"/>
          <w:szCs w:val="20"/>
          <w:color w:val="auto"/>
        </w:rPr>
      </w:pPr>
    </w:p>
    <w:p>
      <w:pPr>
        <w:ind w:left="2400" w:hanging="448"/>
        <w:spacing w:after="0"/>
        <w:tabs>
          <w:tab w:leader="none" w:pos="2400" w:val="left"/>
        </w:tabs>
        <w:numPr>
          <w:ilvl w:val="2"/>
          <w:numId w:val="239"/>
        </w:numPr>
        <w:rPr>
          <w:rFonts w:ascii="Arial" w:cs="Arial" w:eastAsia="Arial" w:hAnsi="Arial"/>
          <w:sz w:val="20"/>
          <w:szCs w:val="20"/>
          <w:color w:val="auto"/>
        </w:rPr>
      </w:pPr>
      <w:r>
        <w:rPr>
          <w:rFonts w:ascii="Arial" w:cs="Arial" w:eastAsia="Arial" w:hAnsi="Arial"/>
          <w:sz w:val="20"/>
          <w:szCs w:val="20"/>
          <w:color w:val="auto"/>
        </w:rPr>
        <w:t>to select the Service Providers to whom Awards may be granted hereunder;</w:t>
      </w:r>
    </w:p>
    <w:p>
      <w:pPr>
        <w:spacing w:after="0" w:line="161" w:lineRule="exact"/>
        <w:rPr>
          <w:rFonts w:ascii="Arial" w:cs="Arial" w:eastAsia="Arial" w:hAnsi="Arial"/>
          <w:sz w:val="20"/>
          <w:szCs w:val="20"/>
          <w:color w:val="auto"/>
        </w:rPr>
      </w:pPr>
    </w:p>
    <w:p>
      <w:pPr>
        <w:ind w:left="2440" w:hanging="488"/>
        <w:spacing w:after="0"/>
        <w:tabs>
          <w:tab w:leader="none" w:pos="2440" w:val="left"/>
        </w:tabs>
        <w:numPr>
          <w:ilvl w:val="2"/>
          <w:numId w:val="239"/>
        </w:numPr>
        <w:rPr>
          <w:rFonts w:ascii="Arial" w:cs="Arial" w:eastAsia="Arial" w:hAnsi="Arial"/>
          <w:sz w:val="20"/>
          <w:szCs w:val="20"/>
          <w:color w:val="auto"/>
        </w:rPr>
      </w:pPr>
      <w:r>
        <w:rPr>
          <w:rFonts w:ascii="Arial" w:cs="Arial" w:eastAsia="Arial" w:hAnsi="Arial"/>
          <w:sz w:val="20"/>
          <w:szCs w:val="20"/>
          <w:color w:val="auto"/>
        </w:rPr>
        <w:t>to determine the number of Shares to be covered by each Award granted hereunder;</w:t>
      </w:r>
    </w:p>
    <w:p>
      <w:pPr>
        <w:spacing w:after="0" w:line="161" w:lineRule="exact"/>
        <w:rPr>
          <w:rFonts w:ascii="Arial" w:cs="Arial" w:eastAsia="Arial" w:hAnsi="Arial"/>
          <w:sz w:val="20"/>
          <w:szCs w:val="20"/>
          <w:color w:val="auto"/>
        </w:rPr>
      </w:pPr>
    </w:p>
    <w:p>
      <w:pPr>
        <w:ind w:left="2440" w:hanging="488"/>
        <w:spacing w:after="0"/>
        <w:tabs>
          <w:tab w:leader="none" w:pos="2440" w:val="left"/>
        </w:tabs>
        <w:numPr>
          <w:ilvl w:val="2"/>
          <w:numId w:val="239"/>
        </w:numPr>
        <w:rPr>
          <w:rFonts w:ascii="Arial" w:cs="Arial" w:eastAsia="Arial" w:hAnsi="Arial"/>
          <w:sz w:val="20"/>
          <w:szCs w:val="20"/>
          <w:color w:val="auto"/>
        </w:rPr>
      </w:pPr>
      <w:r>
        <w:rPr>
          <w:rFonts w:ascii="Arial" w:cs="Arial" w:eastAsia="Arial" w:hAnsi="Arial"/>
          <w:sz w:val="20"/>
          <w:szCs w:val="20"/>
          <w:color w:val="auto"/>
        </w:rPr>
        <w:t>to approve forms of Award Agreements for use under the Plan;</w:t>
      </w:r>
    </w:p>
    <w:p>
      <w:pPr>
        <w:spacing w:after="0" w:line="161" w:lineRule="exact"/>
        <w:rPr>
          <w:rFonts w:ascii="Arial" w:cs="Arial" w:eastAsia="Arial" w:hAnsi="Arial"/>
          <w:sz w:val="20"/>
          <w:szCs w:val="20"/>
          <w:color w:val="auto"/>
        </w:rPr>
      </w:pPr>
    </w:p>
    <w:p>
      <w:pPr>
        <w:jc w:val="both"/>
        <w:ind w:firstLine="1952"/>
        <w:spacing w:after="0" w:line="282" w:lineRule="auto"/>
        <w:tabs>
          <w:tab w:leader="none" w:pos="2491" w:val="left"/>
        </w:tabs>
        <w:numPr>
          <w:ilvl w:val="2"/>
          <w:numId w:val="239"/>
        </w:numPr>
        <w:rPr>
          <w:rFonts w:ascii="Arial" w:cs="Arial" w:eastAsia="Arial" w:hAnsi="Arial"/>
          <w:sz w:val="18"/>
          <w:szCs w:val="18"/>
          <w:color w:val="auto"/>
        </w:rPr>
      </w:pPr>
      <w:r>
        <w:rPr>
          <w:rFonts w:ascii="Arial" w:cs="Arial" w:eastAsia="Arial" w:hAnsi="Arial"/>
          <w:sz w:val="18"/>
          <w:szCs w:val="18"/>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07" w:lineRule="exact"/>
        <w:rPr>
          <w:rFonts w:ascii="Arial" w:cs="Arial" w:eastAsia="Arial" w:hAnsi="Arial"/>
          <w:sz w:val="18"/>
          <w:szCs w:val="18"/>
          <w:color w:val="auto"/>
        </w:rPr>
      </w:pPr>
    </w:p>
    <w:p>
      <w:pPr>
        <w:ind w:left="2440" w:hanging="488"/>
        <w:spacing w:after="0"/>
        <w:tabs>
          <w:tab w:leader="none" w:pos="2440" w:val="left"/>
        </w:tabs>
        <w:numPr>
          <w:ilvl w:val="2"/>
          <w:numId w:val="239"/>
        </w:numPr>
        <w:rPr>
          <w:rFonts w:ascii="Arial" w:cs="Arial" w:eastAsia="Arial" w:hAnsi="Arial"/>
          <w:sz w:val="20"/>
          <w:szCs w:val="20"/>
          <w:color w:val="auto"/>
        </w:rPr>
      </w:pPr>
      <w:r>
        <w:rPr>
          <w:rFonts w:ascii="Arial" w:cs="Arial" w:eastAsia="Arial" w:hAnsi="Arial"/>
          <w:sz w:val="20"/>
          <w:szCs w:val="20"/>
          <w:color w:val="auto"/>
        </w:rPr>
        <w:t>to institute and determine the terms and conditions of an Exchange Program;</w:t>
      </w:r>
    </w:p>
    <w:p>
      <w:pPr>
        <w:spacing w:after="0" w:line="161" w:lineRule="exact"/>
        <w:rPr>
          <w:rFonts w:ascii="Arial" w:cs="Arial" w:eastAsia="Arial" w:hAnsi="Arial"/>
          <w:sz w:val="20"/>
          <w:szCs w:val="20"/>
          <w:color w:val="auto"/>
        </w:rPr>
      </w:pPr>
    </w:p>
    <w:p>
      <w:pPr>
        <w:ind w:left="2500" w:hanging="548"/>
        <w:spacing w:after="0"/>
        <w:tabs>
          <w:tab w:leader="none" w:pos="2500" w:val="left"/>
        </w:tabs>
        <w:numPr>
          <w:ilvl w:val="2"/>
          <w:numId w:val="239"/>
        </w:numPr>
        <w:rPr>
          <w:rFonts w:ascii="Arial" w:cs="Arial" w:eastAsia="Arial" w:hAnsi="Arial"/>
          <w:sz w:val="20"/>
          <w:szCs w:val="20"/>
          <w:color w:val="auto"/>
        </w:rPr>
      </w:pPr>
      <w:r>
        <w:rPr>
          <w:rFonts w:ascii="Arial" w:cs="Arial" w:eastAsia="Arial" w:hAnsi="Arial"/>
          <w:sz w:val="20"/>
          <w:szCs w:val="20"/>
          <w:color w:val="auto"/>
        </w:rPr>
        <w:t>to construe and interpret the terms of the Plan and Awards granted pursuant to the Plan;</w:t>
      </w:r>
    </w:p>
    <w:p>
      <w:pPr>
        <w:spacing w:after="0" w:line="161" w:lineRule="exact"/>
        <w:rPr>
          <w:rFonts w:ascii="Arial" w:cs="Arial" w:eastAsia="Arial" w:hAnsi="Arial"/>
          <w:sz w:val="20"/>
          <w:szCs w:val="20"/>
          <w:color w:val="auto"/>
        </w:rPr>
      </w:pPr>
    </w:p>
    <w:p>
      <w:pPr>
        <w:jc w:val="both"/>
        <w:ind w:firstLine="1952"/>
        <w:spacing w:after="0" w:line="250" w:lineRule="auto"/>
        <w:tabs>
          <w:tab w:leader="none" w:pos="2620" w:val="left"/>
        </w:tabs>
        <w:numPr>
          <w:ilvl w:val="2"/>
          <w:numId w:val="239"/>
        </w:numPr>
        <w:rPr>
          <w:rFonts w:ascii="Arial" w:cs="Arial" w:eastAsia="Arial" w:hAnsi="Arial"/>
          <w:sz w:val="20"/>
          <w:szCs w:val="20"/>
          <w:color w:val="auto"/>
        </w:rPr>
      </w:pPr>
      <w:r>
        <w:rPr>
          <w:rFonts w:ascii="Arial" w:cs="Arial" w:eastAsia="Arial" w:hAnsi="Arial"/>
          <w:sz w:val="20"/>
          <w:szCs w:val="20"/>
          <w:color w:val="auto"/>
        </w:rPr>
        <w:t>to prescribe, amend and rescind rules and regulations relating to the Plan, including rules and regulations relating to sub-plans established for the purpose of satisfying applicable foreign laws or for qualifying for favorable tax treatment under applicable foreign laws;</w:t>
      </w:r>
    </w:p>
    <w:p>
      <w:pPr>
        <w:spacing w:after="0" w:line="131" w:lineRule="exact"/>
        <w:rPr>
          <w:rFonts w:ascii="Arial" w:cs="Arial" w:eastAsia="Arial" w:hAnsi="Arial"/>
          <w:sz w:val="20"/>
          <w:szCs w:val="20"/>
          <w:color w:val="auto"/>
        </w:rPr>
      </w:pPr>
    </w:p>
    <w:p>
      <w:pPr>
        <w:jc w:val="both"/>
        <w:ind w:right="20" w:firstLine="1952"/>
        <w:spacing w:after="0" w:line="250" w:lineRule="auto"/>
        <w:tabs>
          <w:tab w:leader="none" w:pos="2557" w:val="left"/>
        </w:tabs>
        <w:numPr>
          <w:ilvl w:val="2"/>
          <w:numId w:val="239"/>
        </w:numPr>
        <w:rPr>
          <w:rFonts w:ascii="Arial" w:cs="Arial" w:eastAsia="Arial" w:hAnsi="Arial"/>
          <w:sz w:val="20"/>
          <w:szCs w:val="20"/>
          <w:color w:val="auto"/>
        </w:rPr>
      </w:pPr>
      <w:r>
        <w:rPr>
          <w:rFonts w:ascii="Arial" w:cs="Arial" w:eastAsia="Arial" w:hAnsi="Arial"/>
          <w:sz w:val="20"/>
          <w:szCs w:val="20"/>
          <w:color w:val="auto"/>
        </w:rPr>
        <w:t>to modify or amend each Award (subject to Section 18(c) of the Plan), including but not limited to the discretionary authority to extend the post-termination exercisability period of Awards and to extend the maximum term of an Option (subject to Section 6(d));</w:t>
      </w:r>
    </w:p>
    <w:p>
      <w:pPr>
        <w:spacing w:after="0" w:line="131" w:lineRule="exact"/>
        <w:rPr>
          <w:rFonts w:ascii="Arial" w:cs="Arial" w:eastAsia="Arial" w:hAnsi="Arial"/>
          <w:sz w:val="20"/>
          <w:szCs w:val="20"/>
          <w:color w:val="auto"/>
        </w:rPr>
      </w:pPr>
    </w:p>
    <w:p>
      <w:pPr>
        <w:ind w:left="2380" w:hanging="428"/>
        <w:spacing w:after="0"/>
        <w:tabs>
          <w:tab w:leader="none" w:pos="2380" w:val="left"/>
        </w:tabs>
        <w:numPr>
          <w:ilvl w:val="2"/>
          <w:numId w:val="239"/>
        </w:numPr>
        <w:rPr>
          <w:rFonts w:ascii="Arial" w:cs="Arial" w:eastAsia="Arial" w:hAnsi="Arial"/>
          <w:sz w:val="20"/>
          <w:szCs w:val="20"/>
          <w:color w:val="auto"/>
        </w:rPr>
      </w:pPr>
      <w:r>
        <w:rPr>
          <w:rFonts w:ascii="Arial" w:cs="Arial" w:eastAsia="Arial" w:hAnsi="Arial"/>
          <w:sz w:val="20"/>
          <w:szCs w:val="20"/>
          <w:color w:val="auto"/>
        </w:rPr>
        <w:t>to allow Participants to satisfy withholding tax obligations in a manner prescribed in Section 14;</w:t>
      </w:r>
    </w:p>
    <w:p>
      <w:pPr>
        <w:spacing w:after="0" w:line="161" w:lineRule="exact"/>
        <w:rPr>
          <w:rFonts w:ascii="Arial" w:cs="Arial" w:eastAsia="Arial" w:hAnsi="Arial"/>
          <w:sz w:val="20"/>
          <w:szCs w:val="20"/>
          <w:color w:val="auto"/>
        </w:rPr>
      </w:pPr>
    </w:p>
    <w:p>
      <w:pPr>
        <w:ind w:firstLine="1952"/>
        <w:spacing w:after="0" w:line="260" w:lineRule="auto"/>
        <w:tabs>
          <w:tab w:leader="none" w:pos="2451" w:val="left"/>
        </w:tabs>
        <w:numPr>
          <w:ilvl w:val="2"/>
          <w:numId w:val="239"/>
        </w:numPr>
        <w:rPr>
          <w:rFonts w:ascii="Arial" w:cs="Arial" w:eastAsia="Arial" w:hAnsi="Arial"/>
          <w:sz w:val="20"/>
          <w:szCs w:val="20"/>
          <w:color w:val="auto"/>
        </w:rPr>
      </w:pPr>
      <w:r>
        <w:rPr>
          <w:rFonts w:ascii="Arial" w:cs="Arial" w:eastAsia="Arial" w:hAnsi="Arial"/>
          <w:sz w:val="20"/>
          <w:szCs w:val="20"/>
          <w:color w:val="auto"/>
        </w:rPr>
        <w:t>to authorize any person to execute on behalf of the Company any instrument required to effect the grant of an Award previously granted by the Administrator;</w:t>
      </w:r>
    </w:p>
    <w:p>
      <w:pPr>
        <w:spacing w:after="0" w:line="122" w:lineRule="exact"/>
        <w:rPr>
          <w:rFonts w:ascii="Arial" w:cs="Arial" w:eastAsia="Arial" w:hAnsi="Arial"/>
          <w:sz w:val="20"/>
          <w:szCs w:val="20"/>
          <w:color w:val="auto"/>
        </w:rPr>
      </w:pPr>
    </w:p>
    <w:p>
      <w:pPr>
        <w:ind w:firstLine="1952"/>
        <w:spacing w:after="0" w:line="260" w:lineRule="auto"/>
        <w:tabs>
          <w:tab w:leader="none" w:pos="2572" w:val="left"/>
        </w:tabs>
        <w:numPr>
          <w:ilvl w:val="2"/>
          <w:numId w:val="239"/>
        </w:numPr>
        <w:rPr>
          <w:rFonts w:ascii="Arial" w:cs="Arial" w:eastAsia="Arial" w:hAnsi="Arial"/>
          <w:sz w:val="20"/>
          <w:szCs w:val="20"/>
          <w:color w:val="auto"/>
        </w:rPr>
      </w:pPr>
      <w:r>
        <w:rPr>
          <w:rFonts w:ascii="Arial" w:cs="Arial" w:eastAsia="Arial" w:hAnsi="Arial"/>
          <w:sz w:val="20"/>
          <w:szCs w:val="20"/>
          <w:color w:val="auto"/>
        </w:rPr>
        <w:t>to allow a Participant to defer the receipt of the payment of cash or the delivery of Shares that otherwise would be due to such Participant under an Award;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19" w:right="339" w:bottom="1440" w:gutter="0" w:footer="0" w:header="0"/>
        </w:sectPr>
      </w:pPr>
    </w:p>
    <w:bookmarkStart w:id="319" w:name="page320"/>
    <w:bookmarkEnd w:id="319"/>
    <w:p>
      <w:pPr>
        <w:ind w:left="2540" w:hanging="588"/>
        <w:spacing w:after="0"/>
        <w:tabs>
          <w:tab w:leader="none" w:pos="2540" w:val="left"/>
        </w:tabs>
        <w:numPr>
          <w:ilvl w:val="2"/>
          <w:numId w:val="240"/>
        </w:numPr>
        <w:rPr>
          <w:rFonts w:ascii="Arial" w:cs="Arial" w:eastAsia="Arial" w:hAnsi="Arial"/>
          <w:sz w:val="20"/>
          <w:szCs w:val="20"/>
          <w:color w:val="auto"/>
        </w:rPr>
      </w:pPr>
      <w:r>
        <w:rPr>
          <w:rFonts w:ascii="Arial" w:cs="Arial" w:eastAsia="Arial" w:hAnsi="Arial"/>
          <w:sz w:val="20"/>
          <w:szCs w:val="20"/>
          <w:color w:val="auto"/>
        </w:rPr>
        <w:t>to make all other determinations deemed necessary or advisable for administering the Plan.</w:t>
      </w:r>
    </w:p>
    <w:p>
      <w:pPr>
        <w:spacing w:after="0" w:line="161" w:lineRule="exact"/>
        <w:rPr>
          <w:rFonts w:ascii="Arial" w:cs="Arial" w:eastAsia="Arial" w:hAnsi="Arial"/>
          <w:sz w:val="20"/>
          <w:szCs w:val="20"/>
          <w:color w:val="auto"/>
        </w:rPr>
      </w:pPr>
    </w:p>
    <w:p>
      <w:pPr>
        <w:ind w:right="20" w:firstLine="1304"/>
        <w:spacing w:after="0" w:line="260" w:lineRule="auto"/>
        <w:tabs>
          <w:tab w:leader="none" w:pos="1727" w:val="left"/>
        </w:tabs>
        <w:numPr>
          <w:ilvl w:val="1"/>
          <w:numId w:val="241"/>
        </w:numPr>
        <w:rPr>
          <w:rFonts w:ascii="Arial" w:cs="Arial" w:eastAsia="Arial" w:hAnsi="Arial"/>
          <w:sz w:val="20"/>
          <w:szCs w:val="20"/>
          <w:color w:val="auto"/>
        </w:rPr>
      </w:pPr>
      <w:r>
        <w:rPr>
          <w:rFonts w:ascii="Arial" w:cs="Arial" w:eastAsia="Arial" w:hAnsi="Arial"/>
          <w:sz w:val="20"/>
          <w:szCs w:val="20"/>
          <w:u w:val="single" w:color="auto"/>
          <w:color w:val="auto"/>
        </w:rPr>
        <w:t>Effect of Administrator’ s Decision</w:t>
      </w:r>
      <w:r>
        <w:rPr>
          <w:rFonts w:ascii="Arial" w:cs="Arial" w:eastAsia="Arial" w:hAnsi="Arial"/>
          <w:sz w:val="20"/>
          <w:szCs w:val="20"/>
          <w:color w:val="auto"/>
        </w:rPr>
        <w:t>. The Administrator’s decisions, determinations and interpretations will be final and binding on all Participants and any other holders of Awards.</w:t>
      </w:r>
    </w:p>
    <w:p>
      <w:pPr>
        <w:spacing w:after="0" w:line="122" w:lineRule="exact"/>
        <w:rPr>
          <w:rFonts w:ascii="Arial" w:cs="Arial" w:eastAsia="Arial" w:hAnsi="Arial"/>
          <w:sz w:val="20"/>
          <w:szCs w:val="20"/>
          <w:color w:val="auto"/>
        </w:rPr>
      </w:pPr>
    </w:p>
    <w:p>
      <w:pPr>
        <w:ind w:firstLine="656"/>
        <w:spacing w:after="0" w:line="260" w:lineRule="auto"/>
        <w:tabs>
          <w:tab w:leader="none" w:pos="994" w:val="left"/>
        </w:tabs>
        <w:numPr>
          <w:ilvl w:val="0"/>
          <w:numId w:val="242"/>
        </w:numPr>
        <w:rPr>
          <w:rFonts w:ascii="Arial" w:cs="Arial" w:eastAsia="Arial" w:hAnsi="Arial"/>
          <w:sz w:val="20"/>
          <w:szCs w:val="20"/>
          <w:color w:val="auto"/>
        </w:rPr>
      </w:pPr>
      <w:r>
        <w:rPr>
          <w:rFonts w:ascii="Arial" w:cs="Arial" w:eastAsia="Arial" w:hAnsi="Arial"/>
          <w:sz w:val="20"/>
          <w:szCs w:val="20"/>
          <w:u w:val="single" w:color="auto"/>
          <w:color w:val="auto"/>
        </w:rPr>
        <w:t>Eligibility</w:t>
      </w:r>
      <w:r>
        <w:rPr>
          <w:rFonts w:ascii="Arial" w:cs="Arial" w:eastAsia="Arial" w:hAnsi="Arial"/>
          <w:sz w:val="20"/>
          <w:szCs w:val="20"/>
          <w:color w:val="auto"/>
        </w:rPr>
        <w:t>. Nonstatutory Stock Options, Stock Appreciation Rights, Restricted Stock, and Restricted Stock Units may be granted to Service Providers. Incentive Stock Options may be granted only to Employees.</w:t>
      </w:r>
    </w:p>
    <w:p>
      <w:pPr>
        <w:spacing w:after="0" w:line="122" w:lineRule="exact"/>
        <w:rPr>
          <w:rFonts w:ascii="Arial" w:cs="Arial" w:eastAsia="Arial" w:hAnsi="Arial"/>
          <w:sz w:val="20"/>
          <w:szCs w:val="20"/>
          <w:color w:val="auto"/>
        </w:rPr>
      </w:pPr>
    </w:p>
    <w:p>
      <w:pPr>
        <w:ind w:left="1000" w:hanging="344"/>
        <w:spacing w:after="0"/>
        <w:tabs>
          <w:tab w:leader="none" w:pos="1000" w:val="left"/>
        </w:tabs>
        <w:numPr>
          <w:ilvl w:val="0"/>
          <w:numId w:val="242"/>
        </w:numPr>
        <w:rPr>
          <w:rFonts w:ascii="Arial" w:cs="Arial" w:eastAsia="Arial" w:hAnsi="Arial"/>
          <w:sz w:val="20"/>
          <w:szCs w:val="20"/>
          <w:color w:val="auto"/>
        </w:rPr>
      </w:pPr>
      <w:r>
        <w:rPr>
          <w:rFonts w:ascii="Arial" w:cs="Arial" w:eastAsia="Arial" w:hAnsi="Arial"/>
          <w:sz w:val="20"/>
          <w:szCs w:val="20"/>
          <w:u w:val="single" w:color="auto"/>
          <w:color w:val="auto"/>
        </w:rPr>
        <w:t>Stock Options</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right="20" w:firstLine="1304"/>
        <w:spacing w:after="0" w:line="260" w:lineRule="auto"/>
        <w:tabs>
          <w:tab w:leader="none" w:pos="1727" w:val="left"/>
        </w:tabs>
        <w:numPr>
          <w:ilvl w:val="1"/>
          <w:numId w:val="242"/>
        </w:numPr>
        <w:rPr>
          <w:rFonts w:ascii="Arial" w:cs="Arial" w:eastAsia="Arial" w:hAnsi="Arial"/>
          <w:sz w:val="20"/>
          <w:szCs w:val="20"/>
          <w:color w:val="auto"/>
        </w:rPr>
      </w:pPr>
      <w:r>
        <w:rPr>
          <w:rFonts w:ascii="Arial" w:cs="Arial" w:eastAsia="Arial" w:hAnsi="Arial"/>
          <w:sz w:val="20"/>
          <w:szCs w:val="20"/>
          <w:u w:val="single" w:color="auto"/>
          <w:color w:val="auto"/>
        </w:rPr>
        <w:t>Grant of Options</w:t>
      </w:r>
      <w:r>
        <w:rPr>
          <w:rFonts w:ascii="Arial" w:cs="Arial" w:eastAsia="Arial" w:hAnsi="Arial"/>
          <w:sz w:val="20"/>
          <w:szCs w:val="20"/>
          <w:color w:val="auto"/>
        </w:rPr>
        <w:t>. Subject to the terms and provisions of the Plan, the Administrator, at any time and from time to time, may grant Options in such amounts as the Administrator, in its sole discretion, will determine.</w:t>
      </w:r>
    </w:p>
    <w:p>
      <w:pPr>
        <w:spacing w:after="0" w:line="122" w:lineRule="exact"/>
        <w:rPr>
          <w:rFonts w:ascii="Arial" w:cs="Arial" w:eastAsia="Arial" w:hAnsi="Arial"/>
          <w:sz w:val="20"/>
          <w:szCs w:val="20"/>
          <w:color w:val="auto"/>
        </w:rPr>
      </w:pPr>
    </w:p>
    <w:p>
      <w:pPr>
        <w:jc w:val="both"/>
        <w:ind w:firstLine="1304"/>
        <w:spacing w:after="0" w:line="250" w:lineRule="auto"/>
        <w:tabs>
          <w:tab w:leader="none" w:pos="1751" w:val="left"/>
        </w:tabs>
        <w:numPr>
          <w:ilvl w:val="1"/>
          <w:numId w:val="242"/>
        </w:numPr>
        <w:rPr>
          <w:rFonts w:ascii="Arial" w:cs="Arial" w:eastAsia="Arial" w:hAnsi="Arial"/>
          <w:sz w:val="20"/>
          <w:szCs w:val="20"/>
          <w:color w:val="auto"/>
        </w:rPr>
      </w:pPr>
      <w:r>
        <w:rPr>
          <w:rFonts w:ascii="Arial" w:cs="Arial" w:eastAsia="Arial" w:hAnsi="Arial"/>
          <w:sz w:val="20"/>
          <w:szCs w:val="20"/>
          <w:u w:val="single" w:color="auto"/>
          <w:color w:val="auto"/>
        </w:rPr>
        <w:t>Option Agreement</w:t>
      </w:r>
      <w:r>
        <w:rPr>
          <w:rFonts w:ascii="Arial" w:cs="Arial" w:eastAsia="Arial" w:hAnsi="Arial"/>
          <w:sz w:val="20"/>
          <w:szCs w:val="20"/>
          <w:color w:val="auto"/>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spacing w:after="0" w:line="131" w:lineRule="exact"/>
        <w:rPr>
          <w:rFonts w:ascii="Arial" w:cs="Arial" w:eastAsia="Arial" w:hAnsi="Arial"/>
          <w:sz w:val="20"/>
          <w:szCs w:val="20"/>
          <w:color w:val="auto"/>
        </w:rPr>
      </w:pPr>
    </w:p>
    <w:p>
      <w:pPr>
        <w:jc w:val="both"/>
        <w:ind w:firstLine="1304"/>
        <w:spacing w:after="0" w:line="274" w:lineRule="auto"/>
        <w:tabs>
          <w:tab w:leader="none" w:pos="1862" w:val="left"/>
        </w:tabs>
        <w:numPr>
          <w:ilvl w:val="1"/>
          <w:numId w:val="242"/>
        </w:numPr>
        <w:rPr>
          <w:rFonts w:ascii="Arial" w:cs="Arial" w:eastAsia="Arial" w:hAnsi="Arial"/>
          <w:sz w:val="18"/>
          <w:szCs w:val="18"/>
          <w:color w:val="auto"/>
        </w:rPr>
      </w:pPr>
      <w:r>
        <w:rPr>
          <w:rFonts w:ascii="Arial" w:cs="Arial" w:eastAsia="Arial" w:hAnsi="Arial"/>
          <w:sz w:val="18"/>
          <w:szCs w:val="18"/>
          <w:u w:val="single" w:color="auto"/>
          <w:color w:val="auto"/>
        </w:rPr>
        <w:t>Limitations</w:t>
      </w:r>
      <w:r>
        <w:rPr>
          <w:rFonts w:ascii="Arial" w:cs="Arial" w:eastAsia="Arial" w:hAnsi="Arial"/>
          <w:sz w:val="18"/>
          <w:szCs w:val="18"/>
          <w:color w:val="auto"/>
        </w:rPr>
        <w:t>. Each Option will be designated in the Award Agreement as either an Incentive Stock Option or a Nonstatutory Stock Option. Notwithstanding such designation, however,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6(c), Incentive Stock Options will be taken into account in the order in which they were granted, the Fair Market Value of the Shares will be determined as of the time the Option with respect to such Shares is granted, and calculation will be performed in accordance with Code Section 422 and Treasury Regulations promulgated thereunder.</w:t>
      </w:r>
    </w:p>
    <w:p>
      <w:pPr>
        <w:spacing w:after="0" w:line="114" w:lineRule="exact"/>
        <w:rPr>
          <w:rFonts w:ascii="Arial" w:cs="Arial" w:eastAsia="Arial" w:hAnsi="Arial"/>
          <w:sz w:val="18"/>
          <w:szCs w:val="18"/>
          <w:color w:val="auto"/>
        </w:rPr>
      </w:pPr>
    </w:p>
    <w:p>
      <w:pPr>
        <w:jc w:val="both"/>
        <w:ind w:firstLine="1304"/>
        <w:spacing w:after="0" w:line="244" w:lineRule="auto"/>
        <w:tabs>
          <w:tab w:leader="none" w:pos="1738" w:val="left"/>
        </w:tabs>
        <w:numPr>
          <w:ilvl w:val="1"/>
          <w:numId w:val="242"/>
        </w:numPr>
        <w:rPr>
          <w:rFonts w:ascii="Arial" w:cs="Arial" w:eastAsia="Arial" w:hAnsi="Arial"/>
          <w:sz w:val="20"/>
          <w:szCs w:val="20"/>
          <w:color w:val="auto"/>
        </w:rPr>
      </w:pPr>
      <w:r>
        <w:rPr>
          <w:rFonts w:ascii="Arial" w:cs="Arial" w:eastAsia="Arial" w:hAnsi="Arial"/>
          <w:sz w:val="20"/>
          <w:szCs w:val="20"/>
          <w:u w:val="single" w:color="auto"/>
          <w:color w:val="auto"/>
        </w:rPr>
        <w:t>Term of Option</w:t>
      </w:r>
      <w:r>
        <w:rPr>
          <w:rFonts w:ascii="Arial" w:cs="Arial" w:eastAsia="Arial" w:hAnsi="Arial"/>
          <w:sz w:val="20"/>
          <w:szCs w:val="20"/>
          <w:color w:val="auto"/>
        </w:rPr>
        <w:t>. The term of each Option will be stated in the Award Agreement; provided, however, that the term will be no more than ten (10) years from the date of grant thereof.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40" w:lineRule="exact"/>
        <w:rPr>
          <w:rFonts w:ascii="Arial" w:cs="Arial" w:eastAsia="Arial" w:hAnsi="Arial"/>
          <w:sz w:val="20"/>
          <w:szCs w:val="20"/>
          <w:color w:val="auto"/>
        </w:rPr>
      </w:pPr>
    </w:p>
    <w:p>
      <w:pPr>
        <w:ind w:left="1720" w:hanging="416"/>
        <w:spacing w:after="0"/>
        <w:tabs>
          <w:tab w:leader="none" w:pos="1720" w:val="left"/>
        </w:tabs>
        <w:numPr>
          <w:ilvl w:val="1"/>
          <w:numId w:val="242"/>
        </w:numPr>
        <w:rPr>
          <w:rFonts w:ascii="Arial" w:cs="Arial" w:eastAsia="Arial" w:hAnsi="Arial"/>
          <w:sz w:val="20"/>
          <w:szCs w:val="20"/>
          <w:color w:val="auto"/>
        </w:rPr>
      </w:pPr>
      <w:r>
        <w:rPr>
          <w:rFonts w:ascii="Arial" w:cs="Arial" w:eastAsia="Arial" w:hAnsi="Arial"/>
          <w:sz w:val="20"/>
          <w:szCs w:val="20"/>
          <w:u w:val="single" w:color="auto"/>
          <w:color w:val="auto"/>
        </w:rPr>
        <w:t>Option Exercise Price and Consideration</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1952"/>
        <w:spacing w:after="0" w:line="276" w:lineRule="auto"/>
        <w:tabs>
          <w:tab w:leader="none" w:pos="2383" w:val="left"/>
        </w:tabs>
        <w:numPr>
          <w:ilvl w:val="2"/>
          <w:numId w:val="242"/>
        </w:numPr>
        <w:rPr>
          <w:rFonts w:ascii="Arial" w:cs="Arial" w:eastAsia="Arial" w:hAnsi="Arial"/>
          <w:sz w:val="18"/>
          <w:szCs w:val="18"/>
          <w:color w:val="auto"/>
        </w:rPr>
      </w:pPr>
      <w:r>
        <w:rPr>
          <w:rFonts w:ascii="Arial" w:cs="Arial" w:eastAsia="Arial" w:hAnsi="Arial"/>
          <w:sz w:val="18"/>
          <w:szCs w:val="18"/>
          <w:u w:val="single" w:color="auto"/>
          <w:color w:val="auto"/>
        </w:rPr>
        <w:t>Exercise</w:t>
      </w:r>
      <w:r>
        <w:rPr>
          <w:rFonts w:ascii="Arial" w:cs="Arial" w:eastAsia="Arial" w:hAnsi="Arial"/>
          <w:sz w:val="18"/>
          <w:szCs w:val="18"/>
          <w:color w:val="auto"/>
        </w:rPr>
        <w:t xml:space="preserve"> Price. The per Share exercise price for the Shares to be issued pursuant to the exercise of an Option will be determined by the Administrator, but will be no less than one hundred percent (100%) of the Fair Market Value per Share on the date of grant. In addition, in the case of an Incentive Stock Option granted to an Employee who owns stock representing more than ten percent (10%) of the voting power of all classes of stock of the Company or any Parent or Subsidiary, the per Share exercise price will be no less than one hundred ten percent (110%) of the Fair Market Value per Share on the date of grant. Notwithstanding the foregoing provisions of this Section 6(e)(i), Options may be granted with a per Share exercise price of less than one hundred percent (100%) of the Fair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19" w:right="339" w:bottom="1440" w:gutter="0" w:footer="0" w:header="0"/>
        </w:sectPr>
      </w:pPr>
    </w:p>
    <w:bookmarkStart w:id="320" w:name="page321"/>
    <w:bookmarkEnd w:id="320"/>
    <w:p>
      <w:pPr>
        <w:spacing w:after="0"/>
        <w:rPr>
          <w:sz w:val="20"/>
          <w:szCs w:val="20"/>
          <w:color w:val="auto"/>
        </w:rPr>
      </w:pPr>
      <w:r>
        <w:rPr>
          <w:rFonts w:ascii="Arial" w:cs="Arial" w:eastAsia="Arial" w:hAnsi="Arial"/>
          <w:sz w:val="19"/>
          <w:szCs w:val="19"/>
          <w:color w:val="auto"/>
        </w:rPr>
        <w:t>Value per Share on the date of grant pursuant to a transaction described in, and in a manner consistent with, Code Section 424(a).</w:t>
      </w:r>
    </w:p>
    <w:p>
      <w:pPr>
        <w:spacing w:after="0" w:line="173" w:lineRule="exact"/>
        <w:rPr>
          <w:sz w:val="20"/>
          <w:szCs w:val="20"/>
          <w:color w:val="auto"/>
        </w:rPr>
      </w:pPr>
    </w:p>
    <w:p>
      <w:pPr>
        <w:ind w:firstLine="1952"/>
        <w:spacing w:after="0" w:line="316" w:lineRule="auto"/>
        <w:tabs>
          <w:tab w:leader="none" w:pos="2464" w:val="left"/>
        </w:tabs>
        <w:numPr>
          <w:ilvl w:val="1"/>
          <w:numId w:val="243"/>
        </w:numPr>
        <w:rPr>
          <w:rFonts w:ascii="Arial" w:cs="Arial" w:eastAsia="Arial" w:hAnsi="Arial"/>
          <w:sz w:val="18"/>
          <w:szCs w:val="18"/>
          <w:color w:val="auto"/>
        </w:rPr>
      </w:pPr>
      <w:r>
        <w:rPr>
          <w:rFonts w:ascii="Arial" w:cs="Arial" w:eastAsia="Arial" w:hAnsi="Arial"/>
          <w:sz w:val="18"/>
          <w:szCs w:val="18"/>
          <w:u w:val="single" w:color="auto"/>
          <w:color w:val="auto"/>
        </w:rPr>
        <w:t>Waiting Period and Exercise Dates</w:t>
      </w:r>
      <w:r>
        <w:rPr>
          <w:rFonts w:ascii="Arial" w:cs="Arial" w:eastAsia="Arial" w:hAnsi="Arial"/>
          <w:sz w:val="18"/>
          <w:szCs w:val="18"/>
          <w:color w:val="auto"/>
        </w:rPr>
        <w:t>. At the time an Option is granted, the Administrator will fix the period within which the Option may be exercised and will determine any conditions that must be satisfied before the Option may be exercised.</w:t>
      </w:r>
    </w:p>
    <w:p>
      <w:pPr>
        <w:spacing w:after="0" w:line="75" w:lineRule="exact"/>
        <w:rPr>
          <w:rFonts w:ascii="Arial" w:cs="Arial" w:eastAsia="Arial" w:hAnsi="Arial"/>
          <w:sz w:val="18"/>
          <w:szCs w:val="18"/>
          <w:color w:val="auto"/>
        </w:rPr>
      </w:pPr>
    </w:p>
    <w:p>
      <w:pPr>
        <w:jc w:val="both"/>
        <w:ind w:firstLine="1952"/>
        <w:spacing w:after="0" w:line="255" w:lineRule="auto"/>
        <w:tabs>
          <w:tab w:leader="none" w:pos="2465" w:val="left"/>
        </w:tabs>
        <w:numPr>
          <w:ilvl w:val="1"/>
          <w:numId w:val="243"/>
        </w:numPr>
        <w:rPr>
          <w:rFonts w:ascii="Arial" w:cs="Arial" w:eastAsia="Arial" w:hAnsi="Arial"/>
          <w:sz w:val="19"/>
          <w:szCs w:val="19"/>
          <w:color w:val="auto"/>
        </w:rPr>
      </w:pPr>
      <w:r>
        <w:rPr>
          <w:rFonts w:ascii="Arial" w:cs="Arial" w:eastAsia="Arial" w:hAnsi="Arial"/>
          <w:sz w:val="19"/>
          <w:szCs w:val="19"/>
          <w:u w:val="single" w:color="auto"/>
          <w:color w:val="auto"/>
        </w:rPr>
        <w:t>Form of Consideration</w:t>
      </w:r>
      <w:r>
        <w:rPr>
          <w:rFonts w:ascii="Arial" w:cs="Arial" w:eastAsia="Arial" w:hAnsi="Arial"/>
          <w:sz w:val="19"/>
          <w:szCs w:val="19"/>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(3) promissory note, to the extent permitted by Applicable Laws, (4)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(5) consideration received by the Company under 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 In making its determination as to the type of consideration to accept, the Administrator will consider if acceptance of such consideration may be reasonably expected to benefit the Company.</w:t>
      </w:r>
    </w:p>
    <w:p>
      <w:pPr>
        <w:spacing w:after="0" w:line="132" w:lineRule="exact"/>
        <w:rPr>
          <w:rFonts w:ascii="Arial" w:cs="Arial" w:eastAsia="Arial" w:hAnsi="Arial"/>
          <w:sz w:val="19"/>
          <w:szCs w:val="19"/>
          <w:color w:val="auto"/>
        </w:rPr>
      </w:pPr>
    </w:p>
    <w:p>
      <w:pPr>
        <w:ind w:left="1700" w:hanging="396"/>
        <w:spacing w:after="0"/>
        <w:tabs>
          <w:tab w:leader="none" w:pos="1700" w:val="left"/>
        </w:tabs>
        <w:numPr>
          <w:ilvl w:val="0"/>
          <w:numId w:val="244"/>
        </w:numPr>
        <w:rPr>
          <w:rFonts w:ascii="Arial" w:cs="Arial" w:eastAsia="Arial" w:hAnsi="Arial"/>
          <w:sz w:val="20"/>
          <w:szCs w:val="20"/>
          <w:color w:val="auto"/>
        </w:rPr>
      </w:pPr>
      <w:r>
        <w:rPr>
          <w:rFonts w:ascii="Arial" w:cs="Arial" w:eastAsia="Arial" w:hAnsi="Arial"/>
          <w:sz w:val="20"/>
          <w:szCs w:val="20"/>
          <w:u w:val="single" w:color="auto"/>
          <w:color w:val="auto"/>
        </w:rPr>
        <w:t>Exercise of Option</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1952"/>
        <w:spacing w:after="0" w:line="250" w:lineRule="auto"/>
        <w:tabs>
          <w:tab w:leader="none" w:pos="2329" w:val="left"/>
        </w:tabs>
        <w:numPr>
          <w:ilvl w:val="1"/>
          <w:numId w:val="244"/>
        </w:numPr>
        <w:rPr>
          <w:rFonts w:ascii="Arial" w:cs="Arial" w:eastAsia="Arial" w:hAnsi="Arial"/>
          <w:sz w:val="20"/>
          <w:szCs w:val="20"/>
          <w:color w:val="auto"/>
        </w:rPr>
      </w:pPr>
      <w:r>
        <w:rPr>
          <w:rFonts w:ascii="Arial" w:cs="Arial" w:eastAsia="Arial" w:hAnsi="Arial"/>
          <w:sz w:val="20"/>
          <w:szCs w:val="20"/>
          <w:u w:val="single" w:color="auto"/>
          <w:color w:val="auto"/>
        </w:rPr>
        <w:t>Procedure for Exercise; Rights as a Stockholder</w:t>
      </w:r>
      <w:r>
        <w:rPr>
          <w:rFonts w:ascii="Arial" w:cs="Arial" w:eastAsia="Arial" w:hAnsi="Arial"/>
          <w:sz w:val="20"/>
          <w:szCs w:val="20"/>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32" w:lineRule="exact"/>
        <w:rPr>
          <w:sz w:val="20"/>
          <w:szCs w:val="20"/>
          <w:color w:val="auto"/>
        </w:rPr>
      </w:pPr>
    </w:p>
    <w:p>
      <w:pPr>
        <w:jc w:val="both"/>
        <w:ind w:firstLine="2592"/>
        <w:spacing w:after="0" w:line="255" w:lineRule="auto"/>
        <w:rPr>
          <w:sz w:val="20"/>
          <w:szCs w:val="20"/>
          <w:color w:val="auto"/>
        </w:rPr>
      </w:pPr>
      <w:r>
        <w:rPr>
          <w:rFonts w:ascii="Arial" w:cs="Arial" w:eastAsia="Arial" w:hAnsi="Arial"/>
          <w:sz w:val="19"/>
          <w:szCs w:val="19"/>
          <w:color w:val="auto"/>
        </w:rPr>
        <w:t>An Option will be deemed exercised when the Company receives: (i) notice of exercise (in such form as the Administrator may specify from time to time) from the person entitled to exercise the Option, and (ii) full payment for the Shares with respect to which the Option is exercised (together with applicable tax withholding).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of the Plan.</w:t>
      </w:r>
    </w:p>
    <w:p>
      <w:pPr>
        <w:spacing w:after="0" w:line="136" w:lineRule="exact"/>
        <w:rPr>
          <w:sz w:val="20"/>
          <w:szCs w:val="20"/>
          <w:color w:val="auto"/>
        </w:rPr>
      </w:pPr>
    </w:p>
    <w:p>
      <w:pPr>
        <w:jc w:val="both"/>
        <w:ind w:firstLine="2592"/>
        <w:spacing w:after="0" w:line="260" w:lineRule="auto"/>
        <w:rPr>
          <w:sz w:val="20"/>
          <w:szCs w:val="20"/>
          <w:color w:val="auto"/>
        </w:rPr>
      </w:pPr>
      <w:r>
        <w:rPr>
          <w:rFonts w:ascii="Arial" w:cs="Arial" w:eastAsia="Arial" w:hAnsi="Arial"/>
          <w:sz w:val="20"/>
          <w:szCs w:val="20"/>
          <w:color w:val="auto"/>
        </w:rPr>
        <w:t>Exercising an Option in any manner will decrease the number of Shares thereafter available, both for purposes of the Plan and for sale under the Option, by the number of Shares as to which the Option is exercised.</w:t>
      </w:r>
    </w:p>
    <w:p>
      <w:pPr>
        <w:spacing w:after="0" w:line="123" w:lineRule="exact"/>
        <w:rPr>
          <w:sz w:val="20"/>
          <w:szCs w:val="20"/>
          <w:color w:val="auto"/>
        </w:rPr>
      </w:pPr>
    </w:p>
    <w:p>
      <w:pPr>
        <w:jc w:val="both"/>
        <w:ind w:firstLine="1952"/>
        <w:spacing w:after="0" w:line="291" w:lineRule="auto"/>
        <w:tabs>
          <w:tab w:leader="none" w:pos="2424"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Termination of Relationship as a Service Provider</w:t>
      </w:r>
      <w:r>
        <w:rPr>
          <w:rFonts w:ascii="Arial" w:cs="Arial" w:eastAsia="Arial" w:hAnsi="Arial"/>
          <w:sz w:val="18"/>
          <w:szCs w:val="18"/>
          <w:color w:val="auto"/>
        </w:rPr>
        <w:t>. If a Participant ceases to be a Service Provider, other than upon the Participant’s termination as the result of the Participant’s death or Disability, the Participant may exercise his or her Option within thirty (30) days of termination, or such longer period of time as is specified in the Award Agreement (but in no event later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19" w:right="339" w:bottom="1440" w:gutter="0" w:footer="0" w:header="0"/>
        </w:sectPr>
      </w:pPr>
    </w:p>
    <w:bookmarkStart w:id="321" w:name="page322"/>
    <w:bookmarkEnd w:id="321"/>
    <w:p>
      <w:pPr>
        <w:jc w:val="both"/>
        <w:spacing w:after="0" w:line="244" w:lineRule="auto"/>
        <w:rPr>
          <w:sz w:val="20"/>
          <w:szCs w:val="20"/>
          <w:color w:val="auto"/>
        </w:rPr>
      </w:pPr>
      <w:r>
        <w:rPr>
          <w:rFonts w:ascii="Arial" w:cs="Arial" w:eastAsia="Arial" w:hAnsi="Arial"/>
          <w:sz w:val="20"/>
          <w:szCs w:val="20"/>
          <w:color w:val="auto"/>
        </w:rPr>
        <w:t>than the expiration of the term of such Option as set forth in the Award Agreement) to the extent that the Option is vested on the date of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40" w:lineRule="exact"/>
        <w:rPr>
          <w:sz w:val="20"/>
          <w:szCs w:val="20"/>
          <w:color w:val="auto"/>
        </w:rPr>
      </w:pPr>
    </w:p>
    <w:p>
      <w:pPr>
        <w:jc w:val="both"/>
        <w:ind w:firstLine="1952"/>
        <w:spacing w:after="0" w:line="243" w:lineRule="auto"/>
        <w:tabs>
          <w:tab w:leader="none" w:pos="2573" w:val="left"/>
        </w:tabs>
        <w:numPr>
          <w:ilvl w:val="2"/>
          <w:numId w:val="246"/>
        </w:numPr>
        <w:rPr>
          <w:rFonts w:ascii="Arial" w:cs="Arial" w:eastAsia="Arial" w:hAnsi="Arial"/>
          <w:sz w:val="20"/>
          <w:szCs w:val="20"/>
          <w:color w:val="auto"/>
        </w:rPr>
      </w:pPr>
      <w:r>
        <w:rPr>
          <w:rFonts w:ascii="Arial" w:cs="Arial" w:eastAsia="Arial" w:hAnsi="Arial"/>
          <w:sz w:val="20"/>
          <w:szCs w:val="20"/>
          <w:u w:val="single" w:color="auto"/>
          <w:color w:val="auto"/>
        </w:rPr>
        <w:t>Disability of Participant</w:t>
      </w:r>
      <w:r>
        <w:rPr>
          <w:rFonts w:ascii="Arial" w:cs="Arial" w:eastAsia="Arial" w:hAnsi="Arial"/>
          <w:sz w:val="20"/>
          <w:szCs w:val="20"/>
          <w:color w:val="auto"/>
        </w:rPr>
        <w:t>. If a Participant ceases to be a Service Provider as a result of the Participant’s Disability, the Participant may exercise his or her Option within six (6) months of termination, or such longer period of time as is specified in the Award Agreement (but in no event later than the expiration of the term of such Option as set forth in the Award Agreement) to the extent the Option is vested on the date of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38" w:lineRule="exact"/>
        <w:rPr>
          <w:rFonts w:ascii="Arial" w:cs="Arial" w:eastAsia="Arial" w:hAnsi="Arial"/>
          <w:sz w:val="20"/>
          <w:szCs w:val="20"/>
          <w:color w:val="auto"/>
        </w:rPr>
      </w:pPr>
    </w:p>
    <w:p>
      <w:pPr>
        <w:jc w:val="both"/>
        <w:ind w:firstLine="1952"/>
        <w:spacing w:after="0" w:line="255" w:lineRule="auto"/>
        <w:tabs>
          <w:tab w:leader="none" w:pos="2441" w:val="left"/>
        </w:tabs>
        <w:numPr>
          <w:ilvl w:val="2"/>
          <w:numId w:val="246"/>
        </w:numPr>
        <w:rPr>
          <w:rFonts w:ascii="Arial" w:cs="Arial" w:eastAsia="Arial" w:hAnsi="Arial"/>
          <w:sz w:val="19"/>
          <w:szCs w:val="19"/>
          <w:color w:val="auto"/>
        </w:rPr>
      </w:pPr>
      <w:r>
        <w:rPr>
          <w:rFonts w:ascii="Arial" w:cs="Arial" w:eastAsia="Arial" w:hAnsi="Arial"/>
          <w:sz w:val="19"/>
          <w:szCs w:val="19"/>
          <w:u w:val="single" w:color="auto"/>
          <w:color w:val="auto"/>
        </w:rPr>
        <w:t>Death of Participant</w:t>
      </w:r>
      <w:r>
        <w:rPr>
          <w:rFonts w:ascii="Arial" w:cs="Arial" w:eastAsia="Arial" w:hAnsi="Arial"/>
          <w:sz w:val="19"/>
          <w:szCs w:val="19"/>
          <w:color w:val="auto"/>
        </w:rPr>
        <w:t>. If a Participant dies while a Service Provider, the Option may be exercised within six (6) months following the Participant’s death, or within such longer period of time as is specified in the Award Agreement (but in no event later than the expiration of the term of such Option as set forth in the Award Agreement) to the extent that the Option is vested on the date of death, by the Participant’s designated beneficiary, provided such beneficiary has been designated prior to the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35" w:lineRule="exact"/>
        <w:rPr>
          <w:rFonts w:ascii="Arial" w:cs="Arial" w:eastAsia="Arial" w:hAnsi="Arial"/>
          <w:sz w:val="19"/>
          <w:szCs w:val="19"/>
          <w:color w:val="auto"/>
        </w:rPr>
      </w:pPr>
    </w:p>
    <w:p>
      <w:pPr>
        <w:ind w:left="1000" w:hanging="344"/>
        <w:spacing w:after="0"/>
        <w:tabs>
          <w:tab w:leader="none" w:pos="1000" w:val="left"/>
        </w:tabs>
        <w:numPr>
          <w:ilvl w:val="0"/>
          <w:numId w:val="247"/>
        </w:numPr>
        <w:rPr>
          <w:rFonts w:ascii="Arial" w:cs="Arial" w:eastAsia="Arial" w:hAnsi="Arial"/>
          <w:sz w:val="20"/>
          <w:szCs w:val="20"/>
          <w:color w:val="auto"/>
        </w:rPr>
      </w:pPr>
      <w:r>
        <w:rPr>
          <w:rFonts w:ascii="Arial" w:cs="Arial" w:eastAsia="Arial" w:hAnsi="Arial"/>
          <w:sz w:val="20"/>
          <w:szCs w:val="20"/>
          <w:u w:val="single" w:color="auto"/>
          <w:color w:val="auto"/>
        </w:rPr>
        <w:t>Stock Appreciation Rights</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firstLine="1304"/>
        <w:spacing w:after="0" w:line="316" w:lineRule="auto"/>
        <w:tabs>
          <w:tab w:leader="none" w:pos="1713" w:val="left"/>
        </w:tabs>
        <w:numPr>
          <w:ilvl w:val="1"/>
          <w:numId w:val="247"/>
        </w:numPr>
        <w:rPr>
          <w:rFonts w:ascii="Arial" w:cs="Arial" w:eastAsia="Arial" w:hAnsi="Arial"/>
          <w:sz w:val="18"/>
          <w:szCs w:val="18"/>
          <w:color w:val="auto"/>
        </w:rPr>
      </w:pPr>
      <w:r>
        <w:rPr>
          <w:rFonts w:ascii="Arial" w:cs="Arial" w:eastAsia="Arial" w:hAnsi="Arial"/>
          <w:sz w:val="18"/>
          <w:szCs w:val="18"/>
          <w:u w:val="single" w:color="auto"/>
          <w:color w:val="auto"/>
        </w:rPr>
        <w:t>Grant of Stock Appreciation Rights</w:t>
      </w:r>
      <w:r>
        <w:rPr>
          <w:rFonts w:ascii="Arial" w:cs="Arial" w:eastAsia="Arial" w:hAnsi="Arial"/>
          <w:sz w:val="18"/>
          <w:szCs w:val="18"/>
          <w:color w:val="auto"/>
        </w:rPr>
        <w:t>. Subject to the terms and conditions of the Plan, a Stock Appreciation Right may be granted to Service Providers at any time and from time to time as will be determined by the Administrator, in its sole discretion.</w:t>
      </w:r>
    </w:p>
    <w:p>
      <w:pPr>
        <w:spacing w:after="0" w:line="75" w:lineRule="exact"/>
        <w:rPr>
          <w:rFonts w:ascii="Arial" w:cs="Arial" w:eastAsia="Arial" w:hAnsi="Arial"/>
          <w:sz w:val="18"/>
          <w:szCs w:val="18"/>
          <w:color w:val="auto"/>
        </w:rPr>
      </w:pPr>
    </w:p>
    <w:p>
      <w:pPr>
        <w:ind w:firstLine="1304"/>
        <w:spacing w:after="0" w:line="260" w:lineRule="auto"/>
        <w:tabs>
          <w:tab w:leader="none" w:pos="1751" w:val="left"/>
        </w:tabs>
        <w:numPr>
          <w:ilvl w:val="1"/>
          <w:numId w:val="247"/>
        </w:numPr>
        <w:rPr>
          <w:rFonts w:ascii="Arial" w:cs="Arial" w:eastAsia="Arial" w:hAnsi="Arial"/>
          <w:sz w:val="20"/>
          <w:szCs w:val="20"/>
          <w:color w:val="auto"/>
        </w:rPr>
      </w:pPr>
      <w:r>
        <w:rPr>
          <w:rFonts w:ascii="Arial" w:cs="Arial" w:eastAsia="Arial" w:hAnsi="Arial"/>
          <w:sz w:val="20"/>
          <w:szCs w:val="20"/>
          <w:u w:val="single" w:color="auto"/>
          <w:color w:val="auto"/>
        </w:rPr>
        <w:t>Number of Shares</w:t>
      </w:r>
      <w:r>
        <w:rPr>
          <w:rFonts w:ascii="Arial" w:cs="Arial" w:eastAsia="Arial" w:hAnsi="Arial"/>
          <w:sz w:val="20"/>
          <w:szCs w:val="20"/>
          <w:color w:val="auto"/>
        </w:rPr>
        <w:t>. The Administrator will have complete discretion to determine the number of Shares subject to any Award of Stock Appreciation Rights.</w:t>
      </w:r>
    </w:p>
    <w:p>
      <w:pPr>
        <w:spacing w:after="0" w:line="122" w:lineRule="exact"/>
        <w:rPr>
          <w:rFonts w:ascii="Arial" w:cs="Arial" w:eastAsia="Arial" w:hAnsi="Arial"/>
          <w:sz w:val="20"/>
          <w:szCs w:val="20"/>
          <w:color w:val="auto"/>
        </w:rPr>
      </w:pPr>
    </w:p>
    <w:p>
      <w:pPr>
        <w:jc w:val="both"/>
        <w:ind w:firstLine="1304"/>
        <w:spacing w:after="0" w:line="244" w:lineRule="auto"/>
        <w:tabs>
          <w:tab w:leader="none" w:pos="1794" w:val="left"/>
        </w:tabs>
        <w:numPr>
          <w:ilvl w:val="1"/>
          <w:numId w:val="247"/>
        </w:numPr>
        <w:rPr>
          <w:rFonts w:ascii="Arial" w:cs="Arial" w:eastAsia="Arial" w:hAnsi="Arial"/>
          <w:sz w:val="20"/>
          <w:szCs w:val="20"/>
          <w:color w:val="auto"/>
        </w:rPr>
      </w:pPr>
      <w:r>
        <w:rPr>
          <w:rFonts w:ascii="Arial" w:cs="Arial" w:eastAsia="Arial" w:hAnsi="Arial"/>
          <w:sz w:val="20"/>
          <w:szCs w:val="20"/>
          <w:u w:val="single" w:color="auto"/>
          <w:color w:val="auto"/>
        </w:rPr>
        <w:t>Exercise Price and Other Terms</w:t>
      </w:r>
      <w:r>
        <w:rPr>
          <w:rFonts w:ascii="Arial" w:cs="Arial" w:eastAsia="Arial" w:hAnsi="Arial"/>
          <w:sz w:val="20"/>
          <w:szCs w:val="20"/>
          <w:color w:val="auto"/>
        </w:rPr>
        <w:t>. The per Share exercise price for the Shares that will determine the amount of the payment to be received upon exercise of a Stock Appreciation Right as set forth in Section 7(f)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40" w:lineRule="exact"/>
        <w:rPr>
          <w:rFonts w:ascii="Arial" w:cs="Arial" w:eastAsia="Arial" w:hAnsi="Arial"/>
          <w:sz w:val="20"/>
          <w:szCs w:val="20"/>
          <w:color w:val="auto"/>
        </w:rPr>
      </w:pPr>
    </w:p>
    <w:p>
      <w:pPr>
        <w:jc w:val="both"/>
        <w:ind w:firstLine="1304"/>
        <w:spacing w:after="0" w:line="250" w:lineRule="auto"/>
        <w:tabs>
          <w:tab w:leader="none" w:pos="1738" w:val="left"/>
        </w:tabs>
        <w:numPr>
          <w:ilvl w:val="1"/>
          <w:numId w:val="247"/>
        </w:numPr>
        <w:rPr>
          <w:rFonts w:ascii="Arial" w:cs="Arial" w:eastAsia="Arial" w:hAnsi="Arial"/>
          <w:sz w:val="20"/>
          <w:szCs w:val="20"/>
          <w:color w:val="auto"/>
        </w:rPr>
      </w:pPr>
      <w:r>
        <w:rPr>
          <w:rFonts w:ascii="Arial" w:cs="Arial" w:eastAsia="Arial" w:hAnsi="Arial"/>
          <w:sz w:val="20"/>
          <w:szCs w:val="20"/>
          <w:u w:val="single" w:color="auto"/>
          <w:color w:val="auto"/>
        </w:rPr>
        <w:t>Stock Appreciation Right Agreement</w:t>
      </w:r>
      <w:r>
        <w:rPr>
          <w:rFonts w:ascii="Arial" w:cs="Arial" w:eastAsia="Arial" w:hAnsi="Arial"/>
          <w:sz w:val="20"/>
          <w:szCs w:val="20"/>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19" w:right="339" w:bottom="1440" w:gutter="0" w:footer="0" w:header="0"/>
        </w:sectPr>
      </w:pPr>
    </w:p>
    <w:bookmarkStart w:id="322" w:name="page323"/>
    <w:bookmarkEnd w:id="322"/>
    <w:p>
      <w:pPr>
        <w:jc w:val="both"/>
        <w:ind w:firstLine="1304"/>
        <w:spacing w:after="0" w:line="269" w:lineRule="auto"/>
        <w:tabs>
          <w:tab w:leader="none" w:pos="1740" w:val="left"/>
        </w:tabs>
        <w:numPr>
          <w:ilvl w:val="0"/>
          <w:numId w:val="248"/>
        </w:numPr>
        <w:rPr>
          <w:rFonts w:ascii="Arial" w:cs="Arial" w:eastAsia="Arial" w:hAnsi="Arial"/>
          <w:sz w:val="19"/>
          <w:szCs w:val="19"/>
          <w:color w:val="auto"/>
        </w:rPr>
      </w:pPr>
      <w:r>
        <w:rPr>
          <w:rFonts w:ascii="Arial" w:cs="Arial" w:eastAsia="Arial" w:hAnsi="Arial"/>
          <w:sz w:val="19"/>
          <w:szCs w:val="19"/>
          <w:u w:val="single" w:color="auto"/>
          <w:color w:val="auto"/>
        </w:rPr>
        <w:t>Expiration of Stock Appreciation Rights</w:t>
      </w:r>
      <w:r>
        <w:rPr>
          <w:rFonts w:ascii="Arial" w:cs="Arial" w:eastAsia="Arial" w:hAnsi="Arial"/>
          <w:sz w:val="19"/>
          <w:szCs w:val="19"/>
          <w:color w:val="auto"/>
        </w:rPr>
        <w:t>. A Stock Appreciation Right granted under the Plan will expire upon the date determined by the Administrator, in its sole discretion, and set forth in the Award Agreement. Notwithstanding the foregoing, the rules of Section 6(d) relating to the maximum term and Section 6(f) relating to exercise also will apply to Stock Appreciation Rights.</w:t>
      </w:r>
    </w:p>
    <w:p>
      <w:pPr>
        <w:spacing w:after="0" w:line="115" w:lineRule="exact"/>
        <w:rPr>
          <w:rFonts w:ascii="Arial" w:cs="Arial" w:eastAsia="Arial" w:hAnsi="Arial"/>
          <w:sz w:val="19"/>
          <w:szCs w:val="19"/>
          <w:color w:val="auto"/>
        </w:rPr>
      </w:pPr>
    </w:p>
    <w:p>
      <w:pPr>
        <w:ind w:firstLine="1304"/>
        <w:spacing w:after="0" w:line="260" w:lineRule="auto"/>
        <w:tabs>
          <w:tab w:leader="none" w:pos="1786" w:val="left"/>
        </w:tabs>
        <w:numPr>
          <w:ilvl w:val="0"/>
          <w:numId w:val="248"/>
        </w:numPr>
        <w:rPr>
          <w:rFonts w:ascii="Arial" w:cs="Arial" w:eastAsia="Arial" w:hAnsi="Arial"/>
          <w:sz w:val="20"/>
          <w:szCs w:val="20"/>
          <w:color w:val="auto"/>
        </w:rPr>
      </w:pPr>
      <w:r>
        <w:rPr>
          <w:rFonts w:ascii="Arial" w:cs="Arial" w:eastAsia="Arial" w:hAnsi="Arial"/>
          <w:sz w:val="20"/>
          <w:szCs w:val="20"/>
          <w:u w:val="single" w:color="auto"/>
          <w:color w:val="auto"/>
        </w:rPr>
        <w:t>Payment of Stock Appreciation Right Amount</w:t>
      </w:r>
      <w:r>
        <w:rPr>
          <w:rFonts w:ascii="Arial" w:cs="Arial" w:eastAsia="Arial" w:hAnsi="Arial"/>
          <w:sz w:val="20"/>
          <w:szCs w:val="20"/>
          <w:color w:val="auto"/>
        </w:rPr>
        <w:t>. Upon exercise of a Stock Appreciation Right, a Participant will be entitled to receive payment from the Company in an amount determined by multiplying:</w:t>
      </w:r>
    </w:p>
    <w:p>
      <w:pPr>
        <w:spacing w:after="0" w:line="122" w:lineRule="exact"/>
        <w:rPr>
          <w:rFonts w:ascii="Arial" w:cs="Arial" w:eastAsia="Arial" w:hAnsi="Arial"/>
          <w:sz w:val="20"/>
          <w:szCs w:val="20"/>
          <w:color w:val="auto"/>
        </w:rPr>
      </w:pPr>
    </w:p>
    <w:p>
      <w:pPr>
        <w:ind w:left="2340" w:hanging="388"/>
        <w:spacing w:after="0"/>
        <w:tabs>
          <w:tab w:leader="none" w:pos="234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The difference between the Fair Market Value of a Share on the date of exercise over the exercise price; times</w:t>
      </w:r>
    </w:p>
    <w:p>
      <w:pPr>
        <w:spacing w:after="0" w:line="184" w:lineRule="exact"/>
        <w:rPr>
          <w:rFonts w:ascii="Arial" w:cs="Arial" w:eastAsia="Arial" w:hAnsi="Arial"/>
          <w:sz w:val="18"/>
          <w:szCs w:val="18"/>
          <w:color w:val="auto"/>
        </w:rPr>
      </w:pPr>
    </w:p>
    <w:p>
      <w:pPr>
        <w:ind w:left="2380" w:hanging="428"/>
        <w:spacing w:after="0"/>
        <w:tabs>
          <w:tab w:leader="none" w:pos="2380" w:val="left"/>
        </w:tabs>
        <w:numPr>
          <w:ilvl w:val="1"/>
          <w:numId w:val="248"/>
        </w:numPr>
        <w:rPr>
          <w:rFonts w:ascii="Arial" w:cs="Arial" w:eastAsia="Arial" w:hAnsi="Arial"/>
          <w:sz w:val="20"/>
          <w:szCs w:val="20"/>
          <w:color w:val="auto"/>
        </w:rPr>
      </w:pPr>
      <w:r>
        <w:rPr>
          <w:rFonts w:ascii="Arial" w:cs="Arial" w:eastAsia="Arial" w:hAnsi="Arial"/>
          <w:sz w:val="20"/>
          <w:szCs w:val="20"/>
          <w:color w:val="auto"/>
        </w:rPr>
        <w:t>The number of Shares with respect to which the Stock Appreciation Right is exercised.</w:t>
      </w:r>
    </w:p>
    <w:p>
      <w:pPr>
        <w:spacing w:after="0" w:line="162"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At the discretion of the Administrator, the payment upon Stock Appreciation Right exercise may be in cash, in Shares of equivalent value, or in some combination thereof.</w:t>
      </w:r>
    </w:p>
    <w:p>
      <w:pPr>
        <w:spacing w:after="0" w:line="123" w:lineRule="exact"/>
        <w:rPr>
          <w:sz w:val="20"/>
          <w:szCs w:val="20"/>
          <w:color w:val="auto"/>
        </w:rPr>
      </w:pPr>
    </w:p>
    <w:p>
      <w:pPr>
        <w:ind w:left="1000" w:hanging="344"/>
        <w:spacing w:after="0"/>
        <w:tabs>
          <w:tab w:leader="none" w:pos="1000" w:val="left"/>
        </w:tabs>
        <w:numPr>
          <w:ilvl w:val="0"/>
          <w:numId w:val="249"/>
        </w:numPr>
        <w:rPr>
          <w:rFonts w:ascii="Arial" w:cs="Arial" w:eastAsia="Arial" w:hAnsi="Arial"/>
          <w:sz w:val="20"/>
          <w:szCs w:val="20"/>
          <w:color w:val="auto"/>
        </w:rPr>
      </w:pPr>
      <w:r>
        <w:rPr>
          <w:rFonts w:ascii="Arial" w:cs="Arial" w:eastAsia="Arial" w:hAnsi="Arial"/>
          <w:sz w:val="20"/>
          <w:szCs w:val="20"/>
          <w:u w:val="single" w:color="auto"/>
          <w:color w:val="auto"/>
        </w:rPr>
        <w:t>Restricted Stock</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1304"/>
        <w:spacing w:after="0" w:line="316" w:lineRule="auto"/>
        <w:tabs>
          <w:tab w:leader="none" w:pos="1713" w:val="left"/>
        </w:tabs>
        <w:numPr>
          <w:ilvl w:val="1"/>
          <w:numId w:val="249"/>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w:t>
      </w:r>
      <w:r>
        <w:rPr>
          <w:rFonts w:ascii="Arial" w:cs="Arial" w:eastAsia="Arial" w:hAnsi="Arial"/>
          <w:sz w:val="18"/>
          <w:szCs w:val="18"/>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75" w:lineRule="exact"/>
        <w:rPr>
          <w:rFonts w:ascii="Arial" w:cs="Arial" w:eastAsia="Arial" w:hAnsi="Arial"/>
          <w:sz w:val="18"/>
          <w:szCs w:val="18"/>
          <w:color w:val="auto"/>
        </w:rPr>
      </w:pPr>
    </w:p>
    <w:p>
      <w:pPr>
        <w:jc w:val="both"/>
        <w:ind w:firstLine="1304"/>
        <w:spacing w:after="0" w:line="246" w:lineRule="auto"/>
        <w:tabs>
          <w:tab w:leader="none" w:pos="1819" w:val="left"/>
        </w:tabs>
        <w:numPr>
          <w:ilvl w:val="1"/>
          <w:numId w:val="249"/>
        </w:numPr>
        <w:rPr>
          <w:rFonts w:ascii="Arial" w:cs="Arial" w:eastAsia="Arial" w:hAnsi="Arial"/>
          <w:sz w:val="20"/>
          <w:szCs w:val="20"/>
          <w:color w:val="auto"/>
        </w:rPr>
      </w:pPr>
      <w:r>
        <w:rPr>
          <w:rFonts w:ascii="Arial" w:cs="Arial" w:eastAsia="Arial" w:hAnsi="Arial"/>
          <w:sz w:val="20"/>
          <w:szCs w:val="20"/>
          <w:u w:val="single" w:color="auto"/>
          <w:color w:val="auto"/>
        </w:rPr>
        <w:t>Restricted Stock Agreement</w:t>
      </w:r>
      <w:r>
        <w:rPr>
          <w:rFonts w:ascii="Arial" w:cs="Arial" w:eastAsia="Arial" w:hAnsi="Arial"/>
          <w:sz w:val="20"/>
          <w:szCs w:val="20"/>
          <w:color w:val="auto"/>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37" w:lineRule="exact"/>
        <w:rPr>
          <w:rFonts w:ascii="Arial" w:cs="Arial" w:eastAsia="Arial" w:hAnsi="Arial"/>
          <w:sz w:val="20"/>
          <w:szCs w:val="20"/>
          <w:color w:val="auto"/>
        </w:rPr>
      </w:pPr>
    </w:p>
    <w:p>
      <w:pPr>
        <w:ind w:right="20" w:firstLine="1304"/>
        <w:spacing w:after="0" w:line="316" w:lineRule="auto"/>
        <w:tabs>
          <w:tab w:leader="none" w:pos="1713" w:val="left"/>
        </w:tabs>
        <w:numPr>
          <w:ilvl w:val="1"/>
          <w:numId w:val="249"/>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Except as provided in this Section 8 or as the Administrator determines, Shares of Restricted Stock may not be sold, transferred, pledged, assigned, or otherwise alienated or hypothecated until the end of the applicable Period of Restriction.</w:t>
      </w:r>
    </w:p>
    <w:p>
      <w:pPr>
        <w:spacing w:after="0" w:line="75" w:lineRule="exact"/>
        <w:rPr>
          <w:rFonts w:ascii="Arial" w:cs="Arial" w:eastAsia="Arial" w:hAnsi="Arial"/>
          <w:sz w:val="18"/>
          <w:szCs w:val="18"/>
          <w:color w:val="auto"/>
        </w:rPr>
      </w:pPr>
    </w:p>
    <w:p>
      <w:pPr>
        <w:ind w:firstLine="1304"/>
        <w:spacing w:after="0" w:line="260" w:lineRule="auto"/>
        <w:tabs>
          <w:tab w:leader="none" w:pos="1738" w:val="left"/>
        </w:tabs>
        <w:numPr>
          <w:ilvl w:val="1"/>
          <w:numId w:val="249"/>
        </w:numPr>
        <w:rPr>
          <w:rFonts w:ascii="Arial" w:cs="Arial" w:eastAsia="Arial" w:hAnsi="Arial"/>
          <w:sz w:val="20"/>
          <w:szCs w:val="20"/>
          <w:color w:val="auto"/>
        </w:rPr>
      </w:pPr>
      <w:r>
        <w:rPr>
          <w:rFonts w:ascii="Arial" w:cs="Arial" w:eastAsia="Arial" w:hAnsi="Arial"/>
          <w:sz w:val="20"/>
          <w:szCs w:val="20"/>
          <w:u w:val="single" w:color="auto"/>
          <w:color w:val="auto"/>
        </w:rPr>
        <w:t>Other Restrictions</w:t>
      </w:r>
      <w:r>
        <w:rPr>
          <w:rFonts w:ascii="Arial" w:cs="Arial" w:eastAsia="Arial" w:hAnsi="Arial"/>
          <w:sz w:val="20"/>
          <w:szCs w:val="20"/>
          <w:color w:val="auto"/>
        </w:rPr>
        <w:t>. The Administrator, in its sole discretion, may impose such other restrictions on Shares of Restricted Stock as it may deem advisable or appropriate.</w:t>
      </w:r>
    </w:p>
    <w:p>
      <w:pPr>
        <w:spacing w:after="0" w:line="122" w:lineRule="exact"/>
        <w:rPr>
          <w:rFonts w:ascii="Arial" w:cs="Arial" w:eastAsia="Arial" w:hAnsi="Arial"/>
          <w:sz w:val="20"/>
          <w:szCs w:val="20"/>
          <w:color w:val="auto"/>
        </w:rPr>
      </w:pPr>
    </w:p>
    <w:p>
      <w:pPr>
        <w:jc w:val="both"/>
        <w:ind w:firstLine="1304"/>
        <w:spacing w:after="0" w:line="246" w:lineRule="auto"/>
        <w:tabs>
          <w:tab w:leader="none" w:pos="1767" w:val="left"/>
        </w:tabs>
        <w:numPr>
          <w:ilvl w:val="1"/>
          <w:numId w:val="249"/>
        </w:numPr>
        <w:rPr>
          <w:rFonts w:ascii="Arial" w:cs="Arial" w:eastAsia="Arial" w:hAnsi="Arial"/>
          <w:sz w:val="20"/>
          <w:szCs w:val="20"/>
          <w:color w:val="auto"/>
        </w:rPr>
      </w:pPr>
      <w:r>
        <w:rPr>
          <w:rFonts w:ascii="Arial" w:cs="Arial" w:eastAsia="Arial" w:hAnsi="Arial"/>
          <w:sz w:val="20"/>
          <w:szCs w:val="20"/>
          <w:u w:val="single" w:color="auto"/>
          <w:color w:val="auto"/>
        </w:rPr>
        <w:t>Removal of Restrictions</w:t>
      </w:r>
      <w:r>
        <w:rPr>
          <w:rFonts w:ascii="Arial" w:cs="Arial" w:eastAsia="Arial" w:hAnsi="Arial"/>
          <w:sz w:val="20"/>
          <w:szCs w:val="20"/>
          <w:color w:val="auto"/>
        </w:rPr>
        <w:t>.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37" w:lineRule="exact"/>
        <w:rPr>
          <w:rFonts w:ascii="Arial" w:cs="Arial" w:eastAsia="Arial" w:hAnsi="Arial"/>
          <w:sz w:val="20"/>
          <w:szCs w:val="20"/>
          <w:color w:val="auto"/>
        </w:rPr>
      </w:pPr>
    </w:p>
    <w:p>
      <w:pPr>
        <w:ind w:firstLine="1304"/>
        <w:spacing w:after="0" w:line="260" w:lineRule="auto"/>
        <w:tabs>
          <w:tab w:leader="none" w:pos="1692" w:val="left"/>
        </w:tabs>
        <w:numPr>
          <w:ilvl w:val="1"/>
          <w:numId w:val="249"/>
        </w:numPr>
        <w:rPr>
          <w:rFonts w:ascii="Arial" w:cs="Arial" w:eastAsia="Arial" w:hAnsi="Arial"/>
          <w:sz w:val="20"/>
          <w:szCs w:val="20"/>
          <w:color w:val="auto"/>
        </w:rPr>
      </w:pPr>
      <w:r>
        <w:rPr>
          <w:rFonts w:ascii="Arial" w:cs="Arial" w:eastAsia="Arial" w:hAnsi="Arial"/>
          <w:sz w:val="20"/>
          <w:szCs w:val="20"/>
          <w:u w:val="single" w:color="auto"/>
          <w:color w:val="auto"/>
        </w:rPr>
        <w:t>Voting Rights</w:t>
      </w:r>
      <w:r>
        <w:rPr>
          <w:rFonts w:ascii="Arial" w:cs="Arial" w:eastAsia="Arial" w:hAnsi="Arial"/>
          <w:sz w:val="20"/>
          <w:szCs w:val="20"/>
          <w:color w:val="auto"/>
        </w:rPr>
        <w:t>. During the Period of Restriction, Service Providers holding Shares of Restricted Stock granted hereunder may exercise full voting rights with respect to those Shares, unless the Administrator determines otherwise.</w:t>
      </w:r>
    </w:p>
    <w:p>
      <w:pPr>
        <w:spacing w:after="0" w:line="122" w:lineRule="exact"/>
        <w:rPr>
          <w:rFonts w:ascii="Arial" w:cs="Arial" w:eastAsia="Arial" w:hAnsi="Arial"/>
          <w:sz w:val="20"/>
          <w:szCs w:val="20"/>
          <w:color w:val="auto"/>
        </w:rPr>
      </w:pPr>
    </w:p>
    <w:p>
      <w:pPr>
        <w:jc w:val="both"/>
        <w:ind w:firstLine="1304"/>
        <w:spacing w:after="0" w:line="246" w:lineRule="auto"/>
        <w:tabs>
          <w:tab w:leader="none" w:pos="1792" w:val="left"/>
        </w:tabs>
        <w:numPr>
          <w:ilvl w:val="1"/>
          <w:numId w:val="249"/>
        </w:numPr>
        <w:rPr>
          <w:rFonts w:ascii="Arial" w:cs="Arial" w:eastAsia="Arial" w:hAnsi="Arial"/>
          <w:sz w:val="20"/>
          <w:szCs w:val="20"/>
          <w:color w:val="auto"/>
        </w:rPr>
      </w:pPr>
      <w:r>
        <w:rPr>
          <w:rFonts w:ascii="Arial" w:cs="Arial" w:eastAsia="Arial" w:hAnsi="Arial"/>
          <w:sz w:val="20"/>
          <w:szCs w:val="20"/>
          <w:u w:val="single" w:color="auto"/>
          <w:color w:val="auto"/>
        </w:rPr>
        <w:t>Dividends and Other Distributions</w:t>
      </w:r>
      <w:r>
        <w:rPr>
          <w:rFonts w:ascii="Arial" w:cs="Arial" w:eastAsia="Arial" w:hAnsi="Arial"/>
          <w:sz w:val="20"/>
          <w:szCs w:val="20"/>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19" w:right="339" w:bottom="1440" w:gutter="0" w:footer="0" w:header="0"/>
        </w:sectPr>
      </w:pPr>
    </w:p>
    <w:bookmarkStart w:id="323" w:name="page324"/>
    <w:bookmarkEnd w:id="323"/>
    <w:p>
      <w:pPr>
        <w:ind w:firstLine="1304"/>
        <w:spacing w:after="0" w:line="287" w:lineRule="auto"/>
        <w:tabs>
          <w:tab w:leader="none" w:pos="1751" w:val="left"/>
        </w:tabs>
        <w:numPr>
          <w:ilvl w:val="1"/>
          <w:numId w:val="250"/>
        </w:numPr>
        <w:rPr>
          <w:rFonts w:ascii="Arial" w:cs="Arial" w:eastAsia="Arial" w:hAnsi="Arial"/>
          <w:sz w:val="19"/>
          <w:szCs w:val="19"/>
          <w:color w:val="auto"/>
        </w:rPr>
      </w:pPr>
      <w:r>
        <w:rPr>
          <w:rFonts w:ascii="Arial" w:cs="Arial" w:eastAsia="Arial" w:hAnsi="Arial"/>
          <w:sz w:val="19"/>
          <w:szCs w:val="19"/>
          <w:u w:val="single" w:color="auto"/>
          <w:color w:val="auto"/>
        </w:rPr>
        <w:t>Return of Restricted Stock to Company</w:t>
      </w:r>
      <w:r>
        <w:rPr>
          <w:rFonts w:ascii="Arial" w:cs="Arial" w:eastAsia="Arial" w:hAnsi="Arial"/>
          <w:sz w:val="19"/>
          <w:szCs w:val="19"/>
          <w:color w:val="auto"/>
        </w:rPr>
        <w:t>. On the date set forth in the Award Agreement, the Restricted Stock for which restrictions have not lapsed will revert to the Company and again will become available for grant under the Plan.</w:t>
      </w:r>
    </w:p>
    <w:p>
      <w:pPr>
        <w:spacing w:after="0" w:line="98" w:lineRule="exact"/>
        <w:rPr>
          <w:rFonts w:ascii="Arial" w:cs="Arial" w:eastAsia="Arial" w:hAnsi="Arial"/>
          <w:sz w:val="19"/>
          <w:szCs w:val="19"/>
          <w:color w:val="auto"/>
        </w:rPr>
      </w:pPr>
    </w:p>
    <w:p>
      <w:pPr>
        <w:ind w:left="1000" w:hanging="344"/>
        <w:spacing w:after="0"/>
        <w:tabs>
          <w:tab w:leader="none" w:pos="1000" w:val="left"/>
        </w:tabs>
        <w:numPr>
          <w:ilvl w:val="0"/>
          <w:numId w:val="251"/>
        </w:numPr>
        <w:rPr>
          <w:rFonts w:ascii="Arial" w:cs="Arial" w:eastAsia="Arial" w:hAnsi="Arial"/>
          <w:sz w:val="20"/>
          <w:szCs w:val="20"/>
          <w:color w:val="auto"/>
        </w:rPr>
      </w:pPr>
      <w:r>
        <w:rPr>
          <w:rFonts w:ascii="Arial" w:cs="Arial" w:eastAsia="Arial" w:hAnsi="Arial"/>
          <w:sz w:val="20"/>
          <w:szCs w:val="20"/>
          <w:u w:val="single" w:color="auto"/>
          <w:color w:val="auto"/>
        </w:rPr>
        <w:t>Restricted Stock Units</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1304"/>
        <w:spacing w:after="0" w:line="250" w:lineRule="auto"/>
        <w:tabs>
          <w:tab w:leader="none" w:pos="1767" w:val="left"/>
        </w:tabs>
        <w:numPr>
          <w:ilvl w:val="1"/>
          <w:numId w:val="251"/>
        </w:numPr>
        <w:rPr>
          <w:rFonts w:ascii="Arial" w:cs="Arial" w:eastAsia="Arial" w:hAnsi="Arial"/>
          <w:sz w:val="20"/>
          <w:szCs w:val="20"/>
          <w:color w:val="auto"/>
        </w:rPr>
      </w:pPr>
      <w:r>
        <w:rPr>
          <w:rFonts w:ascii="Arial" w:cs="Arial" w:eastAsia="Arial" w:hAnsi="Arial"/>
          <w:sz w:val="20"/>
          <w:szCs w:val="20"/>
          <w:u w:val="single" w:color="auto"/>
          <w:color w:val="auto"/>
        </w:rPr>
        <w:t>Grant</w:t>
      </w:r>
      <w:r>
        <w:rPr>
          <w:rFonts w:ascii="Arial" w:cs="Arial" w:eastAsia="Arial" w:hAnsi="Arial"/>
          <w:sz w:val="20"/>
          <w:szCs w:val="20"/>
          <w:color w:val="auto"/>
        </w:rPr>
        <w:t>. Restricted Stock Units may be granted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spacing w:after="0" w:line="131" w:lineRule="exact"/>
        <w:rPr>
          <w:rFonts w:ascii="Arial" w:cs="Arial" w:eastAsia="Arial" w:hAnsi="Arial"/>
          <w:sz w:val="20"/>
          <w:szCs w:val="20"/>
          <w:color w:val="auto"/>
        </w:rPr>
      </w:pPr>
    </w:p>
    <w:p>
      <w:pPr>
        <w:jc w:val="both"/>
        <w:ind w:firstLine="1304"/>
        <w:spacing w:after="0" w:line="263" w:lineRule="auto"/>
        <w:tabs>
          <w:tab w:leader="none" w:pos="1751" w:val="left"/>
        </w:tabs>
        <w:numPr>
          <w:ilvl w:val="1"/>
          <w:numId w:val="251"/>
        </w:numPr>
        <w:rPr>
          <w:rFonts w:ascii="Arial" w:cs="Arial" w:eastAsia="Arial" w:hAnsi="Arial"/>
          <w:sz w:val="19"/>
          <w:szCs w:val="19"/>
          <w:color w:val="auto"/>
        </w:rPr>
      </w:pPr>
      <w:r>
        <w:rPr>
          <w:rFonts w:ascii="Arial" w:cs="Arial" w:eastAsia="Arial" w:hAnsi="Arial"/>
          <w:sz w:val="19"/>
          <w:szCs w:val="19"/>
          <w:u w:val="single" w:color="auto"/>
          <w:color w:val="auto"/>
        </w:rPr>
        <w:t>Vesting Criteria and Other Terms</w:t>
      </w:r>
      <w:r>
        <w:rPr>
          <w:rFonts w:ascii="Arial" w:cs="Arial" w:eastAsia="Arial" w:hAnsi="Arial"/>
          <w:sz w:val="19"/>
          <w:szCs w:val="19"/>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business unit, or individual goals (including, but not limited to, continued employment or service), or any other basis determined by the Administrator in its discretion.</w:t>
      </w:r>
    </w:p>
    <w:p>
      <w:pPr>
        <w:spacing w:after="0" w:line="122" w:lineRule="exact"/>
        <w:rPr>
          <w:rFonts w:ascii="Arial" w:cs="Arial" w:eastAsia="Arial" w:hAnsi="Arial"/>
          <w:sz w:val="19"/>
          <w:szCs w:val="19"/>
          <w:color w:val="auto"/>
        </w:rPr>
      </w:pPr>
    </w:p>
    <w:p>
      <w:pPr>
        <w:jc w:val="both"/>
        <w:ind w:firstLine="1304"/>
        <w:spacing w:after="0" w:line="269" w:lineRule="auto"/>
        <w:tabs>
          <w:tab w:leader="none" w:pos="1713" w:val="left"/>
        </w:tabs>
        <w:numPr>
          <w:ilvl w:val="1"/>
          <w:numId w:val="251"/>
        </w:numPr>
        <w:rPr>
          <w:rFonts w:ascii="Arial" w:cs="Arial" w:eastAsia="Arial" w:hAnsi="Arial"/>
          <w:sz w:val="19"/>
          <w:szCs w:val="19"/>
          <w:color w:val="auto"/>
        </w:rPr>
      </w:pPr>
      <w:r>
        <w:rPr>
          <w:rFonts w:ascii="Arial" w:cs="Arial" w:eastAsia="Arial" w:hAnsi="Arial"/>
          <w:sz w:val="19"/>
          <w:szCs w:val="19"/>
          <w:u w:val="single" w:color="auto"/>
          <w:color w:val="auto"/>
        </w:rPr>
        <w:t>Earning Restricted Stock Units</w:t>
      </w:r>
      <w:r>
        <w:rPr>
          <w:rFonts w:ascii="Arial" w:cs="Arial" w:eastAsia="Arial" w:hAnsi="Arial"/>
          <w:sz w:val="19"/>
          <w:szCs w:val="19"/>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15" w:lineRule="exact"/>
        <w:rPr>
          <w:rFonts w:ascii="Arial" w:cs="Arial" w:eastAsia="Arial" w:hAnsi="Arial"/>
          <w:sz w:val="19"/>
          <w:szCs w:val="19"/>
          <w:color w:val="auto"/>
        </w:rPr>
      </w:pPr>
    </w:p>
    <w:p>
      <w:pPr>
        <w:jc w:val="both"/>
        <w:ind w:firstLine="1304"/>
        <w:spacing w:after="0" w:line="250" w:lineRule="auto"/>
        <w:tabs>
          <w:tab w:leader="none" w:pos="1751" w:val="left"/>
        </w:tabs>
        <w:numPr>
          <w:ilvl w:val="1"/>
          <w:numId w:val="251"/>
        </w:numPr>
        <w:rPr>
          <w:rFonts w:ascii="Arial" w:cs="Arial" w:eastAsia="Arial" w:hAnsi="Arial"/>
          <w:sz w:val="20"/>
          <w:szCs w:val="20"/>
          <w:color w:val="auto"/>
        </w:rPr>
      </w:pPr>
      <w:r>
        <w:rPr>
          <w:rFonts w:ascii="Arial" w:cs="Arial" w:eastAsia="Arial" w:hAnsi="Arial"/>
          <w:sz w:val="20"/>
          <w:szCs w:val="20"/>
          <w:u w:val="single" w:color="auto"/>
          <w:color w:val="auto"/>
        </w:rPr>
        <w:t>Form and Timing of Payment</w:t>
      </w:r>
      <w:r>
        <w:rPr>
          <w:rFonts w:ascii="Arial" w:cs="Arial" w:eastAsia="Arial" w:hAnsi="Arial"/>
          <w:sz w:val="20"/>
          <w:szCs w:val="20"/>
          <w:color w:val="auto"/>
        </w:rPr>
        <w:t>. Payment of earned Restricted Stock Units will be made as soon as practicable after the date(s) determined by the Administrator and set forth in the Award Agreement. The Administrator, in its sole discretion, may settle earned Restricted Stock Units in cash, Shares, or a combination of both.</w:t>
      </w:r>
    </w:p>
    <w:p>
      <w:pPr>
        <w:spacing w:after="0" w:line="131" w:lineRule="exact"/>
        <w:rPr>
          <w:rFonts w:ascii="Arial" w:cs="Arial" w:eastAsia="Arial" w:hAnsi="Arial"/>
          <w:sz w:val="20"/>
          <w:szCs w:val="20"/>
          <w:color w:val="auto"/>
        </w:rPr>
      </w:pPr>
    </w:p>
    <w:p>
      <w:pPr>
        <w:ind w:left="1740" w:hanging="436"/>
        <w:spacing w:after="0"/>
        <w:tabs>
          <w:tab w:leader="none" w:pos="1740" w:val="left"/>
        </w:tabs>
        <w:numPr>
          <w:ilvl w:val="1"/>
          <w:numId w:val="251"/>
        </w:numPr>
        <w:rPr>
          <w:rFonts w:ascii="Arial" w:cs="Arial" w:eastAsia="Arial" w:hAnsi="Arial"/>
          <w:sz w:val="18"/>
          <w:szCs w:val="18"/>
          <w:color w:val="auto"/>
        </w:rPr>
      </w:pPr>
      <w:r>
        <w:rPr>
          <w:rFonts w:ascii="Arial" w:cs="Arial" w:eastAsia="Arial" w:hAnsi="Arial"/>
          <w:sz w:val="18"/>
          <w:szCs w:val="18"/>
          <w:u w:val="single" w:color="auto"/>
          <w:color w:val="auto"/>
        </w:rPr>
        <w:t>Cancellation</w:t>
      </w:r>
      <w:r>
        <w:rPr>
          <w:rFonts w:ascii="Arial" w:cs="Arial" w:eastAsia="Arial" w:hAnsi="Arial"/>
          <w:sz w:val="18"/>
          <w:szCs w:val="18"/>
          <w:color w:val="auto"/>
        </w:rPr>
        <w:t>. On the date set forth in the Award Agreement, all unearned Restricted Stock Units will be forfeited to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Company.</w:t>
      </w:r>
    </w:p>
    <w:p>
      <w:pPr>
        <w:spacing w:after="0" w:line="145" w:lineRule="exact"/>
        <w:rPr>
          <w:rFonts w:ascii="Arial" w:cs="Arial" w:eastAsia="Arial" w:hAnsi="Arial"/>
          <w:sz w:val="18"/>
          <w:szCs w:val="18"/>
          <w:color w:val="auto"/>
        </w:rPr>
      </w:pPr>
    </w:p>
    <w:p>
      <w:pPr>
        <w:jc w:val="both"/>
        <w:ind w:firstLine="656"/>
        <w:spacing w:after="0" w:line="274" w:lineRule="auto"/>
        <w:tabs>
          <w:tab w:leader="none" w:pos="1093"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Compliance With Code Section 409A</w:t>
      </w:r>
      <w:r>
        <w:rPr>
          <w:rFonts w:ascii="Arial" w:cs="Arial" w:eastAsia="Arial" w:hAnsi="Arial"/>
          <w:sz w:val="18"/>
          <w:szCs w:val="18"/>
          <w:color w:val="auto"/>
        </w:rPr>
        <w:t>. Awards will be designed and operated in such a manner that they are either exempt from the application of, or comply with, the requirements of Code Section 409A, except as otherwise determined in the sole discretion of the Administrator. The Plan and each Award Agreement under the Plan is intended to meet the requirements of Code Section 409A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or interest applicable under Code Section 409A.</w:t>
      </w:r>
    </w:p>
    <w:p>
      <w:pPr>
        <w:spacing w:after="0" w:line="114" w:lineRule="exact"/>
        <w:rPr>
          <w:rFonts w:ascii="Arial" w:cs="Arial" w:eastAsia="Arial" w:hAnsi="Arial"/>
          <w:sz w:val="18"/>
          <w:szCs w:val="18"/>
          <w:color w:val="auto"/>
        </w:rPr>
      </w:pPr>
    </w:p>
    <w:p>
      <w:pPr>
        <w:jc w:val="both"/>
        <w:ind w:firstLine="656"/>
        <w:spacing w:after="0" w:line="274" w:lineRule="auto"/>
        <w:tabs>
          <w:tab w:leader="none" w:pos="1207"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Leaves of Absence/Transfer Between Locations</w:t>
      </w:r>
      <w:r>
        <w:rPr>
          <w:rFonts w:ascii="Arial" w:cs="Arial" w:eastAsia="Arial" w:hAnsi="Arial"/>
          <w:sz w:val="18"/>
          <w:szCs w:val="18"/>
          <w:color w:val="auto"/>
        </w:rPr>
        <w:t>.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(1st) day of such leave, any Incentive Stock Option held by the Participant will cease to be treated as an Incentive Stock Option and will be treated for tax purposes as a Nonstatutory Stock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19" w:right="339" w:bottom="1440" w:gutter="0" w:footer="0" w:header="0"/>
        </w:sectPr>
      </w:pPr>
    </w:p>
    <w:bookmarkStart w:id="324" w:name="page325"/>
    <w:bookmarkEnd w:id="324"/>
    <w:p>
      <w:pPr>
        <w:ind w:left="1100" w:hanging="444"/>
        <w:spacing w:after="0"/>
        <w:tabs>
          <w:tab w:leader="none" w:pos="1100" w:val="left"/>
        </w:tabs>
        <w:numPr>
          <w:ilvl w:val="0"/>
          <w:numId w:val="252"/>
        </w:numPr>
        <w:rPr>
          <w:rFonts w:ascii="Arial" w:cs="Arial" w:eastAsia="Arial" w:hAnsi="Arial"/>
          <w:sz w:val="20"/>
          <w:szCs w:val="20"/>
          <w:color w:val="auto"/>
        </w:rPr>
      </w:pPr>
      <w:r>
        <w:rPr>
          <w:rFonts w:ascii="Arial" w:cs="Arial" w:eastAsia="Arial" w:hAnsi="Arial"/>
          <w:sz w:val="20"/>
          <w:szCs w:val="20"/>
          <w:u w:val="single" w:color="auto"/>
          <w:color w:val="auto"/>
        </w:rPr>
        <w:t>Limited Transferability of Awards</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1304"/>
        <w:spacing w:after="0" w:line="282" w:lineRule="auto"/>
        <w:tabs>
          <w:tab w:leader="none" w:pos="1845" w:val="left"/>
        </w:tabs>
        <w:numPr>
          <w:ilvl w:val="1"/>
          <w:numId w:val="252"/>
        </w:numPr>
        <w:rPr>
          <w:rFonts w:ascii="Arial" w:cs="Arial" w:eastAsia="Arial" w:hAnsi="Arial"/>
          <w:sz w:val="18"/>
          <w:szCs w:val="18"/>
          <w:color w:val="auto"/>
        </w:rPr>
      </w:pPr>
      <w:r>
        <w:rPr>
          <w:rFonts w:ascii="Arial" w:cs="Arial" w:eastAsia="Arial" w:hAnsi="Arial"/>
          <w:sz w:val="18"/>
          <w:szCs w:val="18"/>
          <w:color w:val="auto"/>
        </w:rPr>
        <w:t>Unless determined otherwise by the Administrator, Awards may not be sold, pledged, assigned, hypothecated, or otherwise transferred in any manner other than by will or by the laws of descent and distribution, and may be exercised, during the lifetime of the Participant, only by the Participant. If the Administrator makes an Award transferable, such Award may only be transferred (i) by will, (ii) by the laws of descent and distribution, or (iii) as permitted by Rule 701 of the Securities Act of 1933, as amended (the “Securities Act”).</w:t>
      </w:r>
    </w:p>
    <w:p>
      <w:pPr>
        <w:spacing w:after="0" w:line="107" w:lineRule="exact"/>
        <w:rPr>
          <w:rFonts w:ascii="Arial" w:cs="Arial" w:eastAsia="Arial" w:hAnsi="Arial"/>
          <w:sz w:val="18"/>
          <w:szCs w:val="18"/>
          <w:color w:val="auto"/>
        </w:rPr>
      </w:pPr>
    </w:p>
    <w:p>
      <w:pPr>
        <w:jc w:val="both"/>
        <w:ind w:firstLine="1304"/>
        <w:spacing w:after="0" w:line="272" w:lineRule="auto"/>
        <w:tabs>
          <w:tab w:leader="none" w:pos="1749" w:val="left"/>
        </w:tabs>
        <w:numPr>
          <w:ilvl w:val="1"/>
          <w:numId w:val="252"/>
        </w:numPr>
        <w:rPr>
          <w:rFonts w:ascii="Arial" w:cs="Arial" w:eastAsia="Arial" w:hAnsi="Arial"/>
          <w:sz w:val="18"/>
          <w:szCs w:val="18"/>
          <w:color w:val="auto"/>
        </w:rPr>
      </w:pPr>
      <w:r>
        <w:rPr>
          <w:rFonts w:ascii="Arial" w:cs="Arial" w:eastAsia="Arial" w:hAnsi="Arial"/>
          <w:sz w:val="18"/>
          <w:szCs w:val="18"/>
          <w:color w:val="auto"/>
        </w:rPr>
        <w:t>Further, until the Company becomes subject to the reporting requirements of Section 13 or 15(d) of the Exchange Act, or after the Administrator determines that it is, will, or may no longer be relying upon the exemption from registration under the Exchange Act as set forth in Rule 12h-1(f) promulgated under the Exchange Act, an Option, or prior to exercise, the Shares subject to the Option, may not be pledged, hypothecated or otherwise transferred or disposed of, in any manner, including by entering into any short position, any “put equivalent position” or any “call equivalent position” (as defined in Rule 16a-1(h) and Rule 16a-1(b) of the Exchange Act, respectively), other than to (i) persons who are “family members” (as defined in Rule 701(c)(3) of the Securities Act) through gifts or domestic relations orders, or (ii) to an executor or guardian of the Participant upon the death or disability of the Participant. Notwithstanding the foregoing sentence, the Administrator, in its sole discretion, may determine to permit transfers to the Company or in connection with a Change in Control or other acquisition transactions involving the Company to the extent permitted by Rule 12h-1(f).</w:t>
      </w:r>
    </w:p>
    <w:p>
      <w:pPr>
        <w:spacing w:after="0" w:line="116" w:lineRule="exact"/>
        <w:rPr>
          <w:rFonts w:ascii="Arial" w:cs="Arial" w:eastAsia="Arial" w:hAnsi="Arial"/>
          <w:sz w:val="18"/>
          <w:szCs w:val="18"/>
          <w:color w:val="auto"/>
        </w:rPr>
      </w:pPr>
    </w:p>
    <w:p>
      <w:pPr>
        <w:ind w:left="1100" w:hanging="444"/>
        <w:spacing w:after="0"/>
        <w:tabs>
          <w:tab w:leader="none" w:pos="1100" w:val="left"/>
        </w:tabs>
        <w:numPr>
          <w:ilvl w:val="0"/>
          <w:numId w:val="252"/>
        </w:numPr>
        <w:rPr>
          <w:rFonts w:ascii="Arial" w:cs="Arial" w:eastAsia="Arial" w:hAnsi="Arial"/>
          <w:sz w:val="20"/>
          <w:szCs w:val="20"/>
          <w:color w:val="auto"/>
        </w:rPr>
      </w:pPr>
      <w:r>
        <w:rPr>
          <w:rFonts w:ascii="Arial" w:cs="Arial" w:eastAsia="Arial" w:hAnsi="Arial"/>
          <w:sz w:val="20"/>
          <w:szCs w:val="20"/>
          <w:u w:val="single" w:color="auto"/>
          <w:color w:val="auto"/>
        </w:rPr>
        <w:t>Adjustments; Dissolution or Liquidation; Merger or Change in Control</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1304"/>
        <w:spacing w:after="0" w:line="257" w:lineRule="auto"/>
        <w:tabs>
          <w:tab w:leader="none" w:pos="1740" w:val="left"/>
        </w:tabs>
        <w:numPr>
          <w:ilvl w:val="1"/>
          <w:numId w:val="252"/>
        </w:numPr>
        <w:rPr>
          <w:rFonts w:ascii="Arial" w:cs="Arial" w:eastAsia="Arial" w:hAnsi="Arial"/>
          <w:sz w:val="19"/>
          <w:szCs w:val="19"/>
          <w:color w:val="auto"/>
        </w:rPr>
      </w:pPr>
      <w:r>
        <w:rPr>
          <w:rFonts w:ascii="Arial" w:cs="Arial" w:eastAsia="Arial" w:hAnsi="Arial"/>
          <w:sz w:val="19"/>
          <w:szCs w:val="19"/>
          <w:u w:val="single" w:color="auto"/>
          <w:color w:val="auto"/>
        </w:rPr>
        <w:t>Adjustments</w:t>
      </w:r>
      <w:r>
        <w:rPr>
          <w:rFonts w:ascii="Arial" w:cs="Arial" w:eastAsia="Arial" w:hAnsi="Arial"/>
          <w:sz w:val="19"/>
          <w:szCs w:val="19"/>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provided, however, that the Administrator will make such adjustments to an Award required by Section 25102(o) of the California Corporations Code to the extent the Company is relying upon the exemption afforded thereby with respect to the Award.</w:t>
      </w:r>
    </w:p>
    <w:p>
      <w:pPr>
        <w:spacing w:after="0" w:line="126" w:lineRule="exact"/>
        <w:rPr>
          <w:rFonts w:ascii="Arial" w:cs="Arial" w:eastAsia="Arial" w:hAnsi="Arial"/>
          <w:sz w:val="19"/>
          <w:szCs w:val="19"/>
          <w:color w:val="auto"/>
        </w:rPr>
      </w:pPr>
    </w:p>
    <w:p>
      <w:pPr>
        <w:jc w:val="both"/>
        <w:ind w:firstLine="1304"/>
        <w:spacing w:after="0" w:line="269" w:lineRule="auto"/>
        <w:tabs>
          <w:tab w:leader="none" w:pos="1765" w:val="left"/>
        </w:tabs>
        <w:numPr>
          <w:ilvl w:val="1"/>
          <w:numId w:val="252"/>
        </w:numPr>
        <w:rPr>
          <w:rFonts w:ascii="Arial" w:cs="Arial" w:eastAsia="Arial" w:hAnsi="Arial"/>
          <w:sz w:val="19"/>
          <w:szCs w:val="19"/>
          <w:color w:val="auto"/>
        </w:rPr>
      </w:pPr>
      <w:r>
        <w:rPr>
          <w:rFonts w:ascii="Arial" w:cs="Arial" w:eastAsia="Arial" w:hAnsi="Arial"/>
          <w:sz w:val="19"/>
          <w:szCs w:val="19"/>
          <w:u w:val="single" w:color="auto"/>
          <w:color w:val="auto"/>
        </w:rPr>
        <w:t>Dissolution or Liquidation</w:t>
      </w:r>
      <w:r>
        <w:rPr>
          <w:rFonts w:ascii="Arial" w:cs="Arial" w:eastAsia="Arial" w:hAnsi="Arial"/>
          <w:sz w:val="19"/>
          <w:szCs w:val="19"/>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15" w:lineRule="exact"/>
        <w:rPr>
          <w:rFonts w:ascii="Arial" w:cs="Arial" w:eastAsia="Arial" w:hAnsi="Arial"/>
          <w:sz w:val="19"/>
          <w:szCs w:val="19"/>
          <w:color w:val="auto"/>
        </w:rPr>
      </w:pPr>
    </w:p>
    <w:p>
      <w:pPr>
        <w:jc w:val="both"/>
        <w:ind w:firstLine="1304"/>
        <w:spacing w:after="0" w:line="257" w:lineRule="auto"/>
        <w:tabs>
          <w:tab w:leader="none" w:pos="1727" w:val="left"/>
        </w:tabs>
        <w:numPr>
          <w:ilvl w:val="1"/>
          <w:numId w:val="252"/>
        </w:numPr>
        <w:rPr>
          <w:rFonts w:ascii="Arial" w:cs="Arial" w:eastAsia="Arial" w:hAnsi="Arial"/>
          <w:sz w:val="19"/>
          <w:szCs w:val="19"/>
          <w:color w:val="auto"/>
        </w:rPr>
      </w:pPr>
      <w:r>
        <w:rPr>
          <w:rFonts w:ascii="Arial" w:cs="Arial" w:eastAsia="Arial" w:hAnsi="Arial"/>
          <w:sz w:val="19"/>
          <w:szCs w:val="19"/>
          <w:u w:val="single" w:color="auto"/>
          <w:color w:val="auto"/>
        </w:rPr>
        <w:t>Merger or Change in Control</w:t>
      </w:r>
      <w:r>
        <w:rPr>
          <w:rFonts w:ascii="Arial" w:cs="Arial" w:eastAsia="Arial" w:hAnsi="Arial"/>
          <w:sz w:val="19"/>
          <w:szCs w:val="19"/>
          <w:color w:val="auto"/>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(i) Awards will be assumed, or substantially equivalent Awards will be substituted, 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merger or Change in Control; (iii) outstanding Awards will vest and become exercisable, realizable, or payable, or restrictions applicable to an Award will lapse, in whole or in part prior to or upon consummation of such merger or Change in Control, and, to the extent the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19" w:right="339" w:bottom="1440" w:gutter="0" w:footer="0" w:header="0"/>
        </w:sectPr>
      </w:pPr>
    </w:p>
    <w:bookmarkStart w:id="325" w:name="page326"/>
    <w:bookmarkEnd w:id="325"/>
    <w:p>
      <w:pPr>
        <w:jc w:val="both"/>
        <w:spacing w:after="0" w:line="269" w:lineRule="auto"/>
        <w:rPr>
          <w:sz w:val="20"/>
          <w:szCs w:val="20"/>
          <w:color w:val="auto"/>
        </w:rPr>
      </w:pPr>
      <w:r>
        <w:rPr>
          <w:rFonts w:ascii="Arial" w:cs="Arial" w:eastAsia="Arial" w:hAnsi="Arial"/>
          <w:sz w:val="18"/>
          <w:szCs w:val="18"/>
          <w:color w:val="auto"/>
        </w:rPr>
        <w:t>determines, terminate upon or immediately prior to the effectiveness of such merger or Change in Control; (iv) (A)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w:t>
      </w:r>
    </w:p>
    <w:p>
      <w:pPr>
        <w:spacing w:after="0" w:line="4" w:lineRule="exact"/>
        <w:rPr>
          <w:sz w:val="20"/>
          <w:szCs w:val="20"/>
          <w:color w:val="auto"/>
        </w:rPr>
      </w:pPr>
    </w:p>
    <w:p>
      <w:pPr>
        <w:jc w:val="both"/>
        <w:ind w:firstLine="8"/>
        <w:spacing w:after="0" w:line="241" w:lineRule="auto"/>
        <w:tabs>
          <w:tab w:leader="none" w:pos="314" w:val="left"/>
        </w:tabs>
        <w:numPr>
          <w:ilvl w:val="0"/>
          <w:numId w:val="253"/>
        </w:numPr>
        <w:rPr>
          <w:rFonts w:ascii="Arial" w:cs="Arial" w:eastAsia="Arial" w:hAnsi="Arial"/>
          <w:sz w:val="20"/>
          <w:szCs w:val="20"/>
          <w:color w:val="auto"/>
        </w:rPr>
      </w:pPr>
      <w:r>
        <w:rPr>
          <w:rFonts w:ascii="Arial" w:cs="Arial" w:eastAsia="Arial" w:hAnsi="Arial"/>
          <w:sz w:val="20"/>
          <w:szCs w:val="20"/>
          <w:color w:val="auto"/>
        </w:rPr>
        <w:t>the replacement of such Award with other rights or property selected by the Administrator in its sole discretion; or (v) any combination of the foregoing. In taking any of the actions permitted under this subsection 13(c), the Administrator will not be obligated to treat all Awards, all Awards held by a Participant, or all Awards of the same type, similarly.</w:t>
      </w:r>
    </w:p>
    <w:p>
      <w:pPr>
        <w:spacing w:after="0" w:line="142"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8"/>
          <w:szCs w:val="18"/>
          <w:color w:val="auto"/>
        </w:rPr>
        <w:t>In the event that the successor corporation does not assume or substitute for the Award (or portion thereof),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is not assumed or substituted in the event of a merger or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14"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8"/>
          <w:szCs w:val="18"/>
          <w:color w:val="auto"/>
        </w:rPr>
        <w:t>For the purposes of this subsection 13(c),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for each Share subject to such Award, to be solely common stock of the successor corporation or its Parent equal in fair market value to the per share consideration received by holders of Common Stock in the merger or Change in Control.</w:t>
      </w:r>
    </w:p>
    <w:p>
      <w:pPr>
        <w:spacing w:after="0" w:line="116"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 Change in Control corporate structure will not be deemed to invalidate an otherwise valid Award assumption.</w:t>
      </w:r>
    </w:p>
    <w:p>
      <w:pPr>
        <w:spacing w:after="0" w:line="107"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8"/>
          <w:szCs w:val="18"/>
          <w:color w:val="auto"/>
        </w:rPr>
        <w:t>Notwithstanding anything in this Section 13(c) to the contrary, if a payment under an Award Agreement is subject to Code Section 409A and if the change in control definition contained in the Award Agreement does not comply with the definition of “change of control” for purposes of a distribution under Code Section 409A, then any payment of an amount that is otherwise accelerated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19" w:right="339" w:bottom="1440" w:gutter="0" w:footer="0" w:header="0"/>
        </w:sectPr>
      </w:pPr>
    </w:p>
    <w:bookmarkStart w:id="326" w:name="page327"/>
    <w:bookmarkEnd w:id="326"/>
    <w:p>
      <w:pPr>
        <w:spacing w:after="0" w:line="260" w:lineRule="auto"/>
        <w:rPr>
          <w:sz w:val="20"/>
          <w:szCs w:val="20"/>
          <w:color w:val="auto"/>
        </w:rPr>
      </w:pPr>
      <w:r>
        <w:rPr>
          <w:rFonts w:ascii="Arial" w:cs="Arial" w:eastAsia="Arial" w:hAnsi="Arial"/>
          <w:sz w:val="20"/>
          <w:szCs w:val="20"/>
          <w:color w:val="auto"/>
        </w:rPr>
        <w:t>this Section will be delayed until the earliest time that such payment would be permissible under Code Section 409A without triggering any penalties applicable under Code Section 409A.</w:t>
      </w:r>
    </w:p>
    <w:p>
      <w:pPr>
        <w:spacing w:after="0" w:line="123" w:lineRule="exact"/>
        <w:rPr>
          <w:sz w:val="20"/>
          <w:szCs w:val="20"/>
          <w:color w:val="auto"/>
        </w:rPr>
      </w:pPr>
    </w:p>
    <w:p>
      <w:pPr>
        <w:ind w:left="1100" w:hanging="444"/>
        <w:spacing w:after="0"/>
        <w:tabs>
          <w:tab w:leader="none" w:pos="1100" w:val="left"/>
        </w:tabs>
        <w:numPr>
          <w:ilvl w:val="0"/>
          <w:numId w:val="254"/>
        </w:numPr>
        <w:rPr>
          <w:rFonts w:ascii="Arial" w:cs="Arial" w:eastAsia="Arial" w:hAnsi="Arial"/>
          <w:sz w:val="20"/>
          <w:szCs w:val="20"/>
          <w:color w:val="auto"/>
        </w:rPr>
      </w:pPr>
      <w:r>
        <w:rPr>
          <w:rFonts w:ascii="Arial" w:cs="Arial" w:eastAsia="Arial" w:hAnsi="Arial"/>
          <w:sz w:val="20"/>
          <w:szCs w:val="20"/>
          <w:u w:val="single" w:color="auto"/>
          <w:color w:val="auto"/>
        </w:rPr>
        <w:t>Tax Withholding</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1304"/>
        <w:spacing w:after="0" w:line="246" w:lineRule="auto"/>
        <w:tabs>
          <w:tab w:leader="none" w:pos="1740" w:val="left"/>
        </w:tabs>
        <w:numPr>
          <w:ilvl w:val="1"/>
          <w:numId w:val="254"/>
        </w:numPr>
        <w:rPr>
          <w:rFonts w:ascii="Arial" w:cs="Arial" w:eastAsia="Arial" w:hAnsi="Arial"/>
          <w:sz w:val="20"/>
          <w:szCs w:val="20"/>
          <w:color w:val="auto"/>
        </w:rPr>
      </w:pPr>
      <w:r>
        <w:rPr>
          <w:rFonts w:ascii="Arial" w:cs="Arial" w:eastAsia="Arial" w:hAnsi="Arial"/>
          <w:sz w:val="20"/>
          <w:szCs w:val="20"/>
          <w:u w:val="single" w:color="auto"/>
          <w:color w:val="auto"/>
        </w:rPr>
        <w:t>Withholding Requirements</w:t>
      </w:r>
      <w:r>
        <w:rPr>
          <w:rFonts w:ascii="Arial" w:cs="Arial" w:eastAsia="Arial" w:hAnsi="Arial"/>
          <w:sz w:val="20"/>
          <w:szCs w:val="20"/>
          <w:color w:val="auto"/>
        </w:rPr>
        <w:t>. Prior to the delivery of any Shares or cash pursuant to an Award (or exercise thereof),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spacing w:after="0" w:line="137" w:lineRule="exact"/>
        <w:rPr>
          <w:rFonts w:ascii="Arial" w:cs="Arial" w:eastAsia="Arial" w:hAnsi="Arial"/>
          <w:sz w:val="20"/>
          <w:szCs w:val="20"/>
          <w:color w:val="auto"/>
        </w:rPr>
      </w:pPr>
    </w:p>
    <w:p>
      <w:pPr>
        <w:jc w:val="both"/>
        <w:ind w:firstLine="1304"/>
        <w:spacing w:after="0" w:line="271" w:lineRule="auto"/>
        <w:tabs>
          <w:tab w:leader="none" w:pos="1738" w:val="left"/>
        </w:tabs>
        <w:numPr>
          <w:ilvl w:val="1"/>
          <w:numId w:val="254"/>
        </w:numPr>
        <w:rPr>
          <w:rFonts w:ascii="Arial" w:cs="Arial" w:eastAsia="Arial" w:hAnsi="Arial"/>
          <w:sz w:val="18"/>
          <w:szCs w:val="18"/>
          <w:color w:val="auto"/>
        </w:rPr>
      </w:pPr>
      <w:r>
        <w:rPr>
          <w:rFonts w:ascii="Arial" w:cs="Arial" w:eastAsia="Arial" w:hAnsi="Arial"/>
          <w:sz w:val="18"/>
          <w:szCs w:val="18"/>
          <w:u w:val="single" w:color="auto"/>
          <w:color w:val="auto"/>
        </w:rPr>
        <w:t>Withholding Arrangements</w:t>
      </w:r>
      <w:r>
        <w:rPr>
          <w:rFonts w:ascii="Arial" w:cs="Arial" w:eastAsia="Arial" w:hAnsi="Arial"/>
          <w:sz w:val="18"/>
          <w:szCs w:val="18"/>
          <w:color w:val="auto"/>
        </w:rPr>
        <w:t>. The Administrator, in its sole discretion and pursuant to such procedures as it may specify from time to time, may permit a Participant to satisfy such tax withholding obligation, in whole or in part by (without limitation) (i) paying cash, (ii) electing to have the Company withhold otherwise deliverable Shares having a Fair Market Value equal to the minimum statutory amount required to be withheld, (iii) delivering to the Company already-owned Shares having a Fair Market Value equal to the statutory amount required to be withheld, provided the delivery of such Shares will not result in any adverse accounting consequences, as the Administrator determines in its sole discretion, or (iv) selling a sufficient number of Shares otherwise deliverable to the Participant through such means as the Administrator may determine in its sole discretion (whether through a broker or otherwise) equal to the amount required to be withheld.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The Fair Market Value of the Shares to be withheld or delivered will be determined as of the date that the taxes are required to be withheld.</w:t>
      </w:r>
    </w:p>
    <w:p>
      <w:pPr>
        <w:spacing w:after="0" w:line="115" w:lineRule="exact"/>
        <w:rPr>
          <w:rFonts w:ascii="Arial" w:cs="Arial" w:eastAsia="Arial" w:hAnsi="Arial"/>
          <w:sz w:val="18"/>
          <w:szCs w:val="18"/>
          <w:color w:val="auto"/>
        </w:rPr>
      </w:pPr>
    </w:p>
    <w:p>
      <w:pPr>
        <w:jc w:val="both"/>
        <w:ind w:firstLine="656"/>
        <w:spacing w:after="0" w:line="291" w:lineRule="auto"/>
        <w:tabs>
          <w:tab w:leader="none" w:pos="1120"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No Effect on Employment or Service</w:t>
      </w:r>
      <w:r>
        <w:rPr>
          <w:rFonts w:ascii="Arial" w:cs="Arial" w:eastAsia="Arial" w:hAnsi="Arial"/>
          <w:sz w:val="18"/>
          <w:szCs w:val="18"/>
          <w:color w:val="auto"/>
        </w:rPr>
        <w:t>.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w:t>
      </w:r>
    </w:p>
    <w:p>
      <w:pPr>
        <w:spacing w:after="0" w:line="97" w:lineRule="exact"/>
        <w:rPr>
          <w:rFonts w:ascii="Arial" w:cs="Arial" w:eastAsia="Arial" w:hAnsi="Arial"/>
          <w:sz w:val="18"/>
          <w:szCs w:val="18"/>
          <w:color w:val="auto"/>
        </w:rPr>
      </w:pPr>
    </w:p>
    <w:p>
      <w:pPr>
        <w:jc w:val="both"/>
        <w:ind w:firstLine="656"/>
        <w:spacing w:after="0" w:line="250" w:lineRule="auto"/>
        <w:tabs>
          <w:tab w:leader="none" w:pos="1215" w:val="left"/>
        </w:tabs>
        <w:numPr>
          <w:ilvl w:val="0"/>
          <w:numId w:val="254"/>
        </w:numPr>
        <w:rPr>
          <w:rFonts w:ascii="Arial" w:cs="Arial" w:eastAsia="Arial" w:hAnsi="Arial"/>
          <w:sz w:val="20"/>
          <w:szCs w:val="20"/>
          <w:color w:val="auto"/>
        </w:rPr>
      </w:pPr>
      <w:r>
        <w:rPr>
          <w:rFonts w:ascii="Arial" w:cs="Arial" w:eastAsia="Arial" w:hAnsi="Arial"/>
          <w:sz w:val="20"/>
          <w:szCs w:val="20"/>
          <w:u w:val="single" w:color="auto"/>
          <w:color w:val="auto"/>
        </w:rPr>
        <w:t>Date of Grant</w:t>
      </w:r>
      <w:r>
        <w:rPr>
          <w:rFonts w:ascii="Arial" w:cs="Arial" w:eastAsia="Arial" w:hAnsi="Arial"/>
          <w:sz w:val="20"/>
          <w:szCs w:val="20"/>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31" w:lineRule="exact"/>
        <w:rPr>
          <w:rFonts w:ascii="Arial" w:cs="Arial" w:eastAsia="Arial" w:hAnsi="Arial"/>
          <w:sz w:val="20"/>
          <w:szCs w:val="20"/>
          <w:color w:val="auto"/>
        </w:rPr>
      </w:pPr>
    </w:p>
    <w:p>
      <w:pPr>
        <w:jc w:val="both"/>
        <w:ind w:firstLine="656"/>
        <w:spacing w:after="0" w:line="291" w:lineRule="auto"/>
        <w:tabs>
          <w:tab w:leader="none" w:pos="1120"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Term of Plan</w:t>
      </w:r>
      <w:r>
        <w:rPr>
          <w:rFonts w:ascii="Arial" w:cs="Arial" w:eastAsia="Arial" w:hAnsi="Arial"/>
          <w:sz w:val="18"/>
          <w:szCs w:val="18"/>
          <w:color w:val="auto"/>
        </w:rPr>
        <w:t>. Subject to Section 21 of the Plan, the Plan will become effective upon its adoption by the Board. Unless sooner terminated under Section 18, it will continue in effect for a term of ten (10) years from the later of (a) the effective date of the Plan, or (b) the earlier of the most recent Board or stockholder approval of an increase in the number of Shares reserved for issuance under the Plan.</w:t>
      </w:r>
    </w:p>
    <w:p>
      <w:pPr>
        <w:spacing w:after="0" w:line="97" w:lineRule="exact"/>
        <w:rPr>
          <w:rFonts w:ascii="Arial" w:cs="Arial" w:eastAsia="Arial" w:hAnsi="Arial"/>
          <w:sz w:val="18"/>
          <w:szCs w:val="18"/>
          <w:color w:val="auto"/>
        </w:rPr>
      </w:pPr>
    </w:p>
    <w:p>
      <w:pPr>
        <w:ind w:left="1100" w:hanging="444"/>
        <w:spacing w:after="0"/>
        <w:tabs>
          <w:tab w:leader="none" w:pos="1100" w:val="left"/>
        </w:tabs>
        <w:numPr>
          <w:ilvl w:val="0"/>
          <w:numId w:val="254"/>
        </w:numPr>
        <w:rPr>
          <w:rFonts w:ascii="Arial" w:cs="Arial" w:eastAsia="Arial" w:hAnsi="Arial"/>
          <w:sz w:val="20"/>
          <w:szCs w:val="20"/>
          <w:color w:val="auto"/>
        </w:rPr>
      </w:pPr>
      <w:r>
        <w:rPr>
          <w:rFonts w:ascii="Arial" w:cs="Arial" w:eastAsia="Arial" w:hAnsi="Arial"/>
          <w:sz w:val="20"/>
          <w:szCs w:val="20"/>
          <w:u w:val="single" w:color="auto"/>
          <w:color w:val="auto"/>
        </w:rPr>
        <w:t>Amendment and Termination of the Plan</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720" w:hanging="416"/>
        <w:spacing w:after="0"/>
        <w:tabs>
          <w:tab w:leader="none" w:pos="1720" w:val="left"/>
        </w:tabs>
        <w:numPr>
          <w:ilvl w:val="1"/>
          <w:numId w:val="254"/>
        </w:numPr>
        <w:rPr>
          <w:rFonts w:ascii="Arial" w:cs="Arial" w:eastAsia="Arial" w:hAnsi="Arial"/>
          <w:sz w:val="20"/>
          <w:szCs w:val="20"/>
          <w:color w:val="auto"/>
        </w:rPr>
      </w:pPr>
      <w:r>
        <w:rPr>
          <w:rFonts w:ascii="Arial" w:cs="Arial" w:eastAsia="Arial" w:hAnsi="Arial"/>
          <w:sz w:val="20"/>
          <w:szCs w:val="20"/>
          <w:u w:val="single" w:color="auto"/>
          <w:color w:val="auto"/>
        </w:rPr>
        <w:t>Amendment and Termination</w:t>
      </w:r>
      <w:r>
        <w:rPr>
          <w:rFonts w:ascii="Arial" w:cs="Arial" w:eastAsia="Arial" w:hAnsi="Arial"/>
          <w:sz w:val="20"/>
          <w:szCs w:val="20"/>
          <w:color w:val="auto"/>
        </w:rPr>
        <w:t>. The Board may at any time amend, alter, suspend or terminate the Plan.</w:t>
      </w:r>
    </w:p>
    <w:p>
      <w:pPr>
        <w:spacing w:after="0" w:line="161" w:lineRule="exact"/>
        <w:rPr>
          <w:rFonts w:ascii="Arial" w:cs="Arial" w:eastAsia="Arial" w:hAnsi="Arial"/>
          <w:sz w:val="20"/>
          <w:szCs w:val="20"/>
          <w:color w:val="auto"/>
        </w:rPr>
      </w:pPr>
    </w:p>
    <w:p>
      <w:pPr>
        <w:ind w:firstLine="1304"/>
        <w:spacing w:after="0" w:line="260" w:lineRule="auto"/>
        <w:tabs>
          <w:tab w:leader="none" w:pos="1751" w:val="left"/>
        </w:tabs>
        <w:numPr>
          <w:ilvl w:val="1"/>
          <w:numId w:val="254"/>
        </w:numPr>
        <w:rPr>
          <w:rFonts w:ascii="Arial" w:cs="Arial" w:eastAsia="Arial" w:hAnsi="Arial"/>
          <w:sz w:val="20"/>
          <w:szCs w:val="20"/>
          <w:color w:val="auto"/>
        </w:rPr>
      </w:pPr>
      <w:r>
        <w:rPr>
          <w:rFonts w:ascii="Arial" w:cs="Arial" w:eastAsia="Arial" w:hAnsi="Arial"/>
          <w:sz w:val="20"/>
          <w:szCs w:val="20"/>
          <w:u w:val="single" w:color="auto"/>
          <w:color w:val="auto"/>
        </w:rPr>
        <w:t>Stockholder Approval</w:t>
      </w:r>
      <w:r>
        <w:rPr>
          <w:rFonts w:ascii="Arial" w:cs="Arial" w:eastAsia="Arial" w:hAnsi="Arial"/>
          <w:sz w:val="20"/>
          <w:szCs w:val="20"/>
          <w:color w:val="auto"/>
        </w:rPr>
        <w:t>. The Company will obtain stockholder approval of any Plan amendment to the extent necessary and desirable to comply with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19" w:right="339" w:bottom="1440" w:gutter="0" w:footer="0" w:header="0"/>
        </w:sectPr>
      </w:pPr>
    </w:p>
    <w:bookmarkStart w:id="327" w:name="page328"/>
    <w:bookmarkEnd w:id="327"/>
    <w:p>
      <w:pPr>
        <w:jc w:val="both"/>
        <w:ind w:firstLine="1304"/>
        <w:spacing w:after="0" w:line="263" w:lineRule="auto"/>
        <w:tabs>
          <w:tab w:leader="none" w:pos="1740" w:val="left"/>
        </w:tabs>
        <w:numPr>
          <w:ilvl w:val="1"/>
          <w:numId w:val="255"/>
        </w:numPr>
        <w:rPr>
          <w:rFonts w:ascii="Arial" w:cs="Arial" w:eastAsia="Arial" w:hAnsi="Arial"/>
          <w:sz w:val="19"/>
          <w:szCs w:val="19"/>
          <w:color w:val="auto"/>
        </w:rPr>
      </w:pPr>
      <w:r>
        <w:rPr>
          <w:rFonts w:ascii="Arial" w:cs="Arial" w:eastAsia="Arial" w:hAnsi="Arial"/>
          <w:sz w:val="19"/>
          <w:szCs w:val="19"/>
          <w:u w:val="single" w:color="auto"/>
          <w:color w:val="auto"/>
        </w:rPr>
        <w:t>Effect of Amendment or Termination</w:t>
      </w:r>
      <w:r>
        <w:rPr>
          <w:rFonts w:ascii="Arial" w:cs="Arial" w:eastAsia="Arial" w:hAnsi="Arial"/>
          <w:sz w:val="19"/>
          <w:szCs w:val="19"/>
          <w:color w:val="auto"/>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22" w:lineRule="exact"/>
        <w:rPr>
          <w:rFonts w:ascii="Arial" w:cs="Arial" w:eastAsia="Arial" w:hAnsi="Arial"/>
          <w:sz w:val="19"/>
          <w:szCs w:val="19"/>
          <w:color w:val="auto"/>
        </w:rPr>
      </w:pPr>
    </w:p>
    <w:p>
      <w:pPr>
        <w:ind w:left="1100" w:hanging="444"/>
        <w:spacing w:after="0"/>
        <w:tabs>
          <w:tab w:leader="none" w:pos="1100" w:val="left"/>
        </w:tabs>
        <w:numPr>
          <w:ilvl w:val="0"/>
          <w:numId w:val="256"/>
        </w:numPr>
        <w:rPr>
          <w:rFonts w:ascii="Arial" w:cs="Arial" w:eastAsia="Arial" w:hAnsi="Arial"/>
          <w:sz w:val="20"/>
          <w:szCs w:val="20"/>
          <w:color w:val="auto"/>
        </w:rPr>
      </w:pPr>
      <w:r>
        <w:rPr>
          <w:rFonts w:ascii="Arial" w:cs="Arial" w:eastAsia="Arial" w:hAnsi="Arial"/>
          <w:sz w:val="20"/>
          <w:szCs w:val="20"/>
          <w:u w:val="single" w:color="auto"/>
          <w:color w:val="auto"/>
        </w:rPr>
        <w:t>Conditions Upon Issuance of Shares</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1304"/>
        <w:spacing w:after="0" w:line="250" w:lineRule="auto"/>
        <w:tabs>
          <w:tab w:leader="none" w:pos="1767" w:val="left"/>
        </w:tabs>
        <w:numPr>
          <w:ilvl w:val="1"/>
          <w:numId w:val="256"/>
        </w:numPr>
        <w:rPr>
          <w:rFonts w:ascii="Arial" w:cs="Arial" w:eastAsia="Arial" w:hAnsi="Arial"/>
          <w:sz w:val="20"/>
          <w:szCs w:val="20"/>
          <w:color w:val="auto"/>
        </w:rPr>
      </w:pPr>
      <w:r>
        <w:rPr>
          <w:rFonts w:ascii="Arial" w:cs="Arial" w:eastAsia="Arial" w:hAnsi="Arial"/>
          <w:sz w:val="20"/>
          <w:szCs w:val="20"/>
          <w:u w:val="single" w:color="auto"/>
          <w:color w:val="auto"/>
        </w:rPr>
        <w:t>Legal Compliance</w:t>
      </w:r>
      <w:r>
        <w:rPr>
          <w:rFonts w:ascii="Arial" w:cs="Arial" w:eastAsia="Arial" w:hAnsi="Arial"/>
          <w:sz w:val="20"/>
          <w:szCs w:val="20"/>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131" w:lineRule="exact"/>
        <w:rPr>
          <w:rFonts w:ascii="Arial" w:cs="Arial" w:eastAsia="Arial" w:hAnsi="Arial"/>
          <w:sz w:val="20"/>
          <w:szCs w:val="20"/>
          <w:color w:val="auto"/>
        </w:rPr>
      </w:pPr>
    </w:p>
    <w:p>
      <w:pPr>
        <w:jc w:val="both"/>
        <w:ind w:firstLine="1304"/>
        <w:spacing w:after="0" w:line="342" w:lineRule="auto"/>
        <w:tabs>
          <w:tab w:leader="none" w:pos="1886" w:val="left"/>
        </w:tabs>
        <w:numPr>
          <w:ilvl w:val="1"/>
          <w:numId w:val="256"/>
        </w:numPr>
        <w:rPr>
          <w:rFonts w:ascii="Arial" w:cs="Arial" w:eastAsia="Arial" w:hAnsi="Arial"/>
          <w:sz w:val="16"/>
          <w:szCs w:val="16"/>
          <w:color w:val="auto"/>
        </w:rPr>
      </w:pPr>
      <w:r>
        <w:rPr>
          <w:rFonts w:ascii="Arial" w:cs="Arial" w:eastAsia="Arial" w:hAnsi="Arial"/>
          <w:sz w:val="16"/>
          <w:szCs w:val="16"/>
          <w:u w:val="single" w:color="auto"/>
          <w:color w:val="auto"/>
        </w:rPr>
        <w:t>Investment Representations</w:t>
      </w:r>
      <w:r>
        <w:rPr>
          <w:rFonts w:ascii="Arial" w:cs="Arial" w:eastAsia="Arial" w:hAnsi="Arial"/>
          <w:sz w:val="16"/>
          <w:szCs w:val="16"/>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63" w:lineRule="exact"/>
        <w:rPr>
          <w:rFonts w:ascii="Arial" w:cs="Arial" w:eastAsia="Arial" w:hAnsi="Arial"/>
          <w:sz w:val="16"/>
          <w:szCs w:val="16"/>
          <w:color w:val="auto"/>
        </w:rPr>
      </w:pPr>
    </w:p>
    <w:p>
      <w:pPr>
        <w:jc w:val="both"/>
        <w:ind w:firstLine="656"/>
        <w:spacing w:after="0" w:line="291" w:lineRule="auto"/>
        <w:tabs>
          <w:tab w:leader="none" w:pos="1134"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Inability to Obtain Authority</w:t>
      </w:r>
      <w:r>
        <w:rPr>
          <w:rFonts w:ascii="Arial" w:cs="Arial" w:eastAsia="Arial" w:hAnsi="Arial"/>
          <w:sz w:val="18"/>
          <w:szCs w:val="18"/>
          <w:color w:val="auto"/>
        </w:rPr>
        <w:t>.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spacing w:after="0" w:line="97" w:lineRule="exact"/>
        <w:rPr>
          <w:rFonts w:ascii="Arial" w:cs="Arial" w:eastAsia="Arial" w:hAnsi="Arial"/>
          <w:sz w:val="18"/>
          <w:szCs w:val="18"/>
          <w:color w:val="auto"/>
        </w:rPr>
      </w:pPr>
    </w:p>
    <w:p>
      <w:pPr>
        <w:jc w:val="both"/>
        <w:ind w:firstLine="656"/>
        <w:spacing w:after="0" w:line="250" w:lineRule="auto"/>
        <w:tabs>
          <w:tab w:leader="none" w:pos="1161" w:val="left"/>
        </w:tabs>
        <w:numPr>
          <w:ilvl w:val="0"/>
          <w:numId w:val="256"/>
        </w:numPr>
        <w:rPr>
          <w:rFonts w:ascii="Arial" w:cs="Arial" w:eastAsia="Arial" w:hAnsi="Arial"/>
          <w:sz w:val="20"/>
          <w:szCs w:val="20"/>
          <w:color w:val="auto"/>
        </w:rPr>
      </w:pPr>
      <w:r>
        <w:rPr>
          <w:rFonts w:ascii="Arial" w:cs="Arial" w:eastAsia="Arial" w:hAnsi="Arial"/>
          <w:sz w:val="20"/>
          <w:szCs w:val="20"/>
          <w:u w:val="single" w:color="auto"/>
          <w:color w:val="auto"/>
        </w:rPr>
        <w:t>Stockholder Approval</w:t>
      </w:r>
      <w:r>
        <w:rPr>
          <w:rFonts w:ascii="Arial" w:cs="Arial" w:eastAsia="Arial" w:hAnsi="Arial"/>
          <w:sz w:val="20"/>
          <w:szCs w:val="20"/>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131" w:lineRule="exact"/>
        <w:rPr>
          <w:rFonts w:ascii="Arial" w:cs="Arial" w:eastAsia="Arial" w:hAnsi="Arial"/>
          <w:sz w:val="20"/>
          <w:szCs w:val="20"/>
          <w:color w:val="auto"/>
        </w:rPr>
      </w:pPr>
    </w:p>
    <w:p>
      <w:pPr>
        <w:jc w:val="both"/>
        <w:ind w:firstLine="656"/>
        <w:spacing w:after="0" w:line="270" w:lineRule="auto"/>
        <w:tabs>
          <w:tab w:leader="none" w:pos="1107"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Information to Participants</w:t>
      </w:r>
      <w:r>
        <w:rPr>
          <w:rFonts w:ascii="Arial" w:cs="Arial" w:eastAsia="Arial" w:hAnsi="Arial"/>
          <w:sz w:val="18"/>
          <w:szCs w:val="18"/>
          <w:color w:val="auto"/>
        </w:rPr>
        <w:t>. Beginning on the earlier of (i) the date that the aggregate number of Participants under this Plan is five hundred (500) or more and the Company is relying on the exemption provided by Rule 12h-1(f)(1) under the Exchange Act and (ii) the date that the Company is required to deliver information to Participants pursuant to Rule 701 under the Securities Act, and until such time as the Company becomes subject to the reporting requirements of Section 13 or 15(d) of the Exchange Act, is no longer relying on the exemption provided by Rule 12h-1(f)(1) under the Exchange Act or is no longer required to deliver information to Participants pursuant to Rule 701 under the Securities Act, the Company shall provide to each Participant the information described in paragraphs (e)(3), (4), and (5) of Rule 701 under the Securities Act not less frequently than every six (6) months with the financial statements being not more than 180 days old and with such information provided either by physical or electronic delivery to the Participants or by written notice to the Participants of the availability of the information on an Internet site that may be password-protected and of any password needed to access the information. The Company may request that Participants agree to keep the information to be provided pursuant to this section confidential. If a Participant does not agree to keep the information to be provided pursuant to this section confidential, then the Company will not be required to provide the information unless otherwise required pursuant to Rule 12h-1(f)(1) under the Exchange Act or Rule 701 of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19" w:right="339" w:bottom="1440" w:gutter="0" w:footer="0" w:header="0"/>
        </w:sectPr>
      </w:pPr>
    </w:p>
    <w:bookmarkStart w:id="328" w:name="page329"/>
    <w:bookmarkEnd w:id="328"/>
    <w:p>
      <w:pPr>
        <w:jc w:val="right"/>
        <w:spacing w:after="0"/>
        <w:rPr>
          <w:sz w:val="20"/>
          <w:szCs w:val="20"/>
          <w:color w:val="auto"/>
        </w:rPr>
      </w:pPr>
      <w:r>
        <w:rPr>
          <w:rFonts w:ascii="Arial" w:cs="Arial" w:eastAsia="Arial" w:hAnsi="Arial"/>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NERDWALLET, INC.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2012 EQUITY INCENTIVE PLAN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(with provision for early exercise)</w:t>
      </w:r>
    </w:p>
    <w:p>
      <w:pPr>
        <w:spacing w:after="0" w:line="172"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Unless otherwise defined herein, the terms defined in the 2012 Equity Incentive Plan (the “Plan”) shall have the same defined meanings in this Stock Option Agreement (the “Option Agreement”).</w:t>
      </w:r>
    </w:p>
    <w:p>
      <w:pPr>
        <w:spacing w:after="0" w:line="115" w:lineRule="exact"/>
        <w:rPr>
          <w:sz w:val="20"/>
          <w:szCs w:val="20"/>
          <w:color w:val="auto"/>
        </w:rPr>
      </w:pPr>
    </w:p>
    <w:p>
      <w:pPr>
        <w:ind w:left="360" w:hanging="352"/>
        <w:spacing w:after="0"/>
        <w:tabs>
          <w:tab w:leader="none" w:pos="360" w:val="left"/>
        </w:tabs>
        <w:numPr>
          <w:ilvl w:val="0"/>
          <w:numId w:val="25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 OF STOCK OPTION GRANT</w:t>
      </w:r>
    </w:p>
    <w:p>
      <w:pPr>
        <w:sectPr>
          <w:pgSz w:w="11900" w:h="16838" w:orient="portrait"/>
          <w:cols w:equalWidth="0" w:num="1">
            <w:col w:w="11240"/>
          </w:cols>
          <w:pgMar w:left="320" w:top="121" w:right="339" w:bottom="1440" w:gutter="0" w:footer="0" w:header="0"/>
        </w:sectPr>
      </w:pPr>
    </w:p>
    <w:p>
      <w:pPr>
        <w:spacing w:after="0" w:line="220" w:lineRule="exact"/>
        <w:rPr>
          <w:sz w:val="20"/>
          <w:szCs w:val="20"/>
          <w:color w:val="auto"/>
        </w:rPr>
      </w:pPr>
    </w:p>
    <w:p>
      <w:pPr>
        <w:ind w:left="680"/>
        <w:spacing w:after="0"/>
        <w:rPr>
          <w:sz w:val="20"/>
          <w:szCs w:val="20"/>
          <w:color w:val="auto"/>
        </w:rPr>
      </w:pPr>
      <w:r>
        <w:rPr>
          <w:rFonts w:ascii="Arial" w:cs="Arial" w:eastAsia="Arial" w:hAnsi="Arial"/>
          <w:sz w:val="19"/>
          <w:szCs w:val="19"/>
          <w:b w:val="1"/>
          <w:bCs w:val="1"/>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[[FIRSTNAME]] [[LASTNAME]]</w:t>
      </w:r>
    </w:p>
    <w:p>
      <w:pPr>
        <w:spacing w:after="0" w:line="200" w:lineRule="exact"/>
        <w:rPr>
          <w:sz w:val="20"/>
          <w:szCs w:val="20"/>
          <w:color w:val="auto"/>
        </w:rPr>
      </w:pPr>
    </w:p>
    <w:p>
      <w:pPr>
        <w:sectPr>
          <w:pgSz w:w="11900" w:h="16838" w:orient="portrait"/>
          <w:cols w:equalWidth="0" w:num="2">
            <w:col w:w="1760" w:space="720"/>
            <w:col w:w="8760"/>
          </w:cols>
          <w:pgMar w:left="320" w:top="121" w:right="339" w:bottom="1440" w:gutter="0" w:footer="0" w:header="0"/>
          <w:type w:val="continuous"/>
        </w:sectPr>
      </w:pPr>
    </w:p>
    <w:p>
      <w:pPr>
        <w:spacing w:after="0" w:line="128"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Address:</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[[RESADDR1]] [[RESADDR2]] [[RESADDR3]]</w:t>
      </w:r>
    </w:p>
    <w:p>
      <w:pPr>
        <w:spacing w:after="0" w:line="5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[[RESCITY]], [[RESSTATEORPROV]] [[RESPOSTALCODE]]</w:t>
      </w:r>
    </w:p>
    <w:p>
      <w:pPr>
        <w:spacing w:after="0" w:line="200" w:lineRule="exact"/>
        <w:rPr>
          <w:sz w:val="20"/>
          <w:szCs w:val="20"/>
          <w:color w:val="auto"/>
        </w:rPr>
      </w:pPr>
    </w:p>
    <w:p>
      <w:pPr>
        <w:sectPr>
          <w:pgSz w:w="11900" w:h="16838" w:orient="portrait"/>
          <w:cols w:equalWidth="0" w:num="2">
            <w:col w:w="1760" w:space="720"/>
            <w:col w:w="8760"/>
          </w:cols>
          <w:pgMar w:left="320" w:top="121" w:right="339" w:bottom="1440" w:gutter="0" w:footer="0" w:header="0"/>
          <w:type w:val="continuous"/>
        </w:sectPr>
      </w:pPr>
    </w:p>
    <w:p>
      <w:pPr>
        <w:spacing w:after="0" w:line="10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undersigned Participant has been granted an Option to purchase Common Stock of the Company, subject to the terms and conditions of the Plan and this Option Agreement, as follows:</w:t>
      </w:r>
    </w:p>
    <w:p>
      <w:pPr>
        <w:sectPr>
          <w:pgSz w:w="11900" w:h="16838" w:orient="portrait"/>
          <w:cols w:equalWidth="0" w:num="1">
            <w:col w:w="11240"/>
          </w:cols>
          <w:pgMar w:left="320" w:top="121" w:right="339" w:bottom="1440" w:gutter="0" w:footer="0" w:header="0"/>
          <w:type w:val="continuous"/>
        </w:sectPr>
      </w:pPr>
    </w:p>
    <w:p>
      <w:pPr>
        <w:spacing w:after="0" w:line="175" w:lineRule="exact"/>
        <w:rPr>
          <w:sz w:val="20"/>
          <w:szCs w:val="20"/>
          <w:color w:val="auto"/>
        </w:rPr>
      </w:pPr>
    </w:p>
    <w:p>
      <w:pPr>
        <w:ind w:left="680"/>
        <w:spacing w:after="0"/>
        <w:rPr>
          <w:sz w:val="20"/>
          <w:szCs w:val="20"/>
          <w:color w:val="auto"/>
        </w:rPr>
      </w:pPr>
      <w:r>
        <w:rPr>
          <w:rFonts w:ascii="Arial" w:cs="Arial" w:eastAsia="Arial" w:hAnsi="Arial"/>
          <w:sz w:val="19"/>
          <w:szCs w:val="19"/>
          <w:color w:val="auto"/>
        </w:rPr>
        <w:t>Date of Grant: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21"/>
          <w:szCs w:val="21"/>
          <w:color w:val="auto"/>
        </w:rPr>
        <w:t>[[GRANTDATE]]</w:t>
      </w:r>
    </w:p>
    <w:p>
      <w:pPr>
        <w:spacing w:after="0" w:line="200" w:lineRule="exact"/>
        <w:rPr>
          <w:sz w:val="20"/>
          <w:szCs w:val="20"/>
          <w:color w:val="auto"/>
        </w:rPr>
      </w:pPr>
    </w:p>
    <w:p>
      <w:pPr>
        <w:sectPr>
          <w:pgSz w:w="11900" w:h="16838" w:orient="portrait"/>
          <w:cols w:equalWidth="0" w:num="2">
            <w:col w:w="3720" w:space="720"/>
            <w:col w:w="6800"/>
          </w:cols>
          <w:pgMar w:left="320" w:top="121" w:right="339" w:bottom="1440" w:gutter="0" w:footer="0" w:header="0"/>
          <w:type w:val="continuous"/>
        </w:sectPr>
      </w:pPr>
    </w:p>
    <w:p>
      <w:pPr>
        <w:spacing w:after="0" w:line="31" w:lineRule="exact"/>
        <w:rPr>
          <w:sz w:val="20"/>
          <w:szCs w:val="20"/>
          <w:color w:val="auto"/>
        </w:rPr>
      </w:pPr>
    </w:p>
    <w:p>
      <w:pPr>
        <w:ind w:left="680"/>
        <w:spacing w:after="0"/>
        <w:rPr>
          <w:sz w:val="20"/>
          <w:szCs w:val="20"/>
          <w:color w:val="auto"/>
        </w:rPr>
      </w:pPr>
      <w:r>
        <w:rPr>
          <w:rFonts w:ascii="Arial" w:cs="Arial" w:eastAsia="Arial" w:hAnsi="Arial"/>
          <w:sz w:val="19"/>
          <w:szCs w:val="19"/>
          <w:color w:val="auto"/>
        </w:rPr>
        <w:t>Vesting Commencement Date:</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auto"/>
        </w:rPr>
        <w:t>[[VESTINGSTARTDATE]]</w:t>
      </w:r>
    </w:p>
    <w:p>
      <w:pPr>
        <w:spacing w:after="0" w:line="69" w:lineRule="exact"/>
        <w:rPr>
          <w:sz w:val="20"/>
          <w:szCs w:val="20"/>
          <w:color w:val="auto"/>
        </w:rPr>
      </w:pPr>
    </w:p>
    <w:p>
      <w:pPr>
        <w:sectPr>
          <w:pgSz w:w="11900" w:h="16838" w:orient="portrait"/>
          <w:cols w:equalWidth="0" w:num="2">
            <w:col w:w="3720" w:space="720"/>
            <w:col w:w="6800"/>
          </w:cols>
          <w:pgMar w:left="320" w:top="121" w:right="339" w:bottom="1440" w:gutter="0" w:footer="0" w:header="0"/>
          <w:type w:val="continuous"/>
        </w:sectPr>
      </w:pPr>
    </w:p>
    <w:p>
      <w:pPr>
        <w:ind w:left="680"/>
        <w:spacing w:after="0"/>
        <w:rPr>
          <w:sz w:val="20"/>
          <w:szCs w:val="20"/>
          <w:color w:val="auto"/>
        </w:rPr>
      </w:pPr>
      <w:r>
        <w:rPr>
          <w:rFonts w:ascii="Arial" w:cs="Arial" w:eastAsia="Arial" w:hAnsi="Arial"/>
          <w:sz w:val="19"/>
          <w:szCs w:val="19"/>
          <w:color w:val="auto"/>
        </w:rPr>
        <w:t>Exercise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[[GRANTPRICE]]</w:t>
      </w:r>
    </w:p>
    <w:p>
      <w:pPr>
        <w:spacing w:after="0" w:line="69" w:lineRule="exact"/>
        <w:rPr>
          <w:sz w:val="20"/>
          <w:szCs w:val="20"/>
          <w:color w:val="auto"/>
        </w:rPr>
      </w:pPr>
    </w:p>
    <w:p>
      <w:pPr>
        <w:sectPr>
          <w:pgSz w:w="11900" w:h="16838" w:orient="portrait"/>
          <w:cols w:equalWidth="0" w:num="2">
            <w:col w:w="3720" w:space="720"/>
            <w:col w:w="6800"/>
          </w:cols>
          <w:pgMar w:left="320" w:top="121" w:right="339" w:bottom="1440" w:gutter="0" w:footer="0" w:header="0"/>
          <w:type w:val="continuous"/>
        </w:sectPr>
      </w:pPr>
    </w:p>
    <w:p>
      <w:pPr>
        <w:ind w:left="680"/>
        <w:spacing w:after="0"/>
        <w:rPr>
          <w:sz w:val="20"/>
          <w:szCs w:val="20"/>
          <w:color w:val="auto"/>
        </w:rPr>
      </w:pPr>
      <w:r>
        <w:rPr>
          <w:rFonts w:ascii="Arial" w:cs="Arial" w:eastAsia="Arial" w:hAnsi="Arial"/>
          <w:sz w:val="19"/>
          <w:szCs w:val="19"/>
          <w:color w:val="auto"/>
        </w:rPr>
        <w:t>Total Number of Shares Granted: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[[SHARESGRANTED]]</w:t>
      </w:r>
    </w:p>
    <w:p>
      <w:pPr>
        <w:spacing w:after="0" w:line="200" w:lineRule="exact"/>
        <w:rPr>
          <w:sz w:val="20"/>
          <w:szCs w:val="20"/>
          <w:color w:val="auto"/>
        </w:rPr>
      </w:pPr>
    </w:p>
    <w:p>
      <w:pPr>
        <w:sectPr>
          <w:pgSz w:w="11900" w:h="16838" w:orient="portrait"/>
          <w:cols w:equalWidth="0" w:num="2">
            <w:col w:w="3720" w:space="720"/>
            <w:col w:w="6800"/>
          </w:cols>
          <w:pgMar w:left="320" w:top="121" w:right="339" w:bottom="1440" w:gutter="0" w:footer="0" w:header="0"/>
          <w:type w:val="continuous"/>
        </w:sectPr>
      </w:pPr>
    </w:p>
    <w:p>
      <w:pPr>
        <w:spacing w:after="0" w:line="85" w:lineRule="exact"/>
        <w:rPr>
          <w:sz w:val="20"/>
          <w:szCs w:val="20"/>
          <w:color w:val="auto"/>
        </w:rPr>
      </w:pPr>
    </w:p>
    <w:p>
      <w:pPr>
        <w:ind w:left="680"/>
        <w:spacing w:after="0"/>
        <w:rPr>
          <w:sz w:val="20"/>
          <w:szCs w:val="20"/>
          <w:color w:val="auto"/>
        </w:rPr>
      </w:pPr>
      <w:r>
        <w:rPr>
          <w:rFonts w:ascii="Arial" w:cs="Arial" w:eastAsia="Arial" w:hAnsi="Arial"/>
          <w:sz w:val="19"/>
          <w:szCs w:val="19"/>
          <w:color w:val="auto"/>
        </w:rPr>
        <w:t>Type of Grant:</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21"/>
          <w:szCs w:val="21"/>
          <w:color w:val="auto"/>
        </w:rPr>
        <w:t>[[GRANTTYPE]]</w:t>
      </w:r>
    </w:p>
    <w:p>
      <w:pPr>
        <w:spacing w:after="0" w:line="69" w:lineRule="exact"/>
        <w:rPr>
          <w:sz w:val="20"/>
          <w:szCs w:val="20"/>
          <w:color w:val="auto"/>
        </w:rPr>
      </w:pPr>
    </w:p>
    <w:p>
      <w:pPr>
        <w:sectPr>
          <w:pgSz w:w="11900" w:h="16838" w:orient="portrait"/>
          <w:cols w:equalWidth="0" w:num="2">
            <w:col w:w="3720" w:space="720"/>
            <w:col w:w="6800"/>
          </w:cols>
          <w:pgMar w:left="320" w:top="121" w:right="339" w:bottom="1440" w:gutter="0" w:footer="0" w:header="0"/>
          <w:type w:val="continuous"/>
        </w:sectPr>
      </w:pPr>
    </w:p>
    <w:p>
      <w:pPr>
        <w:ind w:left="680"/>
        <w:spacing w:after="0"/>
        <w:rPr>
          <w:sz w:val="20"/>
          <w:szCs w:val="20"/>
          <w:color w:val="auto"/>
        </w:rPr>
      </w:pPr>
      <w:r>
        <w:rPr>
          <w:rFonts w:ascii="Arial" w:cs="Arial" w:eastAsia="Arial" w:hAnsi="Arial"/>
          <w:sz w:val="19"/>
          <w:szCs w:val="19"/>
          <w:color w:val="auto"/>
        </w:rPr>
        <w:t>Term/Expiration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[[GRANTEXPIRATIONDATE]]</w:t>
      </w:r>
    </w:p>
    <w:p>
      <w:pPr>
        <w:spacing w:after="0" w:line="200" w:lineRule="exact"/>
        <w:rPr>
          <w:sz w:val="20"/>
          <w:szCs w:val="20"/>
          <w:color w:val="auto"/>
        </w:rPr>
      </w:pPr>
    </w:p>
    <w:p>
      <w:pPr>
        <w:sectPr>
          <w:pgSz w:w="11900" w:h="16838" w:orient="portrait"/>
          <w:cols w:equalWidth="0" w:num="2">
            <w:col w:w="3720" w:space="720"/>
            <w:col w:w="6800"/>
          </w:cols>
          <w:pgMar w:left="320" w:top="121" w:right="339" w:bottom="1440" w:gutter="0" w:footer="0" w:header="0"/>
          <w:type w:val="continuous"/>
        </w:sectPr>
      </w:pPr>
    </w:p>
    <w:p>
      <w:pPr>
        <w:spacing w:after="0" w:line="79"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Vesting Schedule</w:t>
      </w:r>
      <w:r>
        <w:rPr>
          <w:rFonts w:ascii="Arial" w:cs="Arial" w:eastAsia="Arial" w:hAnsi="Arial"/>
          <w:sz w:val="22"/>
          <w:szCs w:val="22"/>
          <w:b w:val="1"/>
          <w:bCs w:val="1"/>
          <w:color w:val="auto"/>
        </w:rPr>
        <w:t>:</w:t>
      </w:r>
    </w:p>
    <w:p>
      <w:pPr>
        <w:spacing w:after="0" w:line="17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This Option shall be exercisable, in whole or in part, at any time after the Date of Grant and shall vest according to the following vesting schedule:</w:t>
      </w:r>
    </w:p>
    <w:p>
      <w:pPr>
        <w:spacing w:after="0" w:line="12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i w:val="1"/>
          <w:iCs w:val="1"/>
          <w:color w:val="auto"/>
        </w:rPr>
        <w:t>Twenty-five percent (25%) of the Shares subject to the Option shall vest on the one (1) year anniversary of the Vesting Commencement Date, and one forty-eighth (1/48th) of the Shares subject to the Option shall vest each month thereafter on the same day of the month as the Vesting Commencement Date (and if there is no corresponding day, on the last day of the month), subject to Participant continuing to be a Service Provider through each such date; provided, however that ISOs and NSOs shall vest in the following order: ISOs shall be the first Option shares to vest under the vesting schedule; no NSOs shall vest until all ISOs are vested. For the avoidance of doubt, NSOs and ISOs granted on the same grant date, even if documented</w:t>
      </w:r>
    </w:p>
    <w:p>
      <w:pPr>
        <w:sectPr>
          <w:pgSz w:w="11900" w:h="16838" w:orient="portrait"/>
          <w:cols w:equalWidth="0" w:num="1">
            <w:col w:w="11240"/>
          </w:cols>
          <w:pgMar w:left="320" w:top="121" w:right="339" w:bottom="1440" w:gutter="0" w:footer="0" w:header="0"/>
          <w:type w:val="continuous"/>
        </w:sectPr>
      </w:pPr>
    </w:p>
    <w:bookmarkStart w:id="329" w:name="page330"/>
    <w:bookmarkEnd w:id="329"/>
    <w:p>
      <w:pPr>
        <w:jc w:val="both"/>
        <w:spacing w:after="0" w:line="263" w:lineRule="auto"/>
        <w:rPr>
          <w:sz w:val="20"/>
          <w:szCs w:val="20"/>
          <w:color w:val="auto"/>
        </w:rPr>
      </w:pPr>
      <w:r>
        <w:rPr>
          <w:rFonts w:ascii="Arial" w:cs="Arial" w:eastAsia="Arial" w:hAnsi="Arial"/>
          <w:sz w:val="22"/>
          <w:szCs w:val="22"/>
          <w:i w:val="1"/>
          <w:iCs w:val="1"/>
          <w:color w:val="auto"/>
        </w:rPr>
        <w:t>in separate grant notices, will be treated as a single grant for purposes of determining the order of vesting per the foregoing paragraph.</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Termination Period</w:t>
      </w:r>
      <w:r>
        <w:rPr>
          <w:rFonts w:ascii="Arial" w:cs="Arial" w:eastAsia="Arial" w:hAnsi="Arial"/>
          <w:sz w:val="22"/>
          <w:szCs w:val="22"/>
          <w:color w:val="auto"/>
        </w:rPr>
        <w:t>:</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This Option shall be exercisable with respect to vested Shares subject to the Option for three (3) months after Participant ceases to be a Service Provider, unless such termination is due to Participant’s death or Disability, in which case this Option shall be exercisable for twelve (12) months after Participant ceases to be a Service Provider. Notwithstanding the foregoing sentence, in no event may this Option be exercised after the Term/Expiration Date as provided above and this Option may be subject to earlier termination as provided in Section 13 of the Plan.</w:t>
      </w:r>
    </w:p>
    <w:p>
      <w:pPr>
        <w:spacing w:after="0" w:line="115" w:lineRule="exact"/>
        <w:rPr>
          <w:sz w:val="20"/>
          <w:szCs w:val="20"/>
          <w:color w:val="auto"/>
        </w:rPr>
      </w:pPr>
    </w:p>
    <w:p>
      <w:pPr>
        <w:ind w:left="440" w:hanging="432"/>
        <w:spacing w:after="0"/>
        <w:tabs>
          <w:tab w:leader="none" w:pos="440" w:val="left"/>
        </w:tabs>
        <w:numPr>
          <w:ilvl w:val="0"/>
          <w:numId w:val="25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AGREEMENT</w:t>
      </w:r>
    </w:p>
    <w:p>
      <w:pPr>
        <w:spacing w:after="0" w:line="171" w:lineRule="exact"/>
        <w:rPr>
          <w:rFonts w:ascii="Arial" w:cs="Arial" w:eastAsia="Arial" w:hAnsi="Arial"/>
          <w:sz w:val="22"/>
          <w:szCs w:val="22"/>
          <w:b w:val="1"/>
          <w:bCs w:val="1"/>
          <w:color w:val="auto"/>
        </w:rPr>
      </w:pPr>
    </w:p>
    <w:p>
      <w:pPr>
        <w:jc w:val="both"/>
        <w:ind w:firstLine="656"/>
        <w:spacing w:after="0" w:line="247" w:lineRule="auto"/>
        <w:tabs>
          <w:tab w:leader="none" w:pos="1080" w:val="left"/>
        </w:tabs>
        <w:numPr>
          <w:ilvl w:val="1"/>
          <w:numId w:val="258"/>
        </w:numPr>
        <w:rPr>
          <w:rFonts w:ascii="Arial" w:cs="Arial" w:eastAsia="Arial" w:hAnsi="Arial"/>
          <w:sz w:val="22"/>
          <w:szCs w:val="22"/>
          <w:color w:val="auto"/>
        </w:rPr>
      </w:pPr>
      <w:r>
        <w:rPr>
          <w:rFonts w:ascii="Arial" w:cs="Arial" w:eastAsia="Arial" w:hAnsi="Arial"/>
          <w:sz w:val="22"/>
          <w:szCs w:val="22"/>
          <w:u w:val="single" w:color="auto"/>
          <w:color w:val="auto"/>
        </w:rPr>
        <w:t>Grant of Option</w:t>
      </w:r>
      <w:r>
        <w:rPr>
          <w:rFonts w:ascii="Arial" w:cs="Arial" w:eastAsia="Arial" w:hAnsi="Arial"/>
          <w:sz w:val="22"/>
          <w:szCs w:val="22"/>
          <w:color w:val="auto"/>
        </w:rPr>
        <w:t>. The Administrator of the Company hereby grants to the Participant named in the Notice of Stock Option Grant in Part I of this Agreement (“Participant”), an option (the “Option”) to purchase the number of Shares set forth in the Notice of Stock Option Grant, at the exercise price per Share set forth in the Notice of Stock Option Grant (the “Exercise Price”), and subject to the terms and conditions of the Plan, which is incorporated herein by reference. Subject to Section 18 of the Plan, in the event of a conflict between the terms and conditions of the Plan and this Option Agreement, the terms and conditions of the Plan shall prevail.</w:t>
      </w:r>
    </w:p>
    <w:p>
      <w:pPr>
        <w:spacing w:after="0" w:line="13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portion of the Option designated in the Notice of Stock Option Grant as an ISO is intended to qualify as an ISO as defined in Section 422 of the Code. Nevertheless, to the extent that it exceeds the $100,000 rule of Code Section 422(d), the ISO portion of the Option shall be treated as a NSO. Further, if for any reason any portion of this Option shall not qualify as an ISO, then, to the extent of such nonqualification, such Option (or portion thereof) shall be regarded as a NSO granted under the Plan. In no event shall the Administrator, the Company or any Parent or Subsidiary or any of their respective employees or directors have any liability to Participant (or any other person) due to the failure of the Option to qualify for any reason as an ISO.</w:t>
      </w:r>
    </w:p>
    <w:p>
      <w:pPr>
        <w:spacing w:after="0" w:line="95" w:lineRule="exact"/>
        <w:rPr>
          <w:sz w:val="20"/>
          <w:szCs w:val="20"/>
          <w:color w:val="auto"/>
        </w:rPr>
      </w:pPr>
    </w:p>
    <w:p>
      <w:pPr>
        <w:ind w:firstLine="656"/>
        <w:spacing w:after="0" w:line="263" w:lineRule="auto"/>
        <w:tabs>
          <w:tab w:leader="none" w:pos="1026" w:val="left"/>
        </w:tabs>
        <w:numPr>
          <w:ilvl w:val="0"/>
          <w:numId w:val="259"/>
        </w:numPr>
        <w:rPr>
          <w:rFonts w:ascii="Arial" w:cs="Arial" w:eastAsia="Arial" w:hAnsi="Arial"/>
          <w:sz w:val="22"/>
          <w:szCs w:val="22"/>
          <w:color w:val="auto"/>
        </w:rPr>
      </w:pPr>
      <w:r>
        <w:rPr>
          <w:rFonts w:ascii="Arial" w:cs="Arial" w:eastAsia="Arial" w:hAnsi="Arial"/>
          <w:sz w:val="22"/>
          <w:szCs w:val="22"/>
          <w:u w:val="single" w:color="auto"/>
          <w:color w:val="auto"/>
        </w:rPr>
        <w:t>Exercise of Option</w:t>
      </w:r>
      <w:r>
        <w:rPr>
          <w:rFonts w:ascii="Arial" w:cs="Arial" w:eastAsia="Arial" w:hAnsi="Arial"/>
          <w:sz w:val="22"/>
          <w:szCs w:val="22"/>
          <w:color w:val="auto"/>
        </w:rPr>
        <w:t>. This Option shall be exercisable during its term in accordance with the provisions of Section 6 of the Plan as follows:</w:t>
      </w:r>
    </w:p>
    <w:p>
      <w:pPr>
        <w:spacing w:after="0" w:line="120" w:lineRule="exact"/>
        <w:rPr>
          <w:rFonts w:ascii="Arial" w:cs="Arial" w:eastAsia="Arial" w:hAnsi="Arial"/>
          <w:sz w:val="22"/>
          <w:szCs w:val="22"/>
          <w:color w:val="auto"/>
        </w:rPr>
      </w:pPr>
    </w:p>
    <w:p>
      <w:pPr>
        <w:ind w:left="1760" w:hanging="456"/>
        <w:spacing w:after="0"/>
        <w:tabs>
          <w:tab w:leader="none" w:pos="1760" w:val="left"/>
        </w:tabs>
        <w:numPr>
          <w:ilvl w:val="1"/>
          <w:numId w:val="259"/>
        </w:numPr>
        <w:rPr>
          <w:rFonts w:ascii="Arial" w:cs="Arial" w:eastAsia="Arial" w:hAnsi="Arial"/>
          <w:sz w:val="22"/>
          <w:szCs w:val="22"/>
          <w:color w:val="auto"/>
        </w:rPr>
      </w:pPr>
      <w:r>
        <w:rPr>
          <w:rFonts w:ascii="Arial" w:cs="Arial" w:eastAsia="Arial" w:hAnsi="Arial"/>
          <w:sz w:val="22"/>
          <w:szCs w:val="22"/>
          <w:u w:val="single" w:color="auto"/>
          <w:color w:val="auto"/>
        </w:rPr>
        <w:t>Right to Exercise</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ind w:right="280" w:firstLine="1952"/>
        <w:spacing w:after="0" w:line="260" w:lineRule="auto"/>
        <w:tabs>
          <w:tab w:leader="none" w:pos="2364" w:val="left"/>
        </w:tabs>
        <w:numPr>
          <w:ilvl w:val="2"/>
          <w:numId w:val="259"/>
        </w:numPr>
        <w:rPr>
          <w:rFonts w:ascii="Arial" w:cs="Arial" w:eastAsia="Arial" w:hAnsi="Arial"/>
          <w:sz w:val="21"/>
          <w:szCs w:val="21"/>
          <w:color w:val="auto"/>
        </w:rPr>
      </w:pPr>
      <w:r>
        <w:rPr>
          <w:rFonts w:ascii="Arial" w:cs="Arial" w:eastAsia="Arial" w:hAnsi="Arial"/>
          <w:sz w:val="21"/>
          <w:szCs w:val="21"/>
          <w:color w:val="auto"/>
        </w:rPr>
        <w:t xml:space="preserve">Subject to this subsection 2(a)(i) and subsection 2(a)(ii) below, this Option shall be exercisable cumulatively according to the vesting schedule set forth in the Notice of Stock Option Grant. Alternatively, at the election of Participant, this Option may be exercised in whole or in part at any time as to Shares that have not yet vested (“Unvested Shares”). As a condition of exercising this Option for Unvested Shares, Participant shall execute the Restricted Stock Purchase Agreement and all attachments thereto,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(the “Stock Purchase Agreement”). Vested Shares (all exercised Shares that are not Unvested Shares) shall not be subject to the Company’s repurchase right as set forth in the Stock Purchase Agreement.</w:t>
      </w:r>
    </w:p>
    <w:p>
      <w:pPr>
        <w:spacing w:after="0" w:line="126" w:lineRule="exact"/>
        <w:rPr>
          <w:rFonts w:ascii="Arial" w:cs="Arial" w:eastAsia="Arial" w:hAnsi="Arial"/>
          <w:sz w:val="21"/>
          <w:szCs w:val="21"/>
          <w:color w:val="auto"/>
        </w:rPr>
      </w:pPr>
    </w:p>
    <w:p>
      <w:pPr>
        <w:ind w:left="2420" w:hanging="468"/>
        <w:spacing w:after="0"/>
        <w:tabs>
          <w:tab w:leader="none" w:pos="2420" w:val="left"/>
        </w:tabs>
        <w:numPr>
          <w:ilvl w:val="2"/>
          <w:numId w:val="259"/>
        </w:numPr>
        <w:rPr>
          <w:rFonts w:ascii="Arial" w:cs="Arial" w:eastAsia="Arial" w:hAnsi="Arial"/>
          <w:sz w:val="22"/>
          <w:szCs w:val="22"/>
          <w:color w:val="auto"/>
        </w:rPr>
      </w:pPr>
      <w:r>
        <w:rPr>
          <w:rFonts w:ascii="Arial" w:cs="Arial" w:eastAsia="Arial" w:hAnsi="Arial"/>
          <w:sz w:val="22"/>
          <w:szCs w:val="22"/>
          <w:color w:val="auto"/>
        </w:rPr>
        <w:t>This Option may not be exercised for a fraction of a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330" w:name="page331"/>
    <w:bookmarkEnd w:id="330"/>
    <w:p>
      <w:pPr>
        <w:jc w:val="both"/>
        <w:ind w:firstLine="1304"/>
        <w:spacing w:after="0" w:line="259" w:lineRule="auto"/>
        <w:tabs>
          <w:tab w:leader="none" w:pos="1804" w:val="left"/>
        </w:tabs>
        <w:numPr>
          <w:ilvl w:val="0"/>
          <w:numId w:val="260"/>
        </w:numPr>
        <w:rPr>
          <w:rFonts w:ascii="Arial" w:cs="Arial" w:eastAsia="Arial" w:hAnsi="Arial"/>
          <w:sz w:val="21"/>
          <w:szCs w:val="21"/>
          <w:color w:val="auto"/>
        </w:rPr>
      </w:pPr>
      <w:r>
        <w:rPr>
          <w:rFonts w:ascii="Arial" w:cs="Arial" w:eastAsia="Arial" w:hAnsi="Arial"/>
          <w:sz w:val="21"/>
          <w:szCs w:val="21"/>
          <w:u w:val="single" w:color="auto"/>
          <w:color w:val="auto"/>
        </w:rPr>
        <w:t>Method of Exercise</w:t>
      </w:r>
      <w:r>
        <w:rPr>
          <w:rFonts w:ascii="Arial" w:cs="Arial" w:eastAsia="Arial" w:hAnsi="Arial"/>
          <w:sz w:val="21"/>
          <w:szCs w:val="21"/>
          <w:color w:val="auto"/>
        </w:rPr>
        <w:t xml:space="preserve">. This Option shall be exercisable by delivery of an exercise notice in the form attached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(the “Exercise Notice”) and the Stock Purchase Agreement attached as </w:t>
      </w:r>
      <w:r>
        <w:rPr>
          <w:rFonts w:ascii="Arial" w:cs="Arial" w:eastAsia="Arial" w:hAnsi="Arial"/>
          <w:sz w:val="21"/>
          <w:szCs w:val="21"/>
          <w:u w:val="single" w:color="auto"/>
          <w:color w:val="auto"/>
        </w:rPr>
        <w:t>Exhibit B</w:t>
      </w:r>
      <w:r>
        <w:rPr>
          <w:rFonts w:ascii="Arial" w:cs="Arial" w:eastAsia="Arial" w:hAnsi="Arial"/>
          <w:sz w:val="21"/>
          <w:szCs w:val="21"/>
          <w:color w:val="auto"/>
        </w:rPr>
        <w:t>, if applicable, or in a manner and pursuant to such procedures as the Administrator may determine, which shall state the election to exercise the Option, the number of Shares with respect to which the Option is being exercised (the “Exercised Shares”), and such other representations and agreements as may be required by the Company. The Exercise Notice shall be accompanied by payment of the aggregate Exercise Price as to all Exercised Shares, together with any applicable tax withholding. This Option shall be deemed to be exercised upon receipt by the Company of such fully executed Exercise Notice accompanied by the aggregate Exercise Price, together with any applicable tax withholding.</w:t>
      </w:r>
    </w:p>
    <w:p>
      <w:pPr>
        <w:spacing w:after="0" w:line="1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 Shares shall be issued pursuant to the exercise of an Option unless such issuance and such exercise comply with Applicable Laws. Assuming such compliance, for income tax purposes the Shares shall be considered transferred to Participant on the date on which the Option is exercised with respect to such Shares.</w:t>
      </w:r>
    </w:p>
    <w:p>
      <w:pPr>
        <w:spacing w:after="0" w:line="131" w:lineRule="exact"/>
        <w:rPr>
          <w:sz w:val="20"/>
          <w:szCs w:val="20"/>
          <w:color w:val="auto"/>
        </w:rPr>
      </w:pPr>
    </w:p>
    <w:p>
      <w:pPr>
        <w:jc w:val="both"/>
        <w:ind w:firstLine="656"/>
        <w:spacing w:after="0" w:line="250" w:lineRule="auto"/>
        <w:tabs>
          <w:tab w:leader="none" w:pos="1080" w:val="left"/>
        </w:tabs>
        <w:numPr>
          <w:ilvl w:val="0"/>
          <w:numId w:val="261"/>
        </w:numPr>
        <w:rPr>
          <w:rFonts w:ascii="Arial" w:cs="Arial" w:eastAsia="Arial" w:hAnsi="Arial"/>
          <w:sz w:val="22"/>
          <w:szCs w:val="22"/>
          <w:color w:val="auto"/>
        </w:rPr>
      </w:pPr>
      <w:r>
        <w:rPr>
          <w:rFonts w:ascii="Arial" w:cs="Arial" w:eastAsia="Arial" w:hAnsi="Arial"/>
          <w:sz w:val="22"/>
          <w:szCs w:val="22"/>
          <w:u w:val="single" w:color="auto"/>
          <w:color w:val="auto"/>
        </w:rPr>
        <w:t>Participant’s Representations</w:t>
      </w:r>
      <w:r>
        <w:rPr>
          <w:rFonts w:ascii="Arial" w:cs="Arial" w:eastAsia="Arial" w:hAnsi="Arial"/>
          <w:sz w:val="22"/>
          <w:szCs w:val="22"/>
          <w:color w:val="auto"/>
        </w:rPr>
        <w:t xml:space="preserve">. In the event the Shares have not been registered under the Securities Act of 1933, as amended (the “Securities Act”), at the time this Option is exercised, Participant shall, if required by the Company, concurrently with the exercise of all or any portion of this Option, deliver to the Company his or her Investment Representation Statement in the form attached hereto as </w:t>
      </w:r>
      <w:r>
        <w:rPr>
          <w:rFonts w:ascii="Arial" w:cs="Arial" w:eastAsia="Arial" w:hAnsi="Arial"/>
          <w:sz w:val="22"/>
          <w:szCs w:val="22"/>
          <w:u w:val="single" w:color="auto"/>
          <w:color w:val="auto"/>
        </w:rPr>
        <w:t>Exhibit C</w:t>
      </w:r>
      <w:r>
        <w:rPr>
          <w:rFonts w:ascii="Arial" w:cs="Arial" w:eastAsia="Arial" w:hAnsi="Arial"/>
          <w:sz w:val="22"/>
          <w:szCs w:val="22"/>
          <w:color w:val="auto"/>
        </w:rPr>
        <w:t>.</w:t>
      </w:r>
    </w:p>
    <w:p>
      <w:pPr>
        <w:spacing w:after="0" w:line="133" w:lineRule="exact"/>
        <w:rPr>
          <w:rFonts w:ascii="Arial" w:cs="Arial" w:eastAsia="Arial" w:hAnsi="Arial"/>
          <w:sz w:val="22"/>
          <w:szCs w:val="22"/>
          <w:color w:val="auto"/>
        </w:rPr>
      </w:pPr>
    </w:p>
    <w:p>
      <w:pPr>
        <w:jc w:val="both"/>
        <w:ind w:firstLine="656"/>
        <w:spacing w:after="0" w:line="258" w:lineRule="auto"/>
        <w:tabs>
          <w:tab w:leader="none" w:pos="1026" w:val="left"/>
        </w:tabs>
        <w:numPr>
          <w:ilvl w:val="0"/>
          <w:numId w:val="261"/>
        </w:numPr>
        <w:rPr>
          <w:rFonts w:ascii="Arial" w:cs="Arial" w:eastAsia="Arial" w:hAnsi="Arial"/>
          <w:sz w:val="21"/>
          <w:szCs w:val="21"/>
          <w:color w:val="auto"/>
        </w:rPr>
      </w:pPr>
      <w:r>
        <w:rPr>
          <w:rFonts w:ascii="Arial" w:cs="Arial" w:eastAsia="Arial" w:hAnsi="Arial"/>
          <w:sz w:val="21"/>
          <w:szCs w:val="21"/>
          <w:u w:val="single" w:color="auto"/>
          <w:color w:val="auto"/>
        </w:rPr>
        <w:t>Lock-Up Period</w:t>
      </w:r>
      <w:r>
        <w:rPr>
          <w:rFonts w:ascii="Arial" w:cs="Arial" w:eastAsia="Arial" w:hAnsi="Arial"/>
          <w:sz w:val="21"/>
          <w:szCs w:val="21"/>
          <w:color w:val="auto"/>
        </w:rPr>
        <w:t>. Participant hereby agrees that Participant shall not offer, pledge, sell, contract to sell, sell any option or contract to purchase, purchase any option or contract to sell, grant any option, right or warrant to purchase, lend, or otherwise transfer or dispose of, directly or indirectly, any Common Stock (or other securities) of the Company or enter into any swap, hedging or other arrangement that transfers to another, in whole or in part, any of the economic consequences of ownership of any Common Stock (or other securities) of the Company held by Participant (other than those included in the registration) for a period specified by the representative of the underwriters of Common Stock (or other securities) of the Company not to exceed one hundred and eighty (180) days following the effective date of any registration statement of the Company filed under the Securities Act (or such other period as may be requested by the Company or the underwriters to accommodate regulatory restrictions on (i) the publication or other distribution of research reports and (ii) analyst recommendations and opinions, including, but not limited to, the restrictions contained in NASD Rule 2711(f)(4) or NYSE Rule 472(f)(4), or any successor provisions or amendments thereto).</w:t>
      </w:r>
    </w:p>
    <w:p>
      <w:pPr>
        <w:spacing w:after="0" w:line="12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Participant agrees to execute and deliver such other agreements as may be reasonably requested by the Company or the underwriter which are consistent with the foregoing or which are necessary to give further effect thereto. In addition, if requested by the Company or the representative of the underwriters of Common Stock (or other securities) of the Company, Participant shall provide, within ten (10) days of such request, such information as may be required by the Company or such representative in connection with the completion of any public offering of the Company’s securities pursuant to a registration statement filed under the Securities Act. The obligations described in this Section 4 shall not apply to a registration relating solely to employee benefit plans on Form S-1 or Form S-8 or similar forms that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331" w:name="page332"/>
    <w:bookmarkEnd w:id="331"/>
    <w:p>
      <w:pPr>
        <w:jc w:val="both"/>
        <w:spacing w:after="0" w:line="248" w:lineRule="auto"/>
        <w:rPr>
          <w:sz w:val="20"/>
          <w:szCs w:val="20"/>
          <w:color w:val="auto"/>
        </w:rPr>
      </w:pPr>
      <w:r>
        <w:rPr>
          <w:rFonts w:ascii="Arial" w:cs="Arial" w:eastAsia="Arial" w:hAnsi="Arial"/>
          <w:sz w:val="22"/>
          <w:szCs w:val="22"/>
          <w:color w:val="auto"/>
        </w:rPr>
        <w:t>promulgated in the future, or a registration relating solely to a Commission Rule 145 transaction on Form S-4 or similar forms that may be promulgated in the future. The Company may impose stop-transfer instructions with respect to the shares of Common Stock (or other securities) subject to the foregoing restriction until the end of said one hundred and eighty (180) day (or other) period. Participant agrees that any transferee of the Option or shares acquired pursuant to the Option shall be bound by this Section 4.</w:t>
      </w:r>
    </w:p>
    <w:p>
      <w:pPr>
        <w:spacing w:after="0" w:line="138" w:lineRule="exact"/>
        <w:rPr>
          <w:sz w:val="20"/>
          <w:szCs w:val="20"/>
          <w:color w:val="auto"/>
        </w:rPr>
      </w:pPr>
    </w:p>
    <w:p>
      <w:pPr>
        <w:ind w:right="20" w:firstLine="656"/>
        <w:spacing w:after="0" w:line="263" w:lineRule="auto"/>
        <w:tabs>
          <w:tab w:leader="none" w:pos="1107" w:val="left"/>
        </w:tabs>
        <w:numPr>
          <w:ilvl w:val="0"/>
          <w:numId w:val="262"/>
        </w:numPr>
        <w:rPr>
          <w:rFonts w:ascii="Arial" w:cs="Arial" w:eastAsia="Arial" w:hAnsi="Arial"/>
          <w:sz w:val="22"/>
          <w:szCs w:val="22"/>
          <w:color w:val="auto"/>
        </w:rPr>
      </w:pPr>
      <w:r>
        <w:rPr>
          <w:rFonts w:ascii="Arial" w:cs="Arial" w:eastAsia="Arial" w:hAnsi="Arial"/>
          <w:sz w:val="22"/>
          <w:szCs w:val="22"/>
          <w:u w:val="single" w:color="auto"/>
          <w:color w:val="auto"/>
        </w:rPr>
        <w:t>Method of Payment</w:t>
      </w:r>
      <w:r>
        <w:rPr>
          <w:rFonts w:ascii="Arial" w:cs="Arial" w:eastAsia="Arial" w:hAnsi="Arial"/>
          <w:sz w:val="22"/>
          <w:szCs w:val="22"/>
          <w:color w:val="auto"/>
        </w:rPr>
        <w:t>. Payment of the aggregate Exercise Price shall be by any of the following, or a combination thereof, at the election of the Participant:</w:t>
      </w:r>
    </w:p>
    <w:p>
      <w:pPr>
        <w:spacing w:after="0" w:line="120" w:lineRule="exact"/>
        <w:rPr>
          <w:rFonts w:ascii="Arial" w:cs="Arial" w:eastAsia="Arial" w:hAnsi="Arial"/>
          <w:sz w:val="22"/>
          <w:szCs w:val="22"/>
          <w:color w:val="auto"/>
        </w:rPr>
      </w:pPr>
    </w:p>
    <w:p>
      <w:pPr>
        <w:ind w:left="1760" w:hanging="456"/>
        <w:spacing w:after="0"/>
        <w:tabs>
          <w:tab w:leader="none" w:pos="1760" w:val="left"/>
        </w:tabs>
        <w:numPr>
          <w:ilvl w:val="1"/>
          <w:numId w:val="262"/>
        </w:numPr>
        <w:rPr>
          <w:rFonts w:ascii="Arial" w:cs="Arial" w:eastAsia="Arial" w:hAnsi="Arial"/>
          <w:sz w:val="22"/>
          <w:szCs w:val="22"/>
          <w:color w:val="auto"/>
        </w:rPr>
      </w:pPr>
      <w:r>
        <w:rPr>
          <w:rFonts w:ascii="Arial" w:cs="Arial" w:eastAsia="Arial" w:hAnsi="Arial"/>
          <w:sz w:val="22"/>
          <w:szCs w:val="22"/>
          <w:color w:val="auto"/>
        </w:rPr>
        <w:t>cash;</w:t>
      </w:r>
    </w:p>
    <w:p>
      <w:pPr>
        <w:spacing w:after="0" w:line="165" w:lineRule="exact"/>
        <w:rPr>
          <w:rFonts w:ascii="Arial" w:cs="Arial" w:eastAsia="Arial" w:hAnsi="Arial"/>
          <w:sz w:val="22"/>
          <w:szCs w:val="22"/>
          <w:color w:val="auto"/>
        </w:rPr>
      </w:pPr>
    </w:p>
    <w:p>
      <w:pPr>
        <w:ind w:left="1780" w:hanging="476"/>
        <w:spacing w:after="0"/>
        <w:tabs>
          <w:tab w:leader="none" w:pos="1780" w:val="left"/>
        </w:tabs>
        <w:numPr>
          <w:ilvl w:val="1"/>
          <w:numId w:val="262"/>
        </w:numPr>
        <w:rPr>
          <w:rFonts w:ascii="Arial" w:cs="Arial" w:eastAsia="Arial" w:hAnsi="Arial"/>
          <w:sz w:val="22"/>
          <w:szCs w:val="22"/>
          <w:color w:val="auto"/>
        </w:rPr>
      </w:pPr>
      <w:r>
        <w:rPr>
          <w:rFonts w:ascii="Arial" w:cs="Arial" w:eastAsia="Arial" w:hAnsi="Arial"/>
          <w:sz w:val="22"/>
          <w:szCs w:val="22"/>
          <w:color w:val="auto"/>
        </w:rPr>
        <w:t>check;</w:t>
      </w:r>
    </w:p>
    <w:p>
      <w:pPr>
        <w:spacing w:after="0" w:line="165" w:lineRule="exact"/>
        <w:rPr>
          <w:rFonts w:ascii="Arial" w:cs="Arial" w:eastAsia="Arial" w:hAnsi="Arial"/>
          <w:sz w:val="22"/>
          <w:szCs w:val="22"/>
          <w:color w:val="auto"/>
        </w:rPr>
      </w:pPr>
    </w:p>
    <w:p>
      <w:pPr>
        <w:ind w:firstLine="1304"/>
        <w:spacing w:after="0" w:line="263" w:lineRule="auto"/>
        <w:tabs>
          <w:tab w:leader="none" w:pos="1794" w:val="left"/>
        </w:tabs>
        <w:numPr>
          <w:ilvl w:val="1"/>
          <w:numId w:val="262"/>
        </w:numPr>
        <w:rPr>
          <w:rFonts w:ascii="Arial" w:cs="Arial" w:eastAsia="Arial" w:hAnsi="Arial"/>
          <w:sz w:val="22"/>
          <w:szCs w:val="22"/>
          <w:color w:val="auto"/>
        </w:rPr>
      </w:pPr>
      <w:r>
        <w:rPr>
          <w:rFonts w:ascii="Arial" w:cs="Arial" w:eastAsia="Arial" w:hAnsi="Arial"/>
          <w:sz w:val="22"/>
          <w:szCs w:val="22"/>
          <w:color w:val="auto"/>
        </w:rPr>
        <w:t>consideration received by the Company under a formal cashless exercise program adopted by the Company in connection with the Plan; or</w:t>
      </w:r>
    </w:p>
    <w:p>
      <w:pPr>
        <w:spacing w:after="0" w:line="120" w:lineRule="exact"/>
        <w:rPr>
          <w:rFonts w:ascii="Arial" w:cs="Arial" w:eastAsia="Arial" w:hAnsi="Arial"/>
          <w:sz w:val="22"/>
          <w:szCs w:val="22"/>
          <w:color w:val="auto"/>
        </w:rPr>
      </w:pPr>
    </w:p>
    <w:p>
      <w:pPr>
        <w:jc w:val="both"/>
        <w:ind w:firstLine="1304"/>
        <w:spacing w:after="0" w:line="271" w:lineRule="auto"/>
        <w:tabs>
          <w:tab w:leader="none" w:pos="1809" w:val="left"/>
        </w:tabs>
        <w:numPr>
          <w:ilvl w:val="1"/>
          <w:numId w:val="262"/>
        </w:numPr>
        <w:rPr>
          <w:rFonts w:ascii="Arial" w:cs="Arial" w:eastAsia="Arial" w:hAnsi="Arial"/>
          <w:sz w:val="21"/>
          <w:szCs w:val="21"/>
          <w:color w:val="auto"/>
        </w:rPr>
      </w:pPr>
      <w:r>
        <w:rPr>
          <w:rFonts w:ascii="Arial" w:cs="Arial" w:eastAsia="Arial" w:hAnsi="Arial"/>
          <w:sz w:val="21"/>
          <w:szCs w:val="21"/>
          <w:color w:val="auto"/>
        </w:rPr>
        <w:t>surrender of other Shares which (i) shall be valued at its Fair Market Value on the date of exercise, and (ii) must be owned free and clear of any liens, claims, encumbrances or security interests, if accepting such Shares, in the sole discretion of the Administrator, shall not result in any adverse accounting consequences to the Company.</w:t>
      </w:r>
    </w:p>
    <w:p>
      <w:pPr>
        <w:spacing w:after="0" w:line="113" w:lineRule="exact"/>
        <w:rPr>
          <w:rFonts w:ascii="Arial" w:cs="Arial" w:eastAsia="Arial" w:hAnsi="Arial"/>
          <w:sz w:val="21"/>
          <w:szCs w:val="21"/>
          <w:color w:val="auto"/>
        </w:rPr>
      </w:pPr>
    </w:p>
    <w:p>
      <w:pPr>
        <w:jc w:val="both"/>
        <w:ind w:firstLine="656"/>
        <w:spacing w:after="0" w:line="253" w:lineRule="auto"/>
        <w:tabs>
          <w:tab w:leader="none" w:pos="1107" w:val="left"/>
        </w:tabs>
        <w:numPr>
          <w:ilvl w:val="0"/>
          <w:numId w:val="262"/>
        </w:numPr>
        <w:rPr>
          <w:rFonts w:ascii="Arial" w:cs="Arial" w:eastAsia="Arial" w:hAnsi="Arial"/>
          <w:sz w:val="22"/>
          <w:szCs w:val="22"/>
          <w:color w:val="auto"/>
        </w:rPr>
      </w:pPr>
      <w:r>
        <w:rPr>
          <w:rFonts w:ascii="Arial" w:cs="Arial" w:eastAsia="Arial" w:hAnsi="Arial"/>
          <w:sz w:val="22"/>
          <w:szCs w:val="22"/>
          <w:u w:val="single" w:color="auto"/>
          <w:color w:val="auto"/>
        </w:rPr>
        <w:t>Restrictions on Exercise</w:t>
      </w:r>
      <w:r>
        <w:rPr>
          <w:rFonts w:ascii="Arial" w:cs="Arial" w:eastAsia="Arial" w:hAnsi="Arial"/>
          <w:sz w:val="22"/>
          <w:szCs w:val="22"/>
          <w:color w:val="auto"/>
        </w:rPr>
        <w:t>. This Option may not be exercised until such time as the Plan has been approved by the stockholders of the Company, or if the issuance of such Shares upon such exercise or the method of payment of consideration for such shares would constitute a violation of any Applicable Law.</w:t>
      </w:r>
    </w:p>
    <w:p>
      <w:pPr>
        <w:spacing w:after="0" w:line="131" w:lineRule="exact"/>
        <w:rPr>
          <w:rFonts w:ascii="Arial" w:cs="Arial" w:eastAsia="Arial" w:hAnsi="Arial"/>
          <w:sz w:val="22"/>
          <w:szCs w:val="22"/>
          <w:color w:val="auto"/>
        </w:rPr>
      </w:pPr>
    </w:p>
    <w:p>
      <w:pPr>
        <w:ind w:left="1040" w:hanging="384"/>
        <w:spacing w:after="0"/>
        <w:tabs>
          <w:tab w:leader="none" w:pos="1040" w:val="left"/>
        </w:tabs>
        <w:numPr>
          <w:ilvl w:val="0"/>
          <w:numId w:val="262"/>
        </w:numPr>
        <w:rPr>
          <w:rFonts w:ascii="Arial" w:cs="Arial" w:eastAsia="Arial" w:hAnsi="Arial"/>
          <w:sz w:val="22"/>
          <w:szCs w:val="22"/>
          <w:color w:val="auto"/>
        </w:rPr>
      </w:pPr>
      <w:r>
        <w:rPr>
          <w:rFonts w:ascii="Arial" w:cs="Arial" w:eastAsia="Arial" w:hAnsi="Arial"/>
          <w:sz w:val="22"/>
          <w:szCs w:val="22"/>
          <w:u w:val="single" w:color="auto"/>
          <w:color w:val="auto"/>
        </w:rPr>
        <w:t>Non-Transferability of Option</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jc w:val="both"/>
        <w:ind w:firstLine="1304"/>
        <w:spacing w:after="0" w:line="271" w:lineRule="auto"/>
        <w:tabs>
          <w:tab w:leader="none" w:pos="1875" w:val="left"/>
        </w:tabs>
        <w:numPr>
          <w:ilvl w:val="1"/>
          <w:numId w:val="262"/>
        </w:numPr>
        <w:rPr>
          <w:rFonts w:ascii="Arial" w:cs="Arial" w:eastAsia="Arial" w:hAnsi="Arial"/>
          <w:sz w:val="21"/>
          <w:szCs w:val="21"/>
          <w:color w:val="auto"/>
        </w:rPr>
      </w:pPr>
      <w:r>
        <w:rPr>
          <w:rFonts w:ascii="Arial" w:cs="Arial" w:eastAsia="Arial" w:hAnsi="Arial"/>
          <w:sz w:val="21"/>
          <w:szCs w:val="21"/>
          <w:color w:val="auto"/>
        </w:rPr>
        <w:t>This Option may not be transferred in any manner otherwise than by will or by the laws of descent or distribution and may be exercised during the lifetime of Participant only by Participant. The terms of the Plan and this Option Agreement shall be binding upon the executors, administrators, heirs, successors and assigns of Participant.</w:t>
      </w:r>
    </w:p>
    <w:p>
      <w:pPr>
        <w:spacing w:after="0" w:line="113" w:lineRule="exact"/>
        <w:rPr>
          <w:rFonts w:ascii="Arial" w:cs="Arial" w:eastAsia="Arial" w:hAnsi="Arial"/>
          <w:sz w:val="21"/>
          <w:szCs w:val="21"/>
          <w:color w:val="auto"/>
        </w:rPr>
      </w:pPr>
    </w:p>
    <w:p>
      <w:pPr>
        <w:jc w:val="both"/>
        <w:ind w:firstLine="1304"/>
        <w:spacing w:after="0" w:line="258" w:lineRule="auto"/>
        <w:tabs>
          <w:tab w:leader="none" w:pos="1877" w:val="left"/>
        </w:tabs>
        <w:numPr>
          <w:ilvl w:val="1"/>
          <w:numId w:val="262"/>
        </w:numPr>
        <w:rPr>
          <w:rFonts w:ascii="Arial" w:cs="Arial" w:eastAsia="Arial" w:hAnsi="Arial"/>
          <w:sz w:val="21"/>
          <w:szCs w:val="21"/>
          <w:color w:val="auto"/>
        </w:rPr>
      </w:pPr>
      <w:r>
        <w:rPr>
          <w:rFonts w:ascii="Arial" w:cs="Arial" w:eastAsia="Arial" w:hAnsi="Arial"/>
          <w:sz w:val="21"/>
          <w:szCs w:val="21"/>
          <w:color w:val="auto"/>
        </w:rPr>
        <w:t>Further, until the Company becomes subject to the reporting requirements of Section 13 or 15(d) of the Exchange Act, or after the Administrator determines that it is, will, or may no longer be relying upon the exemption from registration of Options under the Exchange Act as set forth in Rule 12h-1(f) promulgated under the Exchange Act (the “Reliance End Date”), Participant shall not transfer this Option or, prior to exercise, the Shares subject to this Option, in any manner other than (i) to persons who are “family members” (as defined in Rule 701(c)(3) of the Securities Act) through gifts or domestic relations orders, or (ii) to an executor or guardian of Participant upon the death or disability of Participant. Until the Reliance End Date, the Options and, prior to exercise, the Shares subject to this Option, may not be pledged, hypothecated or otherwise transferred or disposed of, including by entering into any short position, any “put equivalent position” or any “call equivalent position” (as defined in Rule 16a-1(h) and Rule 16a-1(b) of the Exchange Act, respectively), other than as permitted in clauses (i) and (ii) of this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332" w:name="page333"/>
    <w:bookmarkEnd w:id="332"/>
    <w:p>
      <w:pPr>
        <w:ind w:right="20" w:firstLine="656"/>
        <w:spacing w:after="0" w:line="287" w:lineRule="auto"/>
        <w:tabs>
          <w:tab w:leader="none" w:pos="1039" w:val="left"/>
        </w:tabs>
        <w:numPr>
          <w:ilvl w:val="1"/>
          <w:numId w:val="263"/>
        </w:numPr>
        <w:rPr>
          <w:rFonts w:ascii="Arial" w:cs="Arial" w:eastAsia="Arial" w:hAnsi="Arial"/>
          <w:sz w:val="21"/>
          <w:szCs w:val="21"/>
          <w:color w:val="auto"/>
        </w:rPr>
      </w:pPr>
      <w:r>
        <w:rPr>
          <w:rFonts w:ascii="Arial" w:cs="Arial" w:eastAsia="Arial" w:hAnsi="Arial"/>
          <w:sz w:val="21"/>
          <w:szCs w:val="21"/>
          <w:u w:val="single" w:color="auto"/>
          <w:color w:val="auto"/>
        </w:rPr>
        <w:t>Term of Option</w:t>
      </w:r>
      <w:r>
        <w:rPr>
          <w:rFonts w:ascii="Arial" w:cs="Arial" w:eastAsia="Arial" w:hAnsi="Arial"/>
          <w:sz w:val="21"/>
          <w:szCs w:val="21"/>
          <w:color w:val="auto"/>
        </w:rPr>
        <w:t>. This Option may be exercised only within the term set out in the Notice of Stock Option Grant, and may be exercised during such term only in accordance with the Plan and the terms of this Option Agreement.</w:t>
      </w:r>
    </w:p>
    <w:p>
      <w:pPr>
        <w:spacing w:after="0" w:line="97" w:lineRule="exact"/>
        <w:rPr>
          <w:rFonts w:ascii="Arial" w:cs="Arial" w:eastAsia="Arial" w:hAnsi="Arial"/>
          <w:sz w:val="21"/>
          <w:szCs w:val="21"/>
          <w:color w:val="auto"/>
        </w:rPr>
      </w:pPr>
    </w:p>
    <w:p>
      <w:pPr>
        <w:ind w:left="1040" w:hanging="384"/>
        <w:spacing w:after="0"/>
        <w:tabs>
          <w:tab w:leader="none" w:pos="1040" w:val="left"/>
        </w:tabs>
        <w:numPr>
          <w:ilvl w:val="1"/>
          <w:numId w:val="263"/>
        </w:numPr>
        <w:rPr>
          <w:rFonts w:ascii="Arial" w:cs="Arial" w:eastAsia="Arial" w:hAnsi="Arial"/>
          <w:sz w:val="22"/>
          <w:szCs w:val="22"/>
          <w:color w:val="auto"/>
        </w:rPr>
      </w:pPr>
      <w:r>
        <w:rPr>
          <w:rFonts w:ascii="Arial" w:cs="Arial" w:eastAsia="Arial" w:hAnsi="Arial"/>
          <w:sz w:val="22"/>
          <w:szCs w:val="22"/>
          <w:u w:val="single" w:color="auto"/>
          <w:color w:val="auto"/>
        </w:rPr>
        <w:t>Tax Obligations</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jc w:val="both"/>
        <w:ind w:firstLine="1304"/>
        <w:spacing w:after="0" w:line="302" w:lineRule="auto"/>
        <w:tabs>
          <w:tab w:leader="none" w:pos="1806" w:val="left"/>
        </w:tabs>
        <w:numPr>
          <w:ilvl w:val="2"/>
          <w:numId w:val="263"/>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Participant agrees to make appropriate arrangements with the Company (or the Parent or Subsidiary employing or retaining Participant) for the satisfaction of all Federal, state, local and foreign income and employment tax withholding requirements applicable to the Option exercise. Participant acknowledges and agrees that the Company may refuse to honor the exercise and refuse to deliver the Shares if such withholding amounts are not delivered at the time of exercise.</w:t>
      </w:r>
    </w:p>
    <w:p>
      <w:pPr>
        <w:spacing w:after="0" w:line="88" w:lineRule="exact"/>
        <w:rPr>
          <w:rFonts w:ascii="Arial" w:cs="Arial" w:eastAsia="Arial" w:hAnsi="Arial"/>
          <w:sz w:val="19"/>
          <w:szCs w:val="19"/>
          <w:color w:val="auto"/>
        </w:rPr>
      </w:pPr>
    </w:p>
    <w:p>
      <w:pPr>
        <w:jc w:val="both"/>
        <w:ind w:firstLine="1304"/>
        <w:spacing w:after="0" w:line="291" w:lineRule="auto"/>
        <w:tabs>
          <w:tab w:leader="none" w:pos="1764" w:val="left"/>
        </w:tabs>
        <w:numPr>
          <w:ilvl w:val="2"/>
          <w:numId w:val="263"/>
        </w:numPr>
        <w:rPr>
          <w:rFonts w:ascii="Arial" w:cs="Arial" w:eastAsia="Arial" w:hAnsi="Arial"/>
          <w:sz w:val="19"/>
          <w:szCs w:val="19"/>
          <w:color w:val="auto"/>
        </w:rPr>
      </w:pPr>
      <w:r>
        <w:rPr>
          <w:rFonts w:ascii="Arial" w:cs="Arial" w:eastAsia="Arial" w:hAnsi="Arial"/>
          <w:sz w:val="19"/>
          <w:szCs w:val="19"/>
          <w:u w:val="single" w:color="auto"/>
          <w:color w:val="auto"/>
        </w:rPr>
        <w:t>Notice of Disqualifying Disposition of ISO Shares</w:t>
      </w:r>
      <w:r>
        <w:rPr>
          <w:rFonts w:ascii="Arial" w:cs="Arial" w:eastAsia="Arial" w:hAnsi="Arial"/>
          <w:sz w:val="19"/>
          <w:szCs w:val="19"/>
          <w:color w:val="auto"/>
        </w:rPr>
        <w:t>. With respect to the portion of the Option that is an ISO, if Participant sells or otherwise disposes of any of the Shares acquired pursuant to the ISO on or before the later of (i) the date two</w:t>
      </w:r>
    </w:p>
    <w:p>
      <w:pPr>
        <w:spacing w:after="0" w:line="1" w:lineRule="exact"/>
        <w:rPr>
          <w:rFonts w:ascii="Arial" w:cs="Arial" w:eastAsia="Arial" w:hAnsi="Arial"/>
          <w:sz w:val="19"/>
          <w:szCs w:val="19"/>
          <w:color w:val="auto"/>
        </w:rPr>
      </w:pPr>
    </w:p>
    <w:p>
      <w:pPr>
        <w:jc w:val="both"/>
        <w:ind w:right="20" w:firstLine="8"/>
        <w:spacing w:after="0" w:line="245" w:lineRule="auto"/>
        <w:tabs>
          <w:tab w:leader="none" w:pos="319" w:val="left"/>
        </w:tabs>
        <w:numPr>
          <w:ilvl w:val="0"/>
          <w:numId w:val="264"/>
        </w:numPr>
        <w:rPr>
          <w:rFonts w:ascii="Arial" w:cs="Arial" w:eastAsia="Arial" w:hAnsi="Arial"/>
          <w:sz w:val="22"/>
          <w:szCs w:val="22"/>
          <w:color w:val="auto"/>
        </w:rPr>
      </w:pPr>
      <w:r>
        <w:rPr>
          <w:rFonts w:ascii="Arial" w:cs="Arial" w:eastAsia="Arial" w:hAnsi="Arial"/>
          <w:sz w:val="22"/>
          <w:szCs w:val="22"/>
          <w:color w:val="auto"/>
        </w:rPr>
        <w:t>years after the Date of Grant, or (ii) the date one (1) year after the date of exercise, Participant shall immediately notify the Company in writing of such disposition. Participant agrees that Participant may be subject to income tax withholding by the Company on the compensation income recognized by Participant.</w:t>
      </w:r>
    </w:p>
    <w:p>
      <w:pPr>
        <w:spacing w:after="0" w:line="138" w:lineRule="exact"/>
        <w:rPr>
          <w:rFonts w:ascii="Arial" w:cs="Arial" w:eastAsia="Arial" w:hAnsi="Arial"/>
          <w:sz w:val="22"/>
          <w:szCs w:val="22"/>
          <w:color w:val="auto"/>
        </w:rPr>
      </w:pPr>
    </w:p>
    <w:p>
      <w:pPr>
        <w:jc w:val="both"/>
        <w:ind w:firstLine="1304"/>
        <w:spacing w:after="0" w:line="258" w:lineRule="auto"/>
        <w:tabs>
          <w:tab w:leader="none" w:pos="1765" w:val="left"/>
        </w:tabs>
        <w:numPr>
          <w:ilvl w:val="2"/>
          <w:numId w:val="264"/>
        </w:numPr>
        <w:rPr>
          <w:rFonts w:ascii="Arial" w:cs="Arial" w:eastAsia="Arial" w:hAnsi="Arial"/>
          <w:sz w:val="21"/>
          <w:szCs w:val="21"/>
          <w:color w:val="auto"/>
        </w:rPr>
      </w:pPr>
      <w:r>
        <w:rPr>
          <w:rFonts w:ascii="Arial" w:cs="Arial" w:eastAsia="Arial" w:hAnsi="Arial"/>
          <w:sz w:val="21"/>
          <w:szCs w:val="21"/>
          <w:u w:val="single" w:color="auto"/>
          <w:color w:val="auto"/>
        </w:rPr>
        <w:t>Code Section 409A</w:t>
      </w:r>
      <w:r>
        <w:rPr>
          <w:rFonts w:ascii="Arial" w:cs="Arial" w:eastAsia="Arial" w:hAnsi="Arial"/>
          <w:sz w:val="21"/>
          <w:szCs w:val="21"/>
          <w:color w:val="auto"/>
        </w:rPr>
        <w:t>. Under Code Section 409A, an Option that vests after December 31, 2004 (or that vested on or prior to such date but which was materially modified after October 3, 2004) that was granted with a per Share exercise price that is determined by the Internal Revenue Service (the “IRS”) to be less than the Fair Market Value of a Share on the date of grant (a “discount option”) may be considered “deferred compensation.” An Option that is a “discount option” may result in (i) income recognition by Participant prior to the exercise of the Option, (ii) an additional twenty percent (20%) federal income tax, and (iii) potential penalty and interest charges. The “discount option” may also result in additional state income, penalty and interest tax to the Participant.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shall be solely responsible for Participant’s costs related to such a determination.</w:t>
      </w:r>
    </w:p>
    <w:p>
      <w:pPr>
        <w:spacing w:after="0" w:line="127" w:lineRule="exact"/>
        <w:rPr>
          <w:rFonts w:ascii="Arial" w:cs="Arial" w:eastAsia="Arial" w:hAnsi="Arial"/>
          <w:sz w:val="21"/>
          <w:szCs w:val="21"/>
          <w:color w:val="auto"/>
        </w:rPr>
      </w:pPr>
    </w:p>
    <w:p>
      <w:pPr>
        <w:jc w:val="both"/>
        <w:ind w:firstLine="656"/>
        <w:spacing w:after="0" w:line="297" w:lineRule="auto"/>
        <w:tabs>
          <w:tab w:leader="none" w:pos="1309" w:val="left"/>
        </w:tabs>
        <w:numPr>
          <w:ilvl w:val="1"/>
          <w:numId w:val="264"/>
        </w:numPr>
        <w:rPr>
          <w:rFonts w:ascii="Arial" w:cs="Arial" w:eastAsia="Arial" w:hAnsi="Arial"/>
          <w:sz w:val="19"/>
          <w:szCs w:val="19"/>
          <w:color w:val="auto"/>
        </w:rPr>
      </w:pPr>
      <w:r>
        <w:rPr>
          <w:rFonts w:ascii="Arial" w:cs="Arial" w:eastAsia="Arial" w:hAnsi="Arial"/>
          <w:sz w:val="19"/>
          <w:szCs w:val="19"/>
          <w:u w:val="single" w:color="auto"/>
          <w:color w:val="auto"/>
        </w:rPr>
        <w:t>Entire Agreement; Governing Law</w:t>
      </w:r>
      <w:r>
        <w:rPr>
          <w:rFonts w:ascii="Arial" w:cs="Arial" w:eastAsia="Arial" w:hAnsi="Arial"/>
          <w:sz w:val="19"/>
          <w:szCs w:val="19"/>
          <w:color w:val="auto"/>
        </w:rPr>
        <w:t>. The Plan is incorporated herein by reference. The Plan and this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 This Option Agreement is governed by the internal substantive laws but not the choice of law rules of California.</w:t>
      </w:r>
    </w:p>
    <w:p>
      <w:pPr>
        <w:spacing w:after="0" w:line="92" w:lineRule="exact"/>
        <w:rPr>
          <w:rFonts w:ascii="Arial" w:cs="Arial" w:eastAsia="Arial" w:hAnsi="Arial"/>
          <w:sz w:val="19"/>
          <w:szCs w:val="19"/>
          <w:color w:val="auto"/>
        </w:rPr>
      </w:pPr>
    </w:p>
    <w:p>
      <w:pPr>
        <w:jc w:val="both"/>
        <w:ind w:firstLine="656"/>
        <w:spacing w:after="0" w:line="271" w:lineRule="auto"/>
        <w:tabs>
          <w:tab w:leader="none" w:pos="1180" w:val="left"/>
        </w:tabs>
        <w:numPr>
          <w:ilvl w:val="1"/>
          <w:numId w:val="264"/>
        </w:numPr>
        <w:rPr>
          <w:rFonts w:ascii="Arial" w:cs="Arial" w:eastAsia="Arial" w:hAnsi="Arial"/>
          <w:sz w:val="21"/>
          <w:szCs w:val="21"/>
          <w:color w:val="auto"/>
        </w:rPr>
      </w:pPr>
      <w:r>
        <w:rPr>
          <w:rFonts w:ascii="Arial" w:cs="Arial" w:eastAsia="Arial" w:hAnsi="Arial"/>
          <w:sz w:val="21"/>
          <w:szCs w:val="21"/>
          <w:u w:val="single" w:color="auto"/>
          <w:color w:val="auto"/>
        </w:rPr>
        <w:t>No Guarantee of Continued Service</w:t>
      </w:r>
      <w:r>
        <w:rPr>
          <w:rFonts w:ascii="Arial" w:cs="Arial" w:eastAsia="Arial" w:hAnsi="Arial"/>
          <w:sz w:val="21"/>
          <w:szCs w:val="21"/>
          <w:color w:val="auto"/>
        </w:rPr>
        <w:t>. PARTICIPANT ACKNOWLEDGES AND AGREES THAT THE VESTING OF SHARES PURSUANT TO THE VESTING SCHEDULE HEREOF IS EARNED ONLY BY CONTINUING AS A SERVICE PROVIDER AT THE WILL OF THE COMPANY (OR THE PARENT OR SUBSIDIARY EMPLOYING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333" w:name="page334"/>
    <w:bookmarkEnd w:id="333"/>
    <w:p>
      <w:pPr>
        <w:jc w:val="both"/>
        <w:spacing w:after="0" w:line="246" w:lineRule="auto"/>
        <w:rPr>
          <w:sz w:val="20"/>
          <w:szCs w:val="20"/>
          <w:color w:val="auto"/>
        </w:rPr>
      </w:pPr>
      <w:r>
        <w:rPr>
          <w:rFonts w:ascii="Arial" w:cs="Arial" w:eastAsia="Arial" w:hAnsi="Arial"/>
          <w:sz w:val="22"/>
          <w:szCs w:val="22"/>
          <w:color w:val="auto"/>
        </w:rPr>
        <w:t>RETAINING PARTICIPANT) AND NOT THROUGH THE ACT OF BEING HIRED, BEING GRANTED THIS OPTION OR ACQUIRING SHARES HEREUNDER. PARTICIPANT FURTHER ACKNOWLEDGES AND AGREES THAT THIS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THE COMPANY (OR THE PARENT OR SUBSIDIARY EMPLOYING OR RETAINING PARTICIPANT) TO TERMINATE PARTICIPANT’S RELATIONSHIP AS A SERVICE PROVIDER AT ANY TIME, WITH OR WITHOUT CAUSE.</w:t>
      </w:r>
    </w:p>
    <w:p>
      <w:pPr>
        <w:spacing w:after="0" w:line="14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Participant acknowledges receipt of a copy of the Plan and represents that he or she is familiar with the terms and provisions thereof, and hereby accepts this Option subject to all of the terms and provisions thereof. Participant has reviewed the Plan and this Option in their entirety, has had an opportunity to obtain the advice of counsel prior to executing this Option and fully understands all provisions of the Option. Participant hereby agrees to accept as binding, conclusive and final all decisions or interpretations of the Administrator upon any questions arising under the Plan or this Option. Participant further agrees to notify the Company upon any change in the residence address indicated below.</w:t>
      </w:r>
    </w:p>
    <w:p>
      <w:pPr>
        <w:spacing w:after="0" w:line="173" w:lineRule="exact"/>
        <w:rPr>
          <w:sz w:val="20"/>
          <w:szCs w:val="20"/>
          <w:color w:val="auto"/>
        </w:rPr>
      </w:pPr>
    </w:p>
    <w:p>
      <w:pPr>
        <w:ind w:left="20"/>
        <w:spacing w:after="0"/>
        <w:tabs>
          <w:tab w:leader="none" w:pos="5520" w:val="left"/>
        </w:tabs>
        <w:rPr>
          <w:sz w:val="20"/>
          <w:szCs w:val="20"/>
          <w:color w:val="auto"/>
        </w:rPr>
      </w:pPr>
      <w:r>
        <w:rPr>
          <w:rFonts w:ascii="Arial" w:cs="Arial" w:eastAsia="Arial" w:hAnsi="Arial"/>
          <w:sz w:val="22"/>
          <w:szCs w:val="22"/>
          <w:b w:val="1"/>
          <w:bCs w:val="1"/>
          <w:color w:val="auto"/>
        </w:rPr>
        <w:t>PARTICIPANT</w:t>
      </w:r>
      <w:r>
        <w:rPr>
          <w:sz w:val="20"/>
          <w:szCs w:val="20"/>
          <w:color w:val="auto"/>
        </w:rPr>
        <w:tab/>
      </w:r>
      <w:r>
        <w:rPr>
          <w:rFonts w:ascii="Arial" w:cs="Arial" w:eastAsia="Arial" w:hAnsi="Arial"/>
          <w:sz w:val="22"/>
          <w:szCs w:val="22"/>
          <w:b w:val="1"/>
          <w:bCs w:val="1"/>
          <w:color w:val="auto"/>
        </w:rPr>
        <w:t>NERDWALLET, INC.</w:t>
      </w: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[[SIGNATURE]]</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[[FIRSTNAME]] [[LASTNAME]]</w:t>
      </w:r>
    </w:p>
    <w:p>
      <w:pPr>
        <w:spacing w:after="0" w:line="64"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1" w:lineRule="exact"/>
        <w:rPr>
          <w:sz w:val="20"/>
          <w:szCs w:val="20"/>
          <w:color w:val="auto"/>
        </w:rPr>
      </w:pPr>
    </w:p>
    <w:p>
      <w:pPr>
        <w:ind w:left="20"/>
        <w:spacing w:after="0"/>
        <w:tabs>
          <w:tab w:leader="none" w:pos="5520" w:val="left"/>
        </w:tabs>
        <w:rPr>
          <w:sz w:val="20"/>
          <w:szCs w:val="20"/>
          <w:color w:val="auto"/>
        </w:rPr>
      </w:pPr>
      <w:r>
        <w:rPr>
          <w:rFonts w:ascii="Arial" w:cs="Arial" w:eastAsia="Arial" w:hAnsi="Arial"/>
          <w:sz w:val="22"/>
          <w:szCs w:val="22"/>
          <w:color w:val="auto"/>
        </w:rPr>
        <w:t>Name of Grantee</w:t>
      </w:r>
      <w:r>
        <w:rPr>
          <w:sz w:val="20"/>
          <w:szCs w:val="20"/>
          <w:color w:val="auto"/>
        </w:rPr>
        <w:tab/>
      </w:r>
      <w:r>
        <w:rPr>
          <w:rFonts w:ascii="Arial" w:cs="Arial" w:eastAsia="Arial" w:hAnsi="Arial"/>
          <w:sz w:val="19"/>
          <w:szCs w:val="19"/>
          <w:color w:val="auto"/>
        </w:rPr>
        <w:t>Tim Chen, President &amp; Chief Executive Officer</w:t>
      </w:r>
    </w:p>
    <w:p>
      <w:pPr>
        <w:spacing w:after="0" w:line="314" w:lineRule="exact"/>
        <w:rPr>
          <w:sz w:val="20"/>
          <w:szCs w:val="20"/>
          <w:color w:val="auto"/>
        </w:rPr>
      </w:pPr>
    </w:p>
    <w:p>
      <w:pPr>
        <w:ind w:left="20"/>
        <w:spacing w:after="0"/>
        <w:rPr>
          <w:sz w:val="20"/>
          <w:szCs w:val="20"/>
          <w:color w:val="auto"/>
        </w:rPr>
      </w:pPr>
      <w:r>
        <w:rPr>
          <w:rFonts w:ascii="Arial" w:cs="Arial" w:eastAsia="Arial" w:hAnsi="Arial"/>
          <w:sz w:val="22"/>
          <w:szCs w:val="22"/>
          <w:u w:val="single" w:color="auto"/>
          <w:color w:val="auto"/>
        </w:rPr>
        <w:t>[[SIGNATURE_DATE]]</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w:t>
      </w:r>
    </w:p>
    <w:p>
      <w:pPr>
        <w:spacing w:after="0" w:line="314" w:lineRule="exact"/>
        <w:rPr>
          <w:sz w:val="20"/>
          <w:szCs w:val="20"/>
          <w:color w:val="auto"/>
        </w:rPr>
      </w:pPr>
    </w:p>
    <w:p>
      <w:pPr>
        <w:ind w:left="20"/>
        <w:spacing w:after="0"/>
        <w:rPr>
          <w:sz w:val="20"/>
          <w:szCs w:val="20"/>
          <w:color w:val="auto"/>
        </w:rPr>
      </w:pPr>
      <w:r>
        <w:rPr>
          <w:rFonts w:ascii="Arial" w:cs="Arial" w:eastAsia="Arial" w:hAnsi="Arial"/>
          <w:sz w:val="22"/>
          <w:szCs w:val="22"/>
          <w:color w:val="auto"/>
        </w:rPr>
        <w:t>Residence Address: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[[RESADDR1]] [[RESADDR2]]</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[[RESCITY]], [[RESSTATEORPROV]]</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[[RESPOSTALCODE]]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334" w:name="page335"/>
    <w:bookmarkEnd w:id="334"/>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2012 EQUITY INCENTIVE PLAN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EXERCISE NOTICE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NerdWallet,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875 Stevenson Street, 5th Floor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San Francisco, CA 94103</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Attention: Secretary</w:t>
      </w:r>
    </w:p>
    <w:p>
      <w:pPr>
        <w:spacing w:after="0" w:line="166" w:lineRule="exact"/>
        <w:rPr>
          <w:sz w:val="20"/>
          <w:szCs w:val="20"/>
          <w:color w:val="auto"/>
        </w:rPr>
      </w:pPr>
    </w:p>
    <w:p>
      <w:pPr>
        <w:jc w:val="both"/>
        <w:ind w:firstLine="656"/>
        <w:spacing w:after="0" w:line="294" w:lineRule="auto"/>
        <w:tabs>
          <w:tab w:leader="none" w:pos="1039" w:val="left"/>
        </w:tabs>
        <w:numPr>
          <w:ilvl w:val="0"/>
          <w:numId w:val="265"/>
        </w:numPr>
        <w:rPr>
          <w:rFonts w:ascii="Arial" w:cs="Arial" w:eastAsia="Arial" w:hAnsi="Arial"/>
          <w:sz w:val="19"/>
          <w:szCs w:val="19"/>
          <w:color w:val="auto"/>
        </w:rPr>
      </w:pPr>
      <w:r>
        <w:rPr>
          <w:rFonts w:ascii="Arial" w:cs="Arial" w:eastAsia="Arial" w:hAnsi="Arial"/>
          <w:sz w:val="19"/>
          <w:szCs w:val="19"/>
          <w:u w:val="single" w:color="auto"/>
          <w:color w:val="auto"/>
        </w:rPr>
        <w:t>Exercise of Option</w:t>
      </w:r>
      <w:r>
        <w:rPr>
          <w:rFonts w:ascii="Arial" w:cs="Arial" w:eastAsia="Arial" w:hAnsi="Arial"/>
          <w:sz w:val="19"/>
          <w:szCs w:val="19"/>
          <w:color w:val="auto"/>
        </w:rPr>
        <w:t xml:space="preserve">. Effective as of today, ________________, ____, the undersigned (“Participant”) hereby elects to exercise Participant’s option (the “Option”) to purchase ________________ Vested Shares of the Common Stock of NerdWallet, Inc. (the “Company”) and/or ________ Unvested Shares under and pursuant to the 2012 Equity Incentive Plan (the “Plan”) and the Stock Option Agreement dated </w:t>
      </w:r>
      <w:r>
        <w:rPr>
          <w:rFonts w:ascii="Arial" w:cs="Arial" w:eastAsia="Arial" w:hAnsi="Arial"/>
          <w:sz w:val="19"/>
          <w:szCs w:val="19"/>
          <w:u w:val="single" w:color="auto"/>
          <w:color w:val="auto"/>
        </w:rPr>
        <w:t>[[GRANTDATE]]</w:t>
      </w:r>
      <w:r>
        <w:rPr>
          <w:rFonts w:ascii="Arial" w:cs="Arial" w:eastAsia="Arial" w:hAnsi="Arial"/>
          <w:sz w:val="19"/>
          <w:szCs w:val="19"/>
          <w:color w:val="auto"/>
        </w:rPr>
        <w:t xml:space="preserve"> (the “Option Agreement”). In connection with the exercise of Unvested Shares under this Exercise Notice, Participant herewith also delivers to the Company the Stock Purchase Agreement. The Vested Shares and the Unvested Shares subject to the Option Agreement are collectively referred to herein as the “Shares.”</w:t>
      </w:r>
    </w:p>
    <w:p>
      <w:pPr>
        <w:spacing w:after="0" w:line="95" w:lineRule="exact"/>
        <w:rPr>
          <w:rFonts w:ascii="Arial" w:cs="Arial" w:eastAsia="Arial" w:hAnsi="Arial"/>
          <w:sz w:val="19"/>
          <w:szCs w:val="19"/>
          <w:color w:val="auto"/>
        </w:rPr>
      </w:pPr>
    </w:p>
    <w:p>
      <w:pPr>
        <w:ind w:firstLine="656"/>
        <w:spacing w:after="0" w:line="287" w:lineRule="auto"/>
        <w:tabs>
          <w:tab w:leader="none" w:pos="1053" w:val="left"/>
        </w:tabs>
        <w:numPr>
          <w:ilvl w:val="0"/>
          <w:numId w:val="265"/>
        </w:numPr>
        <w:rPr>
          <w:rFonts w:ascii="Arial" w:cs="Arial" w:eastAsia="Arial" w:hAnsi="Arial"/>
          <w:sz w:val="21"/>
          <w:szCs w:val="21"/>
          <w:color w:val="auto"/>
        </w:rPr>
      </w:pPr>
      <w:r>
        <w:rPr>
          <w:rFonts w:ascii="Arial" w:cs="Arial" w:eastAsia="Arial" w:hAnsi="Arial"/>
          <w:sz w:val="21"/>
          <w:szCs w:val="21"/>
          <w:u w:val="single" w:color="auto"/>
          <w:color w:val="auto"/>
        </w:rPr>
        <w:t>Delivery of Payment</w:t>
      </w:r>
      <w:r>
        <w:rPr>
          <w:rFonts w:ascii="Arial" w:cs="Arial" w:eastAsia="Arial" w:hAnsi="Arial"/>
          <w:sz w:val="21"/>
          <w:szCs w:val="21"/>
          <w:color w:val="auto"/>
        </w:rPr>
        <w:t>. Participant herewith delivers to the Company the full purchase price of the Shares, as set forth in the Option Agreement, and any and all withholding taxes due in connection with the exercise of the Option.</w:t>
      </w:r>
    </w:p>
    <w:p>
      <w:pPr>
        <w:spacing w:after="0" w:line="97" w:lineRule="exact"/>
        <w:rPr>
          <w:rFonts w:ascii="Arial" w:cs="Arial" w:eastAsia="Arial" w:hAnsi="Arial"/>
          <w:sz w:val="21"/>
          <w:szCs w:val="21"/>
          <w:color w:val="auto"/>
        </w:rPr>
      </w:pPr>
    </w:p>
    <w:p>
      <w:pPr>
        <w:ind w:firstLine="656"/>
        <w:spacing w:after="0" w:line="287" w:lineRule="auto"/>
        <w:tabs>
          <w:tab w:leader="none" w:pos="1053" w:val="left"/>
        </w:tabs>
        <w:numPr>
          <w:ilvl w:val="0"/>
          <w:numId w:val="265"/>
        </w:numPr>
        <w:rPr>
          <w:rFonts w:ascii="Arial" w:cs="Arial" w:eastAsia="Arial" w:hAnsi="Arial"/>
          <w:sz w:val="21"/>
          <w:szCs w:val="21"/>
          <w:color w:val="auto"/>
        </w:rPr>
      </w:pPr>
      <w:r>
        <w:rPr>
          <w:rFonts w:ascii="Arial" w:cs="Arial" w:eastAsia="Arial" w:hAnsi="Arial"/>
          <w:sz w:val="21"/>
          <w:szCs w:val="21"/>
          <w:u w:val="single" w:color="auto"/>
          <w:color w:val="auto"/>
        </w:rPr>
        <w:t>Representations of Participant</w:t>
      </w:r>
      <w:r>
        <w:rPr>
          <w:rFonts w:ascii="Arial" w:cs="Arial" w:eastAsia="Arial" w:hAnsi="Arial"/>
          <w:sz w:val="21"/>
          <w:szCs w:val="21"/>
          <w:color w:val="auto"/>
        </w:rPr>
        <w:t>. Participant acknowledges that Participant has received, read and understood the Plan and the Option Agreement and agrees to abide by and be bound by their terms and conditions.</w:t>
      </w:r>
    </w:p>
    <w:p>
      <w:pPr>
        <w:spacing w:after="0" w:line="97" w:lineRule="exact"/>
        <w:rPr>
          <w:rFonts w:ascii="Arial" w:cs="Arial" w:eastAsia="Arial" w:hAnsi="Arial"/>
          <w:sz w:val="21"/>
          <w:szCs w:val="21"/>
          <w:color w:val="auto"/>
        </w:rPr>
      </w:pPr>
    </w:p>
    <w:p>
      <w:pPr>
        <w:jc w:val="both"/>
        <w:ind w:firstLine="656"/>
        <w:spacing w:after="0" w:line="247" w:lineRule="auto"/>
        <w:tabs>
          <w:tab w:leader="none" w:pos="1093" w:val="left"/>
        </w:tabs>
        <w:numPr>
          <w:ilvl w:val="0"/>
          <w:numId w:val="265"/>
        </w:numPr>
        <w:rPr>
          <w:rFonts w:ascii="Arial" w:cs="Arial" w:eastAsia="Arial" w:hAnsi="Arial"/>
          <w:sz w:val="22"/>
          <w:szCs w:val="22"/>
          <w:color w:val="auto"/>
        </w:rPr>
      </w:pPr>
      <w:r>
        <w:rPr>
          <w:rFonts w:ascii="Arial" w:cs="Arial" w:eastAsia="Arial" w:hAnsi="Arial"/>
          <w:sz w:val="22"/>
          <w:szCs w:val="22"/>
          <w:u w:val="single" w:color="auto"/>
          <w:color w:val="auto"/>
        </w:rPr>
        <w:t>Rights as Stockholder</w:t>
      </w:r>
      <w:r>
        <w:rPr>
          <w:rFonts w:ascii="Arial" w:cs="Arial" w:eastAsia="Arial" w:hAnsi="Arial"/>
          <w:sz w:val="22"/>
          <w:szCs w:val="22"/>
          <w:color w:val="auto"/>
        </w:rPr>
        <w:t>. Until the issuance of the Shares (as evidenced by the appropriate entry on the books of the Company or of a duly authorized transfer agent of the Company), no right to vote or receive dividends or any other rights as a stockholder shall exist with respect to the Common Stock subject to an Award, notwithstanding the exercise of the Option. The Shares shall be issued to Participant as soon as practicable after the Option is exercised in accordance with the Option Agreement. No adjustment shall be made for a dividend or other right for which the record date is prior to the date of issuance except as provided in Section 13 of the Plan.</w:t>
      </w:r>
    </w:p>
    <w:p>
      <w:pPr>
        <w:spacing w:after="0" w:line="138" w:lineRule="exact"/>
        <w:rPr>
          <w:rFonts w:ascii="Arial" w:cs="Arial" w:eastAsia="Arial" w:hAnsi="Arial"/>
          <w:sz w:val="22"/>
          <w:szCs w:val="22"/>
          <w:color w:val="auto"/>
        </w:rPr>
      </w:pPr>
    </w:p>
    <w:p>
      <w:pPr>
        <w:jc w:val="both"/>
        <w:ind w:firstLine="656"/>
        <w:spacing w:after="0" w:line="250" w:lineRule="auto"/>
        <w:tabs>
          <w:tab w:leader="none" w:pos="1080" w:val="left"/>
        </w:tabs>
        <w:numPr>
          <w:ilvl w:val="0"/>
          <w:numId w:val="265"/>
        </w:numPr>
        <w:rPr>
          <w:rFonts w:ascii="Arial" w:cs="Arial" w:eastAsia="Arial" w:hAnsi="Arial"/>
          <w:sz w:val="22"/>
          <w:szCs w:val="22"/>
          <w:color w:val="auto"/>
        </w:rPr>
      </w:pPr>
      <w:r>
        <w:rPr>
          <w:rFonts w:ascii="Arial" w:cs="Arial" w:eastAsia="Arial" w:hAnsi="Arial"/>
          <w:sz w:val="22"/>
          <w:szCs w:val="22"/>
          <w:u w:val="single" w:color="auto"/>
          <w:color w:val="auto"/>
        </w:rPr>
        <w:t>Company’s Right of First Refusal</w:t>
      </w:r>
      <w:r>
        <w:rPr>
          <w:rFonts w:ascii="Arial" w:cs="Arial" w:eastAsia="Arial" w:hAnsi="Arial"/>
          <w:sz w:val="22"/>
          <w:szCs w:val="22"/>
          <w:color w:val="auto"/>
        </w:rPr>
        <w:t>. Before any Shares held by Participant or any transferee (either being sometimes referred to herein as the “Holder”) may be sold or otherwise transferred (including transfer by gift or operation of law), the Company or its assignee(s) shall have a right of first refusal to purchase the Shares on the terms and conditions set forth in this Section 5 (the “Right of First Refusal”).</w:t>
      </w:r>
    </w:p>
    <w:p>
      <w:pPr>
        <w:spacing w:after="0" w:line="133" w:lineRule="exact"/>
        <w:rPr>
          <w:rFonts w:ascii="Arial" w:cs="Arial" w:eastAsia="Arial" w:hAnsi="Arial"/>
          <w:sz w:val="22"/>
          <w:szCs w:val="22"/>
          <w:color w:val="auto"/>
        </w:rPr>
      </w:pPr>
    </w:p>
    <w:p>
      <w:pPr>
        <w:jc w:val="both"/>
        <w:ind w:firstLine="1304"/>
        <w:spacing w:after="0" w:line="253" w:lineRule="auto"/>
        <w:tabs>
          <w:tab w:leader="none" w:pos="1819" w:val="left"/>
        </w:tabs>
        <w:numPr>
          <w:ilvl w:val="1"/>
          <w:numId w:val="265"/>
        </w:numPr>
        <w:rPr>
          <w:rFonts w:ascii="Arial" w:cs="Arial" w:eastAsia="Arial" w:hAnsi="Arial"/>
          <w:sz w:val="22"/>
          <w:szCs w:val="22"/>
          <w:color w:val="auto"/>
        </w:rPr>
      </w:pPr>
      <w:r>
        <w:rPr>
          <w:rFonts w:ascii="Arial" w:cs="Arial" w:eastAsia="Arial" w:hAnsi="Arial"/>
          <w:sz w:val="22"/>
          <w:szCs w:val="22"/>
          <w:u w:val="single" w:color="auto"/>
          <w:color w:val="auto"/>
        </w:rPr>
        <w:t>Notice of Proposed Transfer</w:t>
      </w:r>
      <w:r>
        <w:rPr>
          <w:rFonts w:ascii="Arial" w:cs="Arial" w:eastAsia="Arial" w:hAnsi="Arial"/>
          <w:sz w:val="22"/>
          <w:szCs w:val="22"/>
          <w:color w:val="auto"/>
        </w:rPr>
        <w:t>. The Holder of the Shares shall deliver to the Company a written notice (the “Notice”) stating: (i) the Holder’s bona fide intention to sell or otherwise transfer such Shares; (ii) the name of each proposed purchaser or other transferee</w:t>
      </w:r>
    </w:p>
    <w:p>
      <w:pPr>
        <w:sectPr>
          <w:pgSz w:w="11900" w:h="16838" w:orient="portrait"/>
          <w:cols w:equalWidth="0" w:num="1">
            <w:col w:w="11240"/>
          </w:cols>
          <w:pgMar w:left="320" w:top="1422" w:right="339" w:bottom="1440" w:gutter="0" w:footer="0" w:header="0"/>
        </w:sectPr>
      </w:pPr>
    </w:p>
    <w:bookmarkStart w:id="335" w:name="page336"/>
    <w:bookmarkEnd w:id="335"/>
    <w:p>
      <w:pPr>
        <w:jc w:val="both"/>
        <w:spacing w:after="0" w:line="253" w:lineRule="auto"/>
        <w:rPr>
          <w:sz w:val="20"/>
          <w:szCs w:val="20"/>
          <w:color w:val="auto"/>
        </w:rPr>
      </w:pPr>
      <w:r>
        <w:rPr>
          <w:rFonts w:ascii="Arial" w:cs="Arial" w:eastAsia="Arial" w:hAnsi="Arial"/>
          <w:sz w:val="22"/>
          <w:szCs w:val="22"/>
          <w:color w:val="auto"/>
        </w:rPr>
        <w:t>(“Proposed Transferee”); (iii) the number of Shares to be transferred to each Proposed Transferee; and (iv) the bona fide cash price or other consideration for which the Holder proposes to transfer the Shares (the “Offered Price”), and the Holder shall offer the Shares at the Offered Price to the Company or its assignee(s).</w:t>
      </w:r>
    </w:p>
    <w:p>
      <w:pPr>
        <w:spacing w:after="0" w:line="131" w:lineRule="exact"/>
        <w:rPr>
          <w:sz w:val="20"/>
          <w:szCs w:val="20"/>
          <w:color w:val="auto"/>
        </w:rPr>
      </w:pPr>
    </w:p>
    <w:p>
      <w:pPr>
        <w:jc w:val="both"/>
        <w:ind w:firstLine="1304"/>
        <w:spacing w:after="0" w:line="250" w:lineRule="auto"/>
        <w:tabs>
          <w:tab w:leader="none" w:pos="1899" w:val="left"/>
        </w:tabs>
        <w:numPr>
          <w:ilvl w:val="0"/>
          <w:numId w:val="266"/>
        </w:numPr>
        <w:rPr>
          <w:rFonts w:ascii="Arial" w:cs="Arial" w:eastAsia="Arial" w:hAnsi="Arial"/>
          <w:sz w:val="22"/>
          <w:szCs w:val="22"/>
          <w:color w:val="auto"/>
        </w:rPr>
      </w:pPr>
      <w:r>
        <w:rPr>
          <w:rFonts w:ascii="Arial" w:cs="Arial" w:eastAsia="Arial" w:hAnsi="Arial"/>
          <w:sz w:val="22"/>
          <w:szCs w:val="22"/>
          <w:u w:val="single" w:color="auto"/>
          <w:color w:val="auto"/>
        </w:rPr>
        <w:t>Exercise of Right of First Refusal</w:t>
      </w:r>
      <w:r>
        <w:rPr>
          <w:rFonts w:ascii="Arial" w:cs="Arial" w:eastAsia="Arial" w:hAnsi="Arial"/>
          <w:sz w:val="22"/>
          <w:szCs w:val="22"/>
          <w:color w:val="auto"/>
        </w:rPr>
        <w:t>. At any time within thirty (30) days after receipt of the Notice, the Company and/or its assignee(s) may, by giving written notice to the Holder, elect to purchase all, but not less than all, of the Shares proposed to be transferred to any one or more of the Proposed Transferees, at the purchase price determined in accordance with subsection (c) below.</w:t>
      </w:r>
    </w:p>
    <w:p>
      <w:pPr>
        <w:spacing w:after="0" w:line="133" w:lineRule="exact"/>
        <w:rPr>
          <w:rFonts w:ascii="Arial" w:cs="Arial" w:eastAsia="Arial" w:hAnsi="Arial"/>
          <w:sz w:val="22"/>
          <w:szCs w:val="22"/>
          <w:color w:val="auto"/>
        </w:rPr>
      </w:pPr>
    </w:p>
    <w:p>
      <w:pPr>
        <w:jc w:val="both"/>
        <w:ind w:firstLine="1304"/>
        <w:spacing w:after="0" w:line="312" w:lineRule="auto"/>
        <w:tabs>
          <w:tab w:leader="none" w:pos="1873" w:val="left"/>
        </w:tabs>
        <w:numPr>
          <w:ilvl w:val="0"/>
          <w:numId w:val="266"/>
        </w:numPr>
        <w:rPr>
          <w:rFonts w:ascii="Arial" w:cs="Arial" w:eastAsia="Arial" w:hAnsi="Arial"/>
          <w:sz w:val="19"/>
          <w:szCs w:val="19"/>
          <w:color w:val="auto"/>
        </w:rPr>
      </w:pPr>
      <w:r>
        <w:rPr>
          <w:rFonts w:ascii="Arial" w:cs="Arial" w:eastAsia="Arial" w:hAnsi="Arial"/>
          <w:sz w:val="19"/>
          <w:szCs w:val="19"/>
          <w:u w:val="single" w:color="auto"/>
          <w:color w:val="auto"/>
        </w:rPr>
        <w:t>Purchase Price</w:t>
      </w:r>
      <w:r>
        <w:rPr>
          <w:rFonts w:ascii="Arial" w:cs="Arial" w:eastAsia="Arial" w:hAnsi="Arial"/>
          <w:sz w:val="19"/>
          <w:szCs w:val="19"/>
          <w:color w:val="auto"/>
        </w:rPr>
        <w:t>. The purchase price (“Purchase Price”) for the Shares purchased by the Company or its assignee(s) under this Section 5 shall be the Offered Price. If the Offered Price includes consideration other than cash, the cash equivalent value of the non-cash consideration shall be determined by the Board of Directors of the Company in good faith.</w:t>
      </w:r>
    </w:p>
    <w:p>
      <w:pPr>
        <w:spacing w:after="0" w:line="79" w:lineRule="exact"/>
        <w:rPr>
          <w:rFonts w:ascii="Arial" w:cs="Arial" w:eastAsia="Arial" w:hAnsi="Arial"/>
          <w:sz w:val="19"/>
          <w:szCs w:val="19"/>
          <w:color w:val="auto"/>
        </w:rPr>
      </w:pPr>
    </w:p>
    <w:p>
      <w:pPr>
        <w:jc w:val="both"/>
        <w:ind w:firstLine="1304"/>
        <w:spacing w:after="0" w:line="250" w:lineRule="auto"/>
        <w:tabs>
          <w:tab w:leader="none" w:pos="1818" w:val="left"/>
        </w:tabs>
        <w:numPr>
          <w:ilvl w:val="0"/>
          <w:numId w:val="266"/>
        </w:numPr>
        <w:rPr>
          <w:rFonts w:ascii="Arial" w:cs="Arial" w:eastAsia="Arial" w:hAnsi="Arial"/>
          <w:sz w:val="22"/>
          <w:szCs w:val="22"/>
          <w:color w:val="auto"/>
        </w:rPr>
      </w:pPr>
      <w:r>
        <w:rPr>
          <w:rFonts w:ascii="Arial" w:cs="Arial" w:eastAsia="Arial" w:hAnsi="Arial"/>
          <w:sz w:val="22"/>
          <w:szCs w:val="22"/>
          <w:u w:val="single" w:color="auto"/>
          <w:color w:val="auto"/>
        </w:rPr>
        <w:t>Payment</w:t>
      </w:r>
      <w:r>
        <w:rPr>
          <w:rFonts w:ascii="Arial" w:cs="Arial" w:eastAsia="Arial" w:hAnsi="Arial"/>
          <w:sz w:val="22"/>
          <w:szCs w:val="22"/>
          <w:color w:val="auto"/>
        </w:rPr>
        <w:t>. Payment of the Purchase Price shall be made, at the option of the Company or its assignee(s), in cash (by check), by cancellation of all or a portion of any outstanding indebtedness of the Holder to the Company (or, in the case of repurchase by an assignee, to the assignee), or by any combination thereof within thirty (30) days after receipt of the Notice or in the manner and at the times set forth in the Notice.</w:t>
      </w:r>
    </w:p>
    <w:p>
      <w:pPr>
        <w:spacing w:after="0" w:line="133" w:lineRule="exact"/>
        <w:rPr>
          <w:rFonts w:ascii="Arial" w:cs="Arial" w:eastAsia="Arial" w:hAnsi="Arial"/>
          <w:sz w:val="22"/>
          <w:szCs w:val="22"/>
          <w:color w:val="auto"/>
        </w:rPr>
      </w:pPr>
    </w:p>
    <w:p>
      <w:pPr>
        <w:jc w:val="both"/>
        <w:ind w:firstLine="1304"/>
        <w:spacing w:after="0" w:line="259" w:lineRule="auto"/>
        <w:tabs>
          <w:tab w:leader="none" w:pos="1792" w:val="left"/>
        </w:tabs>
        <w:numPr>
          <w:ilvl w:val="0"/>
          <w:numId w:val="266"/>
        </w:numPr>
        <w:rPr>
          <w:rFonts w:ascii="Arial" w:cs="Arial" w:eastAsia="Arial" w:hAnsi="Arial"/>
          <w:sz w:val="21"/>
          <w:szCs w:val="21"/>
          <w:color w:val="auto"/>
        </w:rPr>
      </w:pPr>
      <w:r>
        <w:rPr>
          <w:rFonts w:ascii="Arial" w:cs="Arial" w:eastAsia="Arial" w:hAnsi="Arial"/>
          <w:sz w:val="21"/>
          <w:szCs w:val="21"/>
          <w:u w:val="single" w:color="auto"/>
          <w:color w:val="auto"/>
        </w:rPr>
        <w:t>Holder’s Right to Transfer</w:t>
      </w:r>
      <w:r>
        <w:rPr>
          <w:rFonts w:ascii="Arial" w:cs="Arial" w:eastAsia="Arial" w:hAnsi="Arial"/>
          <w:sz w:val="21"/>
          <w:szCs w:val="21"/>
          <w:color w:val="auto"/>
        </w:rPr>
        <w:t>. If all of the Shares proposed in the Notice to be transferred to a given Proposed Transferee are not purchased by the Company and/or its assignee(s) as provided in this Section 5, then the Holder may sell or otherwise transfer such Shares to that Proposed Transferee at the Offered Price or at a higher price, provided that such sale or other transfer is consummated within one hundred and twenty (120) days after the date of the Notice, that any such sale or other transfer is effected in accordance with any applicable securities laws and that the Proposed Transferee agrees in writing that the provisions of this Section 5 shall continue to apply to the Shares in the hands of such Proposed Transferee. If the Shares described in the Notice are not transferred to the Proposed Transferee within such period, a new Notice shall be given to the Company, and the Company and/or its assignees shall again be offered the Right of First Refusal before any Shares held by the Holder may be sold or otherwise transferred.</w:t>
      </w:r>
    </w:p>
    <w:p>
      <w:pPr>
        <w:spacing w:after="0" w:line="125" w:lineRule="exact"/>
        <w:rPr>
          <w:rFonts w:ascii="Arial" w:cs="Arial" w:eastAsia="Arial" w:hAnsi="Arial"/>
          <w:sz w:val="21"/>
          <w:szCs w:val="21"/>
          <w:color w:val="auto"/>
        </w:rPr>
      </w:pPr>
    </w:p>
    <w:p>
      <w:pPr>
        <w:jc w:val="both"/>
        <w:ind w:firstLine="1304"/>
        <w:spacing w:after="0" w:line="294" w:lineRule="auto"/>
        <w:tabs>
          <w:tab w:leader="none" w:pos="1728" w:val="left"/>
        </w:tabs>
        <w:numPr>
          <w:ilvl w:val="0"/>
          <w:numId w:val="266"/>
        </w:numPr>
        <w:rPr>
          <w:rFonts w:ascii="Arial" w:cs="Arial" w:eastAsia="Arial" w:hAnsi="Arial"/>
          <w:sz w:val="19"/>
          <w:szCs w:val="19"/>
          <w:color w:val="auto"/>
        </w:rPr>
      </w:pPr>
      <w:r>
        <w:rPr>
          <w:rFonts w:ascii="Arial" w:cs="Arial" w:eastAsia="Arial" w:hAnsi="Arial"/>
          <w:sz w:val="19"/>
          <w:szCs w:val="19"/>
          <w:u w:val="single" w:color="auto"/>
          <w:color w:val="auto"/>
        </w:rPr>
        <w:t>Exception for Certain Family Transfers</w:t>
      </w:r>
      <w:r>
        <w:rPr>
          <w:rFonts w:ascii="Arial" w:cs="Arial" w:eastAsia="Arial" w:hAnsi="Arial"/>
          <w:sz w:val="19"/>
          <w:szCs w:val="19"/>
          <w:color w:val="auto"/>
        </w:rPr>
        <w:t>. Anything to the contrary contained in this Section 5 notwithstanding, the transfer of any or all of the Shares during the Participant’s lifetime or on the Participant’s death by will or intestacy to the Participant’s immediate family or a trust for the benefit of the Participant’s immediate family shall be exempt from the provisions of this Section 5. “Immediate Family” as used herein shall mean spouse, lineal descendant or antecedent, father, mother, brother or sister. In such case, the transferee or other recipient shall receive and hold the Shares so transferred subject to the provisions of this Section 5, and there shall be no further transfer of such Shares except in accordance with the terms of this Section 5.</w:t>
      </w:r>
    </w:p>
    <w:p>
      <w:pPr>
        <w:spacing w:after="0" w:line="95" w:lineRule="exact"/>
        <w:rPr>
          <w:rFonts w:ascii="Arial" w:cs="Arial" w:eastAsia="Arial" w:hAnsi="Arial"/>
          <w:sz w:val="19"/>
          <w:szCs w:val="19"/>
          <w:color w:val="auto"/>
        </w:rPr>
      </w:pPr>
    </w:p>
    <w:p>
      <w:pPr>
        <w:ind w:firstLine="1304"/>
        <w:spacing w:after="0" w:line="263" w:lineRule="auto"/>
        <w:tabs>
          <w:tab w:leader="none" w:pos="1804" w:val="left"/>
        </w:tabs>
        <w:numPr>
          <w:ilvl w:val="0"/>
          <w:numId w:val="266"/>
        </w:numPr>
        <w:rPr>
          <w:rFonts w:ascii="Arial" w:cs="Arial" w:eastAsia="Arial" w:hAnsi="Arial"/>
          <w:sz w:val="22"/>
          <w:szCs w:val="22"/>
          <w:color w:val="auto"/>
        </w:rPr>
      </w:pPr>
      <w:r>
        <w:rPr>
          <w:rFonts w:ascii="Arial" w:cs="Arial" w:eastAsia="Arial" w:hAnsi="Arial"/>
          <w:sz w:val="22"/>
          <w:szCs w:val="22"/>
          <w:u w:val="single" w:color="auto"/>
          <w:color w:val="auto"/>
        </w:rPr>
        <w:t>Termination of Right of First Refusal</w:t>
      </w:r>
      <w:r>
        <w:rPr>
          <w:rFonts w:ascii="Arial" w:cs="Arial" w:eastAsia="Arial" w:hAnsi="Arial"/>
          <w:sz w:val="22"/>
          <w:szCs w:val="22"/>
          <w:color w:val="auto"/>
        </w:rPr>
        <w:t>. The Right of First Refusal shall terminate as to any Shares upon the earlier of (i) the first sale of Common Stock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2</w:t>
      </w:r>
      <w:r>
        <w:rPr>
          <w:rFonts w:ascii="Arial" w:cs="Arial" w:eastAsia="Arial" w:hAnsi="Arial"/>
          <w:sz w:val="22"/>
          <w:szCs w:val="22"/>
          <w:b w:val="1"/>
          <w:bCs w:val="1"/>
          <w:color w:val="auto"/>
        </w:rPr>
        <w:t>-</w:t>
      </w:r>
    </w:p>
    <w:p>
      <w:pPr>
        <w:sectPr>
          <w:pgSz w:w="11900" w:h="16838" w:orient="portrait"/>
          <w:cols w:equalWidth="0" w:num="1">
            <w:col w:w="11240"/>
          </w:cols>
          <w:pgMar w:left="320" w:top="1428" w:right="339" w:bottom="1440" w:gutter="0" w:footer="0" w:header="0"/>
        </w:sectPr>
      </w:pPr>
    </w:p>
    <w:bookmarkStart w:id="336" w:name="page337"/>
    <w:bookmarkEnd w:id="336"/>
    <w:p>
      <w:pPr>
        <w:spacing w:after="0"/>
        <w:rPr>
          <w:sz w:val="20"/>
          <w:szCs w:val="20"/>
          <w:color w:val="auto"/>
        </w:rPr>
      </w:pPr>
      <w:r>
        <w:rPr>
          <w:rFonts w:ascii="Arial" w:cs="Arial" w:eastAsia="Arial" w:hAnsi="Arial"/>
          <w:sz w:val="19"/>
          <w:szCs w:val="19"/>
          <w:color w:val="auto"/>
        </w:rPr>
        <w:t>to the general public, or (ii) a Change in Control in which the successor corporation has equity securities that are publicly traded.</w:t>
      </w:r>
    </w:p>
    <w:p>
      <w:pPr>
        <w:spacing w:after="0" w:line="200" w:lineRule="exact"/>
        <w:rPr>
          <w:sz w:val="20"/>
          <w:szCs w:val="20"/>
          <w:color w:val="auto"/>
        </w:rPr>
      </w:pPr>
    </w:p>
    <w:p>
      <w:pPr>
        <w:jc w:val="both"/>
        <w:ind w:firstLine="656"/>
        <w:spacing w:after="0" w:line="250" w:lineRule="auto"/>
        <w:tabs>
          <w:tab w:leader="none" w:pos="1201" w:val="left"/>
        </w:tabs>
        <w:numPr>
          <w:ilvl w:val="0"/>
          <w:numId w:val="267"/>
        </w:numPr>
        <w:rPr>
          <w:rFonts w:ascii="Arial" w:cs="Arial" w:eastAsia="Arial" w:hAnsi="Arial"/>
          <w:sz w:val="22"/>
          <w:szCs w:val="22"/>
          <w:color w:val="auto"/>
        </w:rPr>
      </w:pPr>
      <w:r>
        <w:rPr>
          <w:rFonts w:ascii="Arial" w:cs="Arial" w:eastAsia="Arial" w:hAnsi="Arial"/>
          <w:sz w:val="22"/>
          <w:szCs w:val="22"/>
          <w:u w:val="single" w:color="auto"/>
          <w:color w:val="auto"/>
        </w:rPr>
        <w:t>Tax Consultation</w:t>
      </w:r>
      <w:r>
        <w:rPr>
          <w:rFonts w:ascii="Arial" w:cs="Arial" w:eastAsia="Arial" w:hAnsi="Arial"/>
          <w:sz w:val="22"/>
          <w:szCs w:val="22"/>
          <w:color w:val="auto"/>
        </w:rPr>
        <w:t>. Participant understands that Participant may suffer adverse tax consequences as a result of Participant’s purchase or disposition of the Shares. Participant represents that Participant has consulted with any tax consultants Participant deems advisable in connection with the purchase or disposition of the Shares and that Participant is not relying on the Company for any tax advice.</w:t>
      </w:r>
    </w:p>
    <w:p>
      <w:pPr>
        <w:spacing w:after="0" w:line="133" w:lineRule="exact"/>
        <w:rPr>
          <w:rFonts w:ascii="Arial" w:cs="Arial" w:eastAsia="Arial" w:hAnsi="Arial"/>
          <w:sz w:val="22"/>
          <w:szCs w:val="22"/>
          <w:color w:val="auto"/>
        </w:rPr>
      </w:pPr>
    </w:p>
    <w:p>
      <w:pPr>
        <w:ind w:left="1040" w:hanging="384"/>
        <w:spacing w:after="0"/>
        <w:tabs>
          <w:tab w:leader="none" w:pos="1040" w:val="left"/>
        </w:tabs>
        <w:numPr>
          <w:ilvl w:val="0"/>
          <w:numId w:val="267"/>
        </w:numPr>
        <w:rPr>
          <w:rFonts w:ascii="Arial" w:cs="Arial" w:eastAsia="Arial" w:hAnsi="Arial"/>
          <w:sz w:val="22"/>
          <w:szCs w:val="22"/>
          <w:color w:val="auto"/>
        </w:rPr>
      </w:pPr>
      <w:r>
        <w:rPr>
          <w:rFonts w:ascii="Arial" w:cs="Arial" w:eastAsia="Arial" w:hAnsi="Arial"/>
          <w:sz w:val="22"/>
          <w:szCs w:val="22"/>
          <w:u w:val="single" w:color="auto"/>
          <w:color w:val="auto"/>
        </w:rPr>
        <w:t>Restrictive Legends and Stop-Transfer Orders</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jc w:val="both"/>
        <w:ind w:firstLine="1304"/>
        <w:spacing w:after="0" w:line="271" w:lineRule="auto"/>
        <w:tabs>
          <w:tab w:leader="none" w:pos="1833" w:val="left"/>
        </w:tabs>
        <w:numPr>
          <w:ilvl w:val="1"/>
          <w:numId w:val="267"/>
        </w:numPr>
        <w:rPr>
          <w:rFonts w:ascii="Arial" w:cs="Arial" w:eastAsia="Arial" w:hAnsi="Arial"/>
          <w:sz w:val="21"/>
          <w:szCs w:val="21"/>
          <w:color w:val="auto"/>
        </w:rPr>
      </w:pPr>
      <w:r>
        <w:rPr>
          <w:rFonts w:ascii="Arial" w:cs="Arial" w:eastAsia="Arial" w:hAnsi="Arial"/>
          <w:sz w:val="21"/>
          <w:szCs w:val="21"/>
          <w:u w:val="single" w:color="auto"/>
          <w:color w:val="auto"/>
        </w:rPr>
        <w:t>Legends</w:t>
      </w:r>
      <w:r>
        <w:rPr>
          <w:rFonts w:ascii="Arial" w:cs="Arial" w:eastAsia="Arial" w:hAnsi="Arial"/>
          <w:sz w:val="21"/>
          <w:szCs w:val="21"/>
          <w:color w:val="auto"/>
        </w:rPr>
        <w:t>. Participant understands and agrees that the Company shall cause the legends set forth below or legends substantially equivalent thereto, to be placed upon any certificate(s) evidencing ownership of the Shares together with any other legends that may be required by the Company or by state or federal securities laws:</w:t>
      </w:r>
    </w:p>
    <w:p>
      <w:pPr>
        <w:spacing w:after="0" w:line="113" w:lineRule="exact"/>
        <w:rPr>
          <w:sz w:val="20"/>
          <w:szCs w:val="20"/>
          <w:color w:val="auto"/>
        </w:rPr>
      </w:pPr>
    </w:p>
    <w:p>
      <w:pPr>
        <w:jc w:val="both"/>
        <w:ind w:left="1300"/>
        <w:spacing w:after="0" w:line="297" w:lineRule="auto"/>
        <w:rPr>
          <w:sz w:val="20"/>
          <w:szCs w:val="20"/>
          <w:color w:val="auto"/>
        </w:rPr>
      </w:pPr>
      <w:r>
        <w:rPr>
          <w:rFonts w:ascii="Arial" w:cs="Arial" w:eastAsia="Arial" w:hAnsi="Arial"/>
          <w:sz w:val="19"/>
          <w:szCs w:val="19"/>
          <w:color w:val="auto"/>
        </w:rPr>
        <w:t>THE SECURITIES REPRESENTED HEREBY HAVE NOT BEEN REGISTERED UNDER THE SECURITIES ACT OF 1933 (THE “ACT”) AND MAY NOT BE OFFERED, SOLD OR OTHERWISE TRANSFERRED, PLEDGED OR HYPOTHECATED UNLESS AND UNTIL REGISTERED UNDER THE ACT OR, IN THE OPINION OF COUNSEL SATISFACTORY TO THE ISSUER OF THESE SECURITIES, SUCH OFFER, SALE OR TRANSFER, PLEDGE OR HYPOTHECATION IS IN COMPLIANCE THEREWITH.</w:t>
      </w:r>
    </w:p>
    <w:p>
      <w:pPr>
        <w:spacing w:after="0" w:line="93" w:lineRule="exact"/>
        <w:rPr>
          <w:sz w:val="20"/>
          <w:szCs w:val="20"/>
          <w:color w:val="auto"/>
        </w:rPr>
      </w:pPr>
    </w:p>
    <w:p>
      <w:pPr>
        <w:jc w:val="both"/>
        <w:ind w:left="1300"/>
        <w:spacing w:after="0" w:line="247" w:lineRule="auto"/>
        <w:rPr>
          <w:sz w:val="20"/>
          <w:szCs w:val="20"/>
          <w:color w:val="auto"/>
        </w:rPr>
      </w:pPr>
      <w:r>
        <w:rPr>
          <w:rFonts w:ascii="Arial" w:cs="Arial" w:eastAsia="Arial" w:hAnsi="Arial"/>
          <w:sz w:val="22"/>
          <w:szCs w:val="22"/>
          <w:color w:val="auto"/>
        </w:rPr>
        <w:t>THE SHARES REPRESENTED BY THIS CERTIFICATE ARE SUBJECT TO CERTAIN RESTRICTIONS ON TRANSFER AND A RIGHT OF FIRST REFUSAL HELD BY THE ISSUER OR ITS ASSIGNEE(S) AS SET FORTH IN THE EXERCISE NOTICE BETWEEN THE ISSUER AND THE ORIGINAL HOLDER OF THESE SHARES, A COPY OF WHICH MAY BE OBTAINED AT THE PRINCIPAL OFFICE OF THE ISSUER. SUCH TRANSFER RESTRICTIONS AND RIGHT OF FIRST REFUSAL ARE BINDING ON TRANSFEREES OF THESE SHARES.</w:t>
      </w:r>
    </w:p>
    <w:p>
      <w:pPr>
        <w:spacing w:after="0" w:line="139" w:lineRule="exact"/>
        <w:rPr>
          <w:sz w:val="20"/>
          <w:szCs w:val="20"/>
          <w:color w:val="auto"/>
        </w:rPr>
      </w:pPr>
    </w:p>
    <w:p>
      <w:pPr>
        <w:jc w:val="both"/>
        <w:ind w:left="1300"/>
        <w:spacing w:after="0" w:line="261" w:lineRule="auto"/>
        <w:rPr>
          <w:sz w:val="20"/>
          <w:szCs w:val="20"/>
          <w:color w:val="auto"/>
        </w:rPr>
      </w:pPr>
      <w:r>
        <w:rPr>
          <w:rFonts w:ascii="Arial" w:cs="Arial" w:eastAsia="Arial" w:hAnsi="Arial"/>
          <w:sz w:val="21"/>
          <w:szCs w:val="21"/>
          <w:color w:val="auto"/>
        </w:rPr>
        <w:t>THE SHARES REPRESENTED BY THIS CERTIFICATE ARE SUBJECT TO RESTRICTIONS ON TRANSFER FOR A PERIOD OF TIME FOLLOWING THE EFFECTIVE DATE OF THE UNDERWRITTEN PUBLIC OFFERING OF THE COMPANY’S SECURITIES SET FORTH IN AN AGREEMENT BETWEEN THE ISSUER AND THE ORIGINAL HOLDER OF THESE SHARES AND MAY NOT BE SOLD OR OTHERWISE DISPOSED OF BY THE HOLDER PRIOR TO THE EXPIRATION OF SUCH PERIOD WITHOUT THE CONSENT OF THE COMPANY OR THE MANAGING UNDERWRITER.</w:t>
      </w:r>
    </w:p>
    <w:p>
      <w:pPr>
        <w:spacing w:after="0" w:line="125" w:lineRule="exact"/>
        <w:rPr>
          <w:sz w:val="20"/>
          <w:szCs w:val="20"/>
          <w:color w:val="auto"/>
        </w:rPr>
      </w:pPr>
    </w:p>
    <w:p>
      <w:pPr>
        <w:ind w:firstLine="1304"/>
        <w:spacing w:after="0" w:line="263" w:lineRule="auto"/>
        <w:tabs>
          <w:tab w:leader="none" w:pos="1791" w:val="left"/>
        </w:tabs>
        <w:numPr>
          <w:ilvl w:val="0"/>
          <w:numId w:val="268"/>
        </w:numPr>
        <w:rPr>
          <w:rFonts w:ascii="Arial" w:cs="Arial" w:eastAsia="Arial" w:hAnsi="Arial"/>
          <w:sz w:val="22"/>
          <w:szCs w:val="22"/>
          <w:color w:val="auto"/>
        </w:rPr>
      </w:pPr>
      <w:r>
        <w:rPr>
          <w:rFonts w:ascii="Arial" w:cs="Arial" w:eastAsia="Arial" w:hAnsi="Arial"/>
          <w:sz w:val="22"/>
          <w:szCs w:val="22"/>
          <w:u w:val="single" w:color="auto"/>
          <w:color w:val="auto"/>
        </w:rPr>
        <w:t>Stop-Transfer Notices</w:t>
      </w:r>
      <w:r>
        <w:rPr>
          <w:rFonts w:ascii="Arial" w:cs="Arial" w:eastAsia="Arial" w:hAnsi="Arial"/>
          <w:sz w:val="22"/>
          <w:szCs w:val="22"/>
          <w:color w:val="auto"/>
        </w:rPr>
        <w:t>. Participant agrees that, in order to ensure compliance with the restrictions referred to herein, the Company may issue appropriate “stop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3</w:t>
      </w:r>
      <w:r>
        <w:rPr>
          <w:rFonts w:ascii="Arial" w:cs="Arial" w:eastAsia="Arial" w:hAnsi="Arial"/>
          <w:sz w:val="22"/>
          <w:szCs w:val="22"/>
          <w:b w:val="1"/>
          <w:bCs w:val="1"/>
          <w:color w:val="auto"/>
        </w:rPr>
        <w:t>-</w:t>
      </w:r>
    </w:p>
    <w:p>
      <w:pPr>
        <w:sectPr>
          <w:pgSz w:w="11900" w:h="16838" w:orient="portrait"/>
          <w:cols w:equalWidth="0" w:num="1">
            <w:col w:w="11240"/>
          </w:cols>
          <w:pgMar w:left="320" w:top="1428" w:right="339" w:bottom="1440" w:gutter="0" w:footer="0" w:header="0"/>
        </w:sectPr>
      </w:pPr>
    </w:p>
    <w:bookmarkStart w:id="337" w:name="page338"/>
    <w:bookmarkEnd w:id="337"/>
    <w:p>
      <w:pPr>
        <w:spacing w:after="0" w:line="263" w:lineRule="auto"/>
        <w:rPr>
          <w:sz w:val="20"/>
          <w:szCs w:val="20"/>
          <w:color w:val="auto"/>
        </w:rPr>
      </w:pPr>
      <w:r>
        <w:rPr>
          <w:rFonts w:ascii="Arial" w:cs="Arial" w:eastAsia="Arial" w:hAnsi="Arial"/>
          <w:sz w:val="22"/>
          <w:szCs w:val="22"/>
          <w:color w:val="auto"/>
        </w:rPr>
        <w:t>transfer” instructions to its transfer agent, if any, and that, if the Company transfers its own securities, it may make appropriate notations to the same effect in its own records.</w:t>
      </w:r>
    </w:p>
    <w:p>
      <w:pPr>
        <w:spacing w:after="0" w:line="121" w:lineRule="exact"/>
        <w:rPr>
          <w:sz w:val="20"/>
          <w:szCs w:val="20"/>
          <w:color w:val="auto"/>
        </w:rPr>
      </w:pPr>
    </w:p>
    <w:p>
      <w:pPr>
        <w:jc w:val="both"/>
        <w:ind w:firstLine="1304"/>
        <w:spacing w:after="0" w:line="250" w:lineRule="auto"/>
        <w:tabs>
          <w:tab w:leader="none" w:pos="1752" w:val="left"/>
        </w:tabs>
        <w:numPr>
          <w:ilvl w:val="1"/>
          <w:numId w:val="269"/>
        </w:numPr>
        <w:rPr>
          <w:rFonts w:ascii="Arial" w:cs="Arial" w:eastAsia="Arial" w:hAnsi="Arial"/>
          <w:sz w:val="22"/>
          <w:szCs w:val="22"/>
          <w:color w:val="auto"/>
        </w:rPr>
      </w:pPr>
      <w:r>
        <w:rPr>
          <w:rFonts w:ascii="Arial" w:cs="Arial" w:eastAsia="Arial" w:hAnsi="Arial"/>
          <w:sz w:val="22"/>
          <w:szCs w:val="22"/>
          <w:u w:val="single" w:color="auto"/>
          <w:color w:val="auto"/>
        </w:rPr>
        <w:t>Refusal to Transfer</w:t>
      </w:r>
      <w:r>
        <w:rPr>
          <w:rFonts w:ascii="Arial" w:cs="Arial" w:eastAsia="Arial" w:hAnsi="Arial"/>
          <w:sz w:val="22"/>
          <w:szCs w:val="22"/>
          <w:color w:val="auto"/>
        </w:rPr>
        <w:t>. The Company shall not be required (i) to transfer on its books any Shares that have been sold or otherwise transferred in violation of any of the provisions of this Exercise Notice or (ii) to treat as owner of such Shares or to accord the right to vote or pay dividends to any purchaser or other transferee to whom such Shares shall have been so transferred.</w:t>
      </w:r>
    </w:p>
    <w:p>
      <w:pPr>
        <w:spacing w:after="0" w:line="133" w:lineRule="exact"/>
        <w:rPr>
          <w:rFonts w:ascii="Arial" w:cs="Arial" w:eastAsia="Arial" w:hAnsi="Arial"/>
          <w:sz w:val="22"/>
          <w:szCs w:val="22"/>
          <w:color w:val="auto"/>
        </w:rPr>
      </w:pPr>
    </w:p>
    <w:p>
      <w:pPr>
        <w:jc w:val="both"/>
        <w:ind w:firstLine="656"/>
        <w:spacing w:after="0" w:line="250" w:lineRule="auto"/>
        <w:tabs>
          <w:tab w:leader="none" w:pos="1066" w:val="left"/>
        </w:tabs>
        <w:numPr>
          <w:ilvl w:val="0"/>
          <w:numId w:val="270"/>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The Company may assign any of its rights under this Exercise Notice to single or multiple assignees, and this Exercise Notice shall inure to the benefit of the successors and assigns of the Company. Subject to the restrictions on transfer herein set forth, this Exercise Notice shall be binding upon Participant and his or her heirs, executors, administrators, successors and assigns.</w:t>
      </w:r>
    </w:p>
    <w:p>
      <w:pPr>
        <w:spacing w:after="0" w:line="133" w:lineRule="exact"/>
        <w:rPr>
          <w:rFonts w:ascii="Arial" w:cs="Arial" w:eastAsia="Arial" w:hAnsi="Arial"/>
          <w:sz w:val="22"/>
          <w:szCs w:val="22"/>
          <w:color w:val="auto"/>
        </w:rPr>
      </w:pPr>
    </w:p>
    <w:p>
      <w:pPr>
        <w:jc w:val="both"/>
        <w:ind w:firstLine="656"/>
        <w:spacing w:after="0" w:line="253" w:lineRule="auto"/>
        <w:tabs>
          <w:tab w:leader="none" w:pos="1026" w:val="left"/>
        </w:tabs>
        <w:numPr>
          <w:ilvl w:val="0"/>
          <w:numId w:val="270"/>
        </w:numPr>
        <w:rPr>
          <w:rFonts w:ascii="Arial" w:cs="Arial" w:eastAsia="Arial" w:hAnsi="Arial"/>
          <w:sz w:val="22"/>
          <w:szCs w:val="22"/>
          <w:color w:val="auto"/>
        </w:rPr>
      </w:pPr>
      <w:r>
        <w:rPr>
          <w:rFonts w:ascii="Arial" w:cs="Arial" w:eastAsia="Arial" w:hAnsi="Arial"/>
          <w:sz w:val="22"/>
          <w:szCs w:val="22"/>
          <w:u w:val="single" w:color="auto"/>
          <w:color w:val="auto"/>
        </w:rPr>
        <w:t>Interpretation</w:t>
      </w:r>
      <w:r>
        <w:rPr>
          <w:rFonts w:ascii="Arial" w:cs="Arial" w:eastAsia="Arial" w:hAnsi="Arial"/>
          <w:sz w:val="22"/>
          <w:szCs w:val="22"/>
          <w:color w:val="auto"/>
        </w:rPr>
        <w:t>. Any dispute regarding the interpretation of this Exercise Notice shall be submitted by Participant or by the Company forthwith to the Administrator, which shall review such dispute at its next regular meeting. The resolution of such a dispute by the Administrator shall be final and binding on all parties.</w:t>
      </w:r>
    </w:p>
    <w:p>
      <w:pPr>
        <w:spacing w:after="0" w:line="131" w:lineRule="exact"/>
        <w:rPr>
          <w:rFonts w:ascii="Arial" w:cs="Arial" w:eastAsia="Arial" w:hAnsi="Arial"/>
          <w:sz w:val="22"/>
          <w:szCs w:val="22"/>
          <w:color w:val="auto"/>
        </w:rPr>
      </w:pPr>
    </w:p>
    <w:p>
      <w:pPr>
        <w:jc w:val="both"/>
        <w:ind w:firstLine="656"/>
        <w:spacing w:after="0" w:line="253" w:lineRule="auto"/>
        <w:tabs>
          <w:tab w:leader="none" w:pos="1161" w:val="left"/>
        </w:tabs>
        <w:numPr>
          <w:ilvl w:val="0"/>
          <w:numId w:val="270"/>
        </w:numPr>
        <w:rPr>
          <w:rFonts w:ascii="Arial" w:cs="Arial" w:eastAsia="Arial" w:hAnsi="Arial"/>
          <w:sz w:val="22"/>
          <w:szCs w:val="22"/>
          <w:color w:val="auto"/>
        </w:rPr>
      </w:pPr>
      <w:r>
        <w:rPr>
          <w:rFonts w:ascii="Arial" w:cs="Arial" w:eastAsia="Arial" w:hAnsi="Arial"/>
          <w:sz w:val="22"/>
          <w:szCs w:val="22"/>
          <w:u w:val="single" w:color="auto"/>
          <w:color w:val="auto"/>
        </w:rPr>
        <w:t>Governing Law; Severability</w:t>
      </w:r>
      <w:r>
        <w:rPr>
          <w:rFonts w:ascii="Arial" w:cs="Arial" w:eastAsia="Arial" w:hAnsi="Arial"/>
          <w:sz w:val="22"/>
          <w:szCs w:val="22"/>
          <w:color w:val="auto"/>
        </w:rPr>
        <w:t>. This Exercise Notice is governed by the internal substantive laws, but not the choice of law rules, of California. In the event that any provision hereof becomes or is declared by a court of competent jurisdiction to be illegal, unenforceable or void, this Exercise Notice shall continue in full force and effect.</w:t>
      </w:r>
    </w:p>
    <w:p>
      <w:pPr>
        <w:spacing w:after="0" w:line="131" w:lineRule="exact"/>
        <w:rPr>
          <w:rFonts w:ascii="Arial" w:cs="Arial" w:eastAsia="Arial" w:hAnsi="Arial"/>
          <w:sz w:val="22"/>
          <w:szCs w:val="22"/>
          <w:color w:val="auto"/>
        </w:rPr>
      </w:pPr>
    </w:p>
    <w:p>
      <w:pPr>
        <w:jc w:val="both"/>
        <w:ind w:firstLine="656"/>
        <w:spacing w:after="0" w:line="297" w:lineRule="auto"/>
        <w:tabs>
          <w:tab w:leader="none" w:pos="1153" w:val="left"/>
        </w:tabs>
        <w:numPr>
          <w:ilvl w:val="0"/>
          <w:numId w:val="270"/>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The Plan and Option Agreement are incorporated herein by reference. This Exercise Notice, the Plan, the Restricted Stock Purchase Agreement, the Option Agreement and the Investment Representation Statement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520" w:type="dxa"/>
            <w:vAlign w:val="bottom"/>
            <w:gridSpan w:val="2"/>
          </w:tcPr>
          <w:p>
            <w:pPr>
              <w:ind w:left="20"/>
              <w:spacing w:after="0"/>
              <w:rPr>
                <w:sz w:val="20"/>
                <w:szCs w:val="20"/>
                <w:color w:val="auto"/>
              </w:rPr>
            </w:pPr>
            <w:r>
              <w:rPr>
                <w:rFonts w:ascii="Arial" w:cs="Arial" w:eastAsia="Arial" w:hAnsi="Arial"/>
                <w:sz w:val="22"/>
                <w:szCs w:val="22"/>
                <w:b w:val="1"/>
                <w:bCs w:val="1"/>
                <w:color w:val="auto"/>
              </w:rPr>
              <w:t>PARTICIPANT</w:t>
            </w:r>
          </w:p>
        </w:tc>
        <w:tc>
          <w:tcPr>
            <w:tcW w:w="5720" w:type="dxa"/>
            <w:vAlign w:val="bottom"/>
          </w:tcPr>
          <w:p>
            <w:pPr>
              <w:ind w:left="20"/>
              <w:spacing w:after="0"/>
              <w:rPr>
                <w:sz w:val="20"/>
                <w:szCs w:val="20"/>
                <w:color w:val="auto"/>
              </w:rPr>
            </w:pPr>
            <w:r>
              <w:rPr>
                <w:rFonts w:ascii="Arial" w:cs="Arial" w:eastAsia="Arial" w:hAnsi="Arial"/>
                <w:sz w:val="22"/>
                <w:szCs w:val="22"/>
                <w:b w:val="1"/>
                <w:bCs w:val="1"/>
                <w:color w:val="auto"/>
              </w:rPr>
              <w:t>NERDWALLET, INC.</w:t>
            </w:r>
          </w:p>
        </w:tc>
      </w:tr>
      <w:tr>
        <w:trPr>
          <w:trHeight w:val="770"/>
        </w:trPr>
        <w:tc>
          <w:tcPr>
            <w:tcW w:w="5520" w:type="dxa"/>
            <w:vAlign w:val="bottom"/>
            <w:gridSpan w:val="2"/>
          </w:tcPr>
          <w:p>
            <w:pPr>
              <w:ind w:left="40"/>
              <w:spacing w:after="0"/>
              <w:rPr>
                <w:sz w:val="20"/>
                <w:szCs w:val="20"/>
                <w:color w:val="auto"/>
              </w:rPr>
            </w:pPr>
            <w:r>
              <w:rPr>
                <w:rFonts w:ascii="Arial" w:cs="Arial" w:eastAsia="Arial" w:hAnsi="Arial"/>
                <w:sz w:val="22"/>
                <w:szCs w:val="22"/>
                <w:b w:val="1"/>
                <w:bCs w:val="1"/>
                <w:color w:val="auto"/>
              </w:rPr>
              <w:t>[[FIRSTNAME]] [[LASTNAME]]</w:t>
            </w:r>
          </w:p>
        </w:tc>
        <w:tc>
          <w:tcPr>
            <w:tcW w:w="5720" w:type="dxa"/>
            <w:vAlign w:val="bottom"/>
          </w:tcPr>
          <w:p>
            <w:pPr>
              <w:spacing w:after="0"/>
              <w:rPr>
                <w:sz w:val="24"/>
                <w:szCs w:val="24"/>
                <w:color w:val="auto"/>
              </w:rPr>
            </w:pPr>
          </w:p>
        </w:tc>
      </w:tr>
      <w:tr>
        <w:trPr>
          <w:trHeight w:val="368"/>
        </w:trPr>
        <w:tc>
          <w:tcPr>
            <w:tcW w:w="510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5720" w:type="dxa"/>
            <w:vAlign w:val="bottom"/>
          </w:tcPr>
          <w:p>
            <w:pPr>
              <w:spacing w:after="0"/>
              <w:rPr>
                <w:sz w:val="24"/>
                <w:szCs w:val="24"/>
                <w:color w:val="auto"/>
              </w:rPr>
            </w:pPr>
          </w:p>
        </w:tc>
      </w:tr>
      <w:tr>
        <w:trPr>
          <w:trHeight w:val="287"/>
        </w:trPr>
        <w:tc>
          <w:tcPr>
            <w:tcW w:w="5520" w:type="dxa"/>
            <w:vAlign w:val="bottom"/>
            <w:gridSpan w:val="2"/>
          </w:tcPr>
          <w:p>
            <w:pPr>
              <w:ind w:left="40"/>
              <w:spacing w:after="0"/>
              <w:rPr>
                <w:sz w:val="20"/>
                <w:szCs w:val="20"/>
                <w:color w:val="auto"/>
              </w:rPr>
            </w:pPr>
            <w:r>
              <w:rPr>
                <w:rFonts w:ascii="Arial" w:cs="Arial" w:eastAsia="Arial" w:hAnsi="Arial"/>
                <w:sz w:val="22"/>
                <w:szCs w:val="22"/>
                <w:color w:val="auto"/>
              </w:rPr>
              <w:t>Name of Grantee</w:t>
            </w:r>
          </w:p>
        </w:tc>
        <w:tc>
          <w:tcPr>
            <w:tcW w:w="5720" w:type="dxa"/>
            <w:vAlign w:val="bottom"/>
          </w:tcPr>
          <w:p>
            <w:pPr>
              <w:spacing w:after="0"/>
              <w:rPr>
                <w:sz w:val="24"/>
                <w:szCs w:val="24"/>
                <w:color w:val="auto"/>
              </w:rPr>
            </w:pPr>
          </w:p>
        </w:tc>
      </w:tr>
      <w:tr>
        <w:trPr>
          <w:trHeight w:val="483"/>
        </w:trPr>
        <w:tc>
          <w:tcPr>
            <w:tcW w:w="510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57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Tim Chen</w:t>
            </w:r>
          </w:p>
        </w:tc>
      </w:tr>
      <w:tr>
        <w:trPr>
          <w:trHeight w:val="293"/>
        </w:trPr>
        <w:tc>
          <w:tcPr>
            <w:tcW w:w="5520" w:type="dxa"/>
            <w:vAlign w:val="bottom"/>
            <w:gridSpan w:val="2"/>
          </w:tcPr>
          <w:p>
            <w:pPr>
              <w:ind w:left="20"/>
              <w:spacing w:after="0"/>
              <w:rPr>
                <w:sz w:val="20"/>
                <w:szCs w:val="20"/>
                <w:color w:val="auto"/>
              </w:rPr>
            </w:pPr>
            <w:r>
              <w:rPr>
                <w:rFonts w:ascii="Arial" w:cs="Arial" w:eastAsia="Arial" w:hAnsi="Arial"/>
                <w:sz w:val="22"/>
                <w:szCs w:val="22"/>
                <w:color w:val="auto"/>
              </w:rPr>
              <w:t>Signature</w:t>
            </w:r>
          </w:p>
        </w:tc>
        <w:tc>
          <w:tcPr>
            <w:tcW w:w="5720" w:type="dxa"/>
            <w:vAlign w:val="bottom"/>
          </w:tcPr>
          <w:p>
            <w:pPr>
              <w:ind w:left="20"/>
              <w:spacing w:after="0"/>
              <w:rPr>
                <w:sz w:val="20"/>
                <w:szCs w:val="20"/>
                <w:color w:val="auto"/>
              </w:rPr>
            </w:pPr>
            <w:r>
              <w:rPr>
                <w:rFonts w:ascii="Arial" w:cs="Arial" w:eastAsia="Arial" w:hAnsi="Arial"/>
                <w:sz w:val="22"/>
                <w:szCs w:val="22"/>
                <w:color w:val="auto"/>
              </w:rPr>
              <w:t>Tim Chen, President &amp; Chief Executive Officer</w:t>
            </w:r>
          </w:p>
        </w:tc>
      </w:tr>
      <w:tr>
        <w:trPr>
          <w:trHeight w:val="311"/>
        </w:trPr>
        <w:tc>
          <w:tcPr>
            <w:tcW w:w="5520" w:type="dxa"/>
            <w:vAlign w:val="bottom"/>
            <w:gridSpan w:val="2"/>
          </w:tcPr>
          <w:p>
            <w:pPr>
              <w:ind w:left="20"/>
              <w:spacing w:after="0"/>
              <w:rPr>
                <w:sz w:val="20"/>
                <w:szCs w:val="20"/>
                <w:color w:val="auto"/>
              </w:rPr>
            </w:pPr>
            <w:r>
              <w:rPr>
                <w:rFonts w:ascii="Arial" w:cs="Arial" w:eastAsia="Arial" w:hAnsi="Arial"/>
                <w:sz w:val="22"/>
                <w:szCs w:val="22"/>
                <w:color w:val="auto"/>
              </w:rPr>
              <w:t>Residence Address:</w:t>
            </w:r>
          </w:p>
        </w:tc>
        <w:tc>
          <w:tcPr>
            <w:tcW w:w="5720" w:type="dxa"/>
            <w:vAlign w:val="bottom"/>
          </w:tcPr>
          <w:p>
            <w:pPr>
              <w:spacing w:after="0"/>
              <w:rPr>
                <w:sz w:val="24"/>
                <w:szCs w:val="24"/>
                <w:color w:val="auto"/>
              </w:rPr>
            </w:pPr>
          </w:p>
        </w:tc>
      </w:tr>
      <w:tr>
        <w:trPr>
          <w:trHeight w:val="310"/>
        </w:trPr>
        <w:tc>
          <w:tcPr>
            <w:tcW w:w="5520" w:type="dxa"/>
            <w:vAlign w:val="bottom"/>
            <w:gridSpan w:val="2"/>
          </w:tcPr>
          <w:p>
            <w:pPr>
              <w:ind w:left="20"/>
              <w:spacing w:after="0"/>
              <w:rPr>
                <w:sz w:val="20"/>
                <w:szCs w:val="20"/>
                <w:color w:val="auto"/>
              </w:rPr>
            </w:pPr>
            <w:r>
              <w:rPr>
                <w:rFonts w:ascii="Arial" w:cs="Arial" w:eastAsia="Arial" w:hAnsi="Arial"/>
                <w:sz w:val="22"/>
                <w:szCs w:val="22"/>
                <w:color w:val="auto"/>
              </w:rPr>
              <w:t>[[RESADDR1]] [[RESADDR2]]</w:t>
            </w:r>
          </w:p>
        </w:tc>
        <w:tc>
          <w:tcPr>
            <w:tcW w:w="5720" w:type="dxa"/>
            <w:vAlign w:val="bottom"/>
          </w:tcPr>
          <w:p>
            <w:pPr>
              <w:spacing w:after="0"/>
              <w:rPr>
                <w:sz w:val="24"/>
                <w:szCs w:val="24"/>
                <w:color w:val="auto"/>
              </w:rPr>
            </w:pPr>
          </w:p>
        </w:tc>
      </w:tr>
      <w:tr>
        <w:trPr>
          <w:trHeight w:val="310"/>
        </w:trPr>
        <w:tc>
          <w:tcPr>
            <w:tcW w:w="5520" w:type="dxa"/>
            <w:vAlign w:val="bottom"/>
            <w:gridSpan w:val="2"/>
          </w:tcPr>
          <w:p>
            <w:pPr>
              <w:ind w:left="20"/>
              <w:spacing w:after="0"/>
              <w:rPr>
                <w:sz w:val="20"/>
                <w:szCs w:val="20"/>
                <w:color w:val="auto"/>
              </w:rPr>
            </w:pPr>
            <w:r>
              <w:rPr>
                <w:rFonts w:ascii="Arial" w:cs="Arial" w:eastAsia="Arial" w:hAnsi="Arial"/>
                <w:sz w:val="22"/>
                <w:szCs w:val="22"/>
                <w:color w:val="auto"/>
              </w:rPr>
              <w:t>[[RESCITY]], [[RESSTATEORPROV]]</w:t>
            </w:r>
          </w:p>
        </w:tc>
        <w:tc>
          <w:tcPr>
            <w:tcW w:w="5720" w:type="dxa"/>
            <w:vAlign w:val="bottom"/>
          </w:tcPr>
          <w:p>
            <w:pPr>
              <w:spacing w:after="0"/>
              <w:rPr>
                <w:sz w:val="24"/>
                <w:szCs w:val="24"/>
                <w:color w:val="auto"/>
              </w:rPr>
            </w:pPr>
          </w:p>
        </w:tc>
      </w:tr>
      <w:tr>
        <w:trPr>
          <w:trHeight w:val="310"/>
        </w:trPr>
        <w:tc>
          <w:tcPr>
            <w:tcW w:w="5520" w:type="dxa"/>
            <w:vAlign w:val="bottom"/>
            <w:gridSpan w:val="2"/>
          </w:tcPr>
          <w:p>
            <w:pPr>
              <w:ind w:left="20"/>
              <w:spacing w:after="0"/>
              <w:rPr>
                <w:sz w:val="20"/>
                <w:szCs w:val="20"/>
                <w:color w:val="auto"/>
              </w:rPr>
            </w:pPr>
            <w:r>
              <w:rPr>
                <w:rFonts w:ascii="Arial" w:cs="Arial" w:eastAsia="Arial" w:hAnsi="Arial"/>
                <w:sz w:val="22"/>
                <w:szCs w:val="22"/>
                <w:color w:val="auto"/>
              </w:rPr>
              <w:t>[[RESPOSTALCODE]]</w:t>
            </w:r>
          </w:p>
        </w:tc>
        <w:tc>
          <w:tcPr>
            <w:tcW w:w="57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4</w:t>
      </w:r>
      <w:r>
        <w:rPr>
          <w:rFonts w:ascii="Arial" w:cs="Arial" w:eastAsia="Arial" w:hAnsi="Arial"/>
          <w:sz w:val="22"/>
          <w:szCs w:val="22"/>
          <w:b w:val="1"/>
          <w:bCs w:val="1"/>
          <w:color w:val="auto"/>
        </w:rPr>
        <w:t>-</w:t>
      </w:r>
    </w:p>
    <w:p>
      <w:pPr>
        <w:sectPr>
          <w:pgSz w:w="11900" w:h="16838" w:orient="portrait"/>
          <w:cols w:equalWidth="0" w:num="1">
            <w:col w:w="11240"/>
          </w:cols>
          <w:pgMar w:left="320" w:top="1428" w:right="339" w:bottom="1440" w:gutter="0" w:footer="0" w:header="0"/>
        </w:sectPr>
      </w:pPr>
    </w:p>
    <w:bookmarkStart w:id="338" w:name="page339"/>
    <w:bookmarkEnd w:id="338"/>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NERDWALLET, INC.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2012 EQUITY INCENTIVE PLAN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PURCHASE AGREEMENT</w:t>
      </w:r>
    </w:p>
    <w:p>
      <w:pPr>
        <w:spacing w:after="0" w:line="172" w:lineRule="exact"/>
        <w:rPr>
          <w:sz w:val="20"/>
          <w:szCs w:val="20"/>
          <w:color w:val="auto"/>
        </w:rPr>
      </w:pPr>
    </w:p>
    <w:p>
      <w:pPr>
        <w:ind w:firstLine="648"/>
        <w:spacing w:after="0" w:line="263" w:lineRule="auto"/>
        <w:rPr>
          <w:sz w:val="20"/>
          <w:szCs w:val="20"/>
          <w:color w:val="auto"/>
        </w:rPr>
      </w:pPr>
      <w:r>
        <w:rPr>
          <w:rFonts w:ascii="Arial" w:cs="Arial" w:eastAsia="Arial" w:hAnsi="Arial"/>
          <w:sz w:val="21"/>
          <w:szCs w:val="21"/>
          <w:color w:val="auto"/>
        </w:rPr>
        <w:t xml:space="preserve">THIS RESTRICTED STOCK PURCHASE AGREEMENT (the “Agreement”) is made between </w:t>
      </w:r>
      <w:r>
        <w:rPr>
          <w:rFonts w:ascii="Arial" w:cs="Arial" w:eastAsia="Arial" w:hAnsi="Arial"/>
          <w:sz w:val="21"/>
          <w:szCs w:val="21"/>
          <w:u w:val="single" w:color="auto"/>
          <w:color w:val="auto"/>
        </w:rPr>
        <w:t>[[FIRSTNAME]]</w:t>
      </w:r>
      <w:r>
        <w:rPr>
          <w:rFonts w:ascii="Arial" w:cs="Arial" w:eastAsia="Arial" w:hAnsi="Arial"/>
          <w:sz w:val="21"/>
          <w:szCs w:val="21"/>
          <w:color w:val="auto"/>
        </w:rPr>
        <w:t xml:space="preserve"> </w:t>
      </w:r>
      <w:r>
        <w:rPr>
          <w:rFonts w:ascii="Arial" w:cs="Arial" w:eastAsia="Arial" w:hAnsi="Arial"/>
          <w:sz w:val="21"/>
          <w:szCs w:val="21"/>
          <w:u w:val="single" w:color="auto"/>
          <w:color w:val="auto"/>
        </w:rPr>
        <w:t>[[LASTNAME]]</w:t>
      </w:r>
      <w:r>
        <w:rPr>
          <w:rFonts w:ascii="Arial" w:cs="Arial" w:eastAsia="Arial" w:hAnsi="Arial"/>
          <w:sz w:val="21"/>
          <w:szCs w:val="21"/>
          <w:color w:val="auto"/>
        </w:rPr>
        <w:t xml:space="preserve"> (the “Purchaser”) and NerdWallet, Inc. (the “Company”) or its assignees of rights hereunder as of</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 ____.</w:t>
      </w:r>
    </w:p>
    <w:p>
      <w:pPr>
        <w:spacing w:after="0" w:line="148"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Unless otherwise defined herein, the terms defined in the 2012 Equity Incentive Plan shall have the same defined meanings in this Agreement.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166" w:lineRule="exact"/>
        <w:rPr>
          <w:sz w:val="20"/>
          <w:szCs w:val="20"/>
          <w:color w:val="auto"/>
        </w:rPr>
      </w:pPr>
    </w:p>
    <w:p>
      <w:pPr>
        <w:jc w:val="both"/>
        <w:ind w:firstLine="656"/>
        <w:spacing w:after="0" w:line="294" w:lineRule="auto"/>
        <w:tabs>
          <w:tab w:leader="none" w:pos="1087" w:val="left"/>
        </w:tabs>
        <w:numPr>
          <w:ilvl w:val="0"/>
          <w:numId w:val="271"/>
        </w:numPr>
        <w:rPr>
          <w:rFonts w:ascii="Arial" w:cs="Arial" w:eastAsia="Arial" w:hAnsi="Arial"/>
          <w:sz w:val="19"/>
          <w:szCs w:val="19"/>
          <w:color w:val="auto"/>
        </w:rPr>
      </w:pPr>
      <w:r>
        <w:rPr>
          <w:rFonts w:ascii="Arial" w:cs="Arial" w:eastAsia="Arial" w:hAnsi="Arial"/>
          <w:sz w:val="19"/>
          <w:szCs w:val="19"/>
          <w:color w:val="auto"/>
        </w:rPr>
        <w:t xml:space="preserve">Pursuant to the exercise of the option (grant number [[GRANTNUMBER]]) granted to Purchaser under the Plan and pursuant to the Stock Option Agreement – Early Exercise (the “Option Agreement”) dated </w:t>
      </w:r>
      <w:r>
        <w:rPr>
          <w:rFonts w:ascii="Arial" w:cs="Arial" w:eastAsia="Arial" w:hAnsi="Arial"/>
          <w:sz w:val="19"/>
          <w:szCs w:val="19"/>
          <w:u w:val="single" w:color="auto"/>
          <w:color w:val="auto"/>
        </w:rPr>
        <w:t>[[GRANTDATE]]</w:t>
      </w:r>
      <w:r>
        <w:rPr>
          <w:rFonts w:ascii="Arial" w:cs="Arial" w:eastAsia="Arial" w:hAnsi="Arial"/>
          <w:sz w:val="19"/>
          <w:szCs w:val="19"/>
          <w:color w:val="auto"/>
        </w:rPr>
        <w:t xml:space="preserve"> by and between the Company and Purchaser with respect to such grant (the “Option”), which Plan and Option Agreement are hereby incorporated by reference, Purchaser has elected to purchase _________ of those shares of Common Stock which have not become vested under the vesting schedule set forth in the Option Agreement (“Unvested Shares”). The Unvested Shares and the shares subject to the Option Agreement, which have become vested (“Vested Shares”) are sometimes collectively referred to herein as the “Shares.”</w:t>
      </w:r>
    </w:p>
    <w:p>
      <w:pPr>
        <w:spacing w:after="0" w:line="95" w:lineRule="exact"/>
        <w:rPr>
          <w:rFonts w:ascii="Arial" w:cs="Arial" w:eastAsia="Arial" w:hAnsi="Arial"/>
          <w:sz w:val="19"/>
          <w:szCs w:val="19"/>
          <w:color w:val="auto"/>
        </w:rPr>
      </w:pPr>
    </w:p>
    <w:p>
      <w:pPr>
        <w:jc w:val="both"/>
        <w:ind w:firstLine="656"/>
        <w:spacing w:after="0" w:line="253" w:lineRule="auto"/>
        <w:tabs>
          <w:tab w:leader="none" w:pos="1096" w:val="left"/>
        </w:tabs>
        <w:numPr>
          <w:ilvl w:val="0"/>
          <w:numId w:val="271"/>
        </w:numPr>
        <w:rPr>
          <w:rFonts w:ascii="Arial" w:cs="Arial" w:eastAsia="Arial" w:hAnsi="Arial"/>
          <w:sz w:val="22"/>
          <w:szCs w:val="22"/>
          <w:color w:val="auto"/>
        </w:rPr>
      </w:pPr>
      <w:r>
        <w:rPr>
          <w:rFonts w:ascii="Arial" w:cs="Arial" w:eastAsia="Arial" w:hAnsi="Arial"/>
          <w:sz w:val="22"/>
          <w:szCs w:val="22"/>
          <w:color w:val="auto"/>
        </w:rPr>
        <w:t>As required by the Option Agreement, as a condition to Purchaser’s election to exercise the option, Purchaser must execute this Agreement, which sets forth the rights and obligations of the parties with respect to Shares acquired upon exercise of the Option.</w:t>
      </w:r>
    </w:p>
    <w:p>
      <w:pPr>
        <w:spacing w:after="0" w:line="131" w:lineRule="exact"/>
        <w:rPr>
          <w:sz w:val="20"/>
          <w:szCs w:val="20"/>
          <w:color w:val="auto"/>
        </w:rPr>
      </w:pPr>
    </w:p>
    <w:p>
      <w:pPr>
        <w:ind w:left="1040" w:hanging="384"/>
        <w:spacing w:after="0"/>
        <w:tabs>
          <w:tab w:leader="none" w:pos="1040" w:val="left"/>
        </w:tabs>
        <w:numPr>
          <w:ilvl w:val="0"/>
          <w:numId w:val="272"/>
        </w:numPr>
        <w:rPr>
          <w:rFonts w:ascii="Arial" w:cs="Arial" w:eastAsia="Arial" w:hAnsi="Arial"/>
          <w:sz w:val="22"/>
          <w:szCs w:val="22"/>
          <w:color w:val="auto"/>
        </w:rPr>
      </w:pPr>
      <w:r>
        <w:rPr>
          <w:rFonts w:ascii="Arial" w:cs="Arial" w:eastAsia="Arial" w:hAnsi="Arial"/>
          <w:sz w:val="22"/>
          <w:szCs w:val="22"/>
          <w:u w:val="single" w:color="auto"/>
          <w:color w:val="auto"/>
        </w:rPr>
        <w:t>Repurchase Option</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jc w:val="both"/>
        <w:ind w:firstLine="1304"/>
        <w:spacing w:after="0" w:line="250" w:lineRule="auto"/>
        <w:tabs>
          <w:tab w:leader="none" w:pos="1752" w:val="left"/>
        </w:tabs>
        <w:numPr>
          <w:ilvl w:val="1"/>
          <w:numId w:val="272"/>
        </w:numPr>
        <w:rPr>
          <w:rFonts w:ascii="Arial" w:cs="Arial" w:eastAsia="Arial" w:hAnsi="Arial"/>
          <w:sz w:val="22"/>
          <w:szCs w:val="22"/>
          <w:color w:val="auto"/>
        </w:rPr>
      </w:pPr>
      <w:r>
        <w:rPr>
          <w:rFonts w:ascii="Arial" w:cs="Arial" w:eastAsia="Arial" w:hAnsi="Arial"/>
          <w:sz w:val="22"/>
          <w:szCs w:val="22"/>
          <w:color w:val="auto"/>
        </w:rPr>
        <w:t>If Purchaser’s status as a Service Provider is terminated for any reason, including for death and Disability, the Company shall have the right and option for ninety (90) days from such date to purchase from Purchaser, or Purchaser’s personal representative, as the case may be, all of the Purchaser’s Unvested Shares as of the date of such termination at the price paid by the Purchaser for such Shares (the “Repurchase Option”).</w:t>
      </w:r>
    </w:p>
    <w:p>
      <w:pPr>
        <w:spacing w:after="0" w:line="133" w:lineRule="exact"/>
        <w:rPr>
          <w:rFonts w:ascii="Arial" w:cs="Arial" w:eastAsia="Arial" w:hAnsi="Arial"/>
          <w:sz w:val="22"/>
          <w:szCs w:val="22"/>
          <w:color w:val="auto"/>
        </w:rPr>
      </w:pPr>
    </w:p>
    <w:p>
      <w:pPr>
        <w:jc w:val="both"/>
        <w:ind w:firstLine="1304"/>
        <w:spacing w:after="0" w:line="259" w:lineRule="auto"/>
        <w:tabs>
          <w:tab w:leader="none" w:pos="1830" w:val="left"/>
        </w:tabs>
        <w:numPr>
          <w:ilvl w:val="1"/>
          <w:numId w:val="272"/>
        </w:numPr>
        <w:rPr>
          <w:rFonts w:ascii="Arial" w:cs="Arial" w:eastAsia="Arial" w:hAnsi="Arial"/>
          <w:sz w:val="21"/>
          <w:szCs w:val="21"/>
          <w:color w:val="auto"/>
        </w:rPr>
      </w:pPr>
      <w:r>
        <w:rPr>
          <w:rFonts w:ascii="Arial" w:cs="Arial" w:eastAsia="Arial" w:hAnsi="Arial"/>
          <w:sz w:val="21"/>
          <w:szCs w:val="21"/>
          <w:color w:val="auto"/>
        </w:rPr>
        <w:t>Upon the occurrence of such termination, the Company may exercise its Repurchase Option by delivering personally or by registered mail, to Purchaser (or his or her transferee or legal representative, as the case may be) with a copy to the escrow agent described in Section 2 below, a notice in writing indicating the Company’s intention to exercise the Repurchase Option AND, at the Company’s option, (i) by delivering to the Purchaser (or the Purchaser’s transferee or legal representative) a check in the amount of the aggregate repurchase price, or (ii) by the Company canceling an amount of the Purchaser’s indebtedness to the Company equal to the aggregate repurchase price, or (iii) by a combination of (i) and (ii) so that the combined payment and cancellation of indebtedness equals such aggregate repurchase price. Upon delivery of such notice and payment of the aggregate repurchase price in any of the ways</w:t>
      </w:r>
    </w:p>
    <w:p>
      <w:pPr>
        <w:sectPr>
          <w:pgSz w:w="11900" w:h="16838" w:orient="portrait"/>
          <w:cols w:equalWidth="0" w:num="1">
            <w:col w:w="11240"/>
          </w:cols>
          <w:pgMar w:left="320" w:top="1422" w:right="339" w:bottom="1440" w:gutter="0" w:footer="0" w:header="0"/>
        </w:sectPr>
      </w:pPr>
    </w:p>
    <w:bookmarkStart w:id="339" w:name="page340"/>
    <w:bookmarkEnd w:id="339"/>
    <w:p>
      <w:pPr>
        <w:jc w:val="both"/>
        <w:spacing w:after="0" w:line="253" w:lineRule="auto"/>
        <w:rPr>
          <w:sz w:val="20"/>
          <w:szCs w:val="20"/>
          <w:color w:val="auto"/>
        </w:rPr>
      </w:pPr>
      <w:r>
        <w:rPr>
          <w:rFonts w:ascii="Arial" w:cs="Arial" w:eastAsia="Arial" w:hAnsi="Arial"/>
          <w:sz w:val="22"/>
          <w:szCs w:val="22"/>
          <w:color w:val="auto"/>
        </w:rPr>
        <w:t>described above, the Company shall become the legal and beneficial owner of the Unvested Shares being repurchased and the rights and interests therein or relating thereto, and the Company shall have the right to retain and transfer to its own name the number of Unvested Shares being repurchased by the Company.</w:t>
      </w:r>
    </w:p>
    <w:p>
      <w:pPr>
        <w:spacing w:after="0" w:line="131" w:lineRule="exact"/>
        <w:rPr>
          <w:sz w:val="20"/>
          <w:szCs w:val="20"/>
          <w:color w:val="auto"/>
        </w:rPr>
      </w:pPr>
    </w:p>
    <w:p>
      <w:pPr>
        <w:jc w:val="both"/>
        <w:ind w:firstLine="1304"/>
        <w:spacing w:after="0" w:line="250" w:lineRule="auto"/>
        <w:tabs>
          <w:tab w:leader="none" w:pos="1829" w:val="left"/>
        </w:tabs>
        <w:numPr>
          <w:ilvl w:val="1"/>
          <w:numId w:val="273"/>
        </w:numPr>
        <w:rPr>
          <w:rFonts w:ascii="Arial" w:cs="Arial" w:eastAsia="Arial" w:hAnsi="Arial"/>
          <w:sz w:val="22"/>
          <w:szCs w:val="22"/>
          <w:color w:val="auto"/>
        </w:rPr>
      </w:pPr>
      <w:r>
        <w:rPr>
          <w:rFonts w:ascii="Arial" w:cs="Arial" w:eastAsia="Arial" w:hAnsi="Arial"/>
          <w:sz w:val="22"/>
          <w:szCs w:val="22"/>
          <w:color w:val="auto"/>
        </w:rPr>
        <w:t>Whenever the Company shall have the right to repurchase Unvested Shares hereunder, the Company may designate and assign one or more employees, officers, directors or stockholders of the Company or other persons or organizations to exercise all or a part of the Company’s Repurchase Option under this Agreement and purchase all or a part of such Unvested Shares.</w:t>
      </w:r>
    </w:p>
    <w:p>
      <w:pPr>
        <w:spacing w:after="0" w:line="133" w:lineRule="exact"/>
        <w:rPr>
          <w:rFonts w:ascii="Arial" w:cs="Arial" w:eastAsia="Arial" w:hAnsi="Arial"/>
          <w:sz w:val="22"/>
          <w:szCs w:val="22"/>
          <w:color w:val="auto"/>
        </w:rPr>
      </w:pPr>
    </w:p>
    <w:p>
      <w:pPr>
        <w:ind w:firstLine="1304"/>
        <w:spacing w:after="0" w:line="263" w:lineRule="auto"/>
        <w:tabs>
          <w:tab w:leader="none" w:pos="1845" w:val="left"/>
        </w:tabs>
        <w:numPr>
          <w:ilvl w:val="1"/>
          <w:numId w:val="273"/>
        </w:numPr>
        <w:rPr>
          <w:rFonts w:ascii="Arial" w:cs="Arial" w:eastAsia="Arial" w:hAnsi="Arial"/>
          <w:sz w:val="22"/>
          <w:szCs w:val="22"/>
          <w:color w:val="auto"/>
        </w:rPr>
      </w:pPr>
      <w:r>
        <w:rPr>
          <w:rFonts w:ascii="Arial" w:cs="Arial" w:eastAsia="Arial" w:hAnsi="Arial"/>
          <w:sz w:val="22"/>
          <w:szCs w:val="22"/>
          <w:color w:val="auto"/>
        </w:rPr>
        <w:t>If the Company does not elect to exercise the Repurchase Option conferred above by giving the requisite notice within ninety (90) days following the termination, the Repurchase Option shall terminate.</w:t>
      </w:r>
    </w:p>
    <w:p>
      <w:pPr>
        <w:spacing w:after="0" w:line="120" w:lineRule="exact"/>
        <w:rPr>
          <w:rFonts w:ascii="Arial" w:cs="Arial" w:eastAsia="Arial" w:hAnsi="Arial"/>
          <w:sz w:val="22"/>
          <w:szCs w:val="22"/>
          <w:color w:val="auto"/>
        </w:rPr>
      </w:pPr>
    </w:p>
    <w:p>
      <w:pPr>
        <w:ind w:left="1860" w:hanging="556"/>
        <w:spacing w:after="0"/>
        <w:tabs>
          <w:tab w:leader="none" w:pos="1860" w:val="left"/>
        </w:tabs>
        <w:numPr>
          <w:ilvl w:val="1"/>
          <w:numId w:val="273"/>
        </w:numPr>
        <w:rPr>
          <w:rFonts w:ascii="Arial" w:cs="Arial" w:eastAsia="Arial" w:hAnsi="Arial"/>
          <w:sz w:val="19"/>
          <w:szCs w:val="19"/>
          <w:color w:val="auto"/>
        </w:rPr>
      </w:pPr>
      <w:r>
        <w:rPr>
          <w:rFonts w:ascii="Arial" w:cs="Arial" w:eastAsia="Arial" w:hAnsi="Arial"/>
          <w:sz w:val="19"/>
          <w:szCs w:val="19"/>
          <w:color w:val="auto"/>
        </w:rPr>
        <w:t>The Repurchase Option shall terminate in accordance with the vesting schedule contained in Purchaser’s</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Option Agreement.</w:t>
      </w:r>
    </w:p>
    <w:p>
      <w:pPr>
        <w:spacing w:after="0" w:line="147" w:lineRule="exact"/>
        <w:rPr>
          <w:rFonts w:ascii="Arial" w:cs="Arial" w:eastAsia="Arial" w:hAnsi="Arial"/>
          <w:sz w:val="19"/>
          <w:szCs w:val="19"/>
          <w:color w:val="auto"/>
        </w:rPr>
      </w:pPr>
    </w:p>
    <w:p>
      <w:pPr>
        <w:ind w:left="1040" w:hanging="384"/>
        <w:spacing w:after="0"/>
        <w:tabs>
          <w:tab w:leader="none" w:pos="1040" w:val="left"/>
        </w:tabs>
        <w:numPr>
          <w:ilvl w:val="0"/>
          <w:numId w:val="274"/>
        </w:numPr>
        <w:rPr>
          <w:rFonts w:ascii="Arial" w:cs="Arial" w:eastAsia="Arial" w:hAnsi="Arial"/>
          <w:sz w:val="22"/>
          <w:szCs w:val="22"/>
          <w:color w:val="auto"/>
        </w:rPr>
      </w:pPr>
      <w:r>
        <w:rPr>
          <w:rFonts w:ascii="Arial" w:cs="Arial" w:eastAsia="Arial" w:hAnsi="Arial"/>
          <w:sz w:val="22"/>
          <w:szCs w:val="22"/>
          <w:u w:val="single" w:color="auto"/>
          <w:color w:val="auto"/>
        </w:rPr>
        <w:t>Transferability of the Shares; Escrow</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jc w:val="both"/>
        <w:ind w:firstLine="1304"/>
        <w:spacing w:after="0" w:line="253" w:lineRule="auto"/>
        <w:tabs>
          <w:tab w:leader="none" w:pos="1817" w:val="left"/>
        </w:tabs>
        <w:numPr>
          <w:ilvl w:val="1"/>
          <w:numId w:val="274"/>
        </w:numPr>
        <w:rPr>
          <w:rFonts w:ascii="Arial" w:cs="Arial" w:eastAsia="Arial" w:hAnsi="Arial"/>
          <w:sz w:val="22"/>
          <w:szCs w:val="22"/>
          <w:color w:val="auto"/>
        </w:rPr>
      </w:pPr>
      <w:r>
        <w:rPr>
          <w:rFonts w:ascii="Arial" w:cs="Arial" w:eastAsia="Arial" w:hAnsi="Arial"/>
          <w:sz w:val="22"/>
          <w:szCs w:val="22"/>
          <w:color w:val="auto"/>
        </w:rPr>
        <w:t>Purchaser hereby authorizes and directs the Secretary of the Company, or such other person designated by the Company, to transfer the Unvested Shares as to which the Repurchase Option has been exercised from Purchaser to the Company.</w:t>
      </w:r>
    </w:p>
    <w:p>
      <w:pPr>
        <w:spacing w:after="0" w:line="131" w:lineRule="exact"/>
        <w:rPr>
          <w:rFonts w:ascii="Arial" w:cs="Arial" w:eastAsia="Arial" w:hAnsi="Arial"/>
          <w:sz w:val="22"/>
          <w:szCs w:val="22"/>
          <w:color w:val="auto"/>
        </w:rPr>
      </w:pPr>
    </w:p>
    <w:p>
      <w:pPr>
        <w:jc w:val="both"/>
        <w:ind w:firstLine="1304"/>
        <w:spacing w:after="0" w:line="287" w:lineRule="auto"/>
        <w:tabs>
          <w:tab w:leader="none" w:pos="1871" w:val="left"/>
        </w:tabs>
        <w:numPr>
          <w:ilvl w:val="1"/>
          <w:numId w:val="274"/>
        </w:numPr>
        <w:rPr>
          <w:rFonts w:ascii="Arial" w:cs="Arial" w:eastAsia="Arial" w:hAnsi="Arial"/>
          <w:sz w:val="19"/>
          <w:szCs w:val="19"/>
          <w:color w:val="auto"/>
        </w:rPr>
      </w:pPr>
      <w:r>
        <w:rPr>
          <w:rFonts w:ascii="Arial" w:cs="Arial" w:eastAsia="Arial" w:hAnsi="Arial"/>
          <w:sz w:val="19"/>
          <w:szCs w:val="19"/>
          <w:color w:val="auto"/>
        </w:rPr>
        <w:t xml:space="preserve">To insure the availability for delivery of Purchaser’s Unvested Shares upon repurchase by the Company pursuant to the Repurchase Option under Section 1, Purchaser hereby appoints the Secretary, or any other person designated by the Company as escrow agent (the “Escrow Agent”), as its attorney-in-fact to sell, assign and transfer unto the Company, such Unvested Shares, if any, repurchased by the Company pursuant to the Repurchase Option and shall, upon execution of this Agreement, deliver and deposit with the Escrow Agent, the share certificates representing the Unvested Shares, together with the stock assignment duly endorsed in blank, attached hereto as </w:t>
      </w:r>
      <w:r>
        <w:rPr>
          <w:rFonts w:ascii="Arial" w:cs="Arial" w:eastAsia="Arial" w:hAnsi="Arial"/>
          <w:sz w:val="19"/>
          <w:szCs w:val="19"/>
          <w:u w:val="single" w:color="auto"/>
          <w:color w:val="auto"/>
        </w:rPr>
        <w:t>Attachment I</w:t>
      </w:r>
      <w:r>
        <w:rPr>
          <w:rFonts w:ascii="Arial" w:cs="Arial" w:eastAsia="Arial" w:hAnsi="Arial"/>
          <w:sz w:val="19"/>
          <w:szCs w:val="19"/>
          <w:color w:val="auto"/>
        </w:rPr>
        <w:t xml:space="preserve">. The Unvested Shares and stock assignment shall be held by the Escrow Agent in escrow, pursuant to the Joint Escrow Instructions of the Company and Purchaser attached as </w:t>
      </w:r>
      <w:r>
        <w:rPr>
          <w:rFonts w:ascii="Arial" w:cs="Arial" w:eastAsia="Arial" w:hAnsi="Arial"/>
          <w:sz w:val="19"/>
          <w:szCs w:val="19"/>
          <w:u w:val="single" w:color="auto"/>
          <w:color w:val="auto"/>
        </w:rPr>
        <w:t>Attachment II</w:t>
      </w:r>
      <w:r>
        <w:rPr>
          <w:rFonts w:ascii="Arial" w:cs="Arial" w:eastAsia="Arial" w:hAnsi="Arial"/>
          <w:sz w:val="19"/>
          <w:szCs w:val="19"/>
          <w:color w:val="auto"/>
        </w:rPr>
        <w:t xml:space="preserve"> hereto, until the Company exercises its Repurchase Option, until such Unvested Shares are Vested Shares, or until such time as this Agreement no longer is in effect. Upon vesting of the Unvested Shares, the Escrow Agent shall promptly deliver to the Purchaser the certificate or certificates representing such Shares in the Escrow Agent’s possession belonging to the Purchaser, and the Escrow Agent shall be discharged of all further obligations hereunder; provided, however, that the Escrow Agent shall nevertheless retain such certificate or certificates as Escrow Agent if so required pursuant to other restrictions imposed pursuant to this Agreement.</w:t>
      </w:r>
    </w:p>
    <w:p>
      <w:pPr>
        <w:spacing w:after="0" w:line="361" w:lineRule="exact"/>
        <w:rPr>
          <w:rFonts w:ascii="Arial" w:cs="Arial" w:eastAsia="Arial" w:hAnsi="Arial"/>
          <w:sz w:val="19"/>
          <w:szCs w:val="19"/>
          <w:color w:val="auto"/>
        </w:rPr>
      </w:pPr>
    </w:p>
    <w:p>
      <w:pPr>
        <w:ind w:firstLine="1304"/>
        <w:spacing w:after="0" w:line="263" w:lineRule="auto"/>
        <w:tabs>
          <w:tab w:leader="none" w:pos="1762" w:val="left"/>
        </w:tabs>
        <w:numPr>
          <w:ilvl w:val="1"/>
          <w:numId w:val="274"/>
        </w:numPr>
        <w:rPr>
          <w:rFonts w:ascii="Arial" w:cs="Arial" w:eastAsia="Arial" w:hAnsi="Arial"/>
          <w:sz w:val="22"/>
          <w:szCs w:val="22"/>
          <w:color w:val="auto"/>
        </w:rPr>
      </w:pPr>
      <w:r>
        <w:rPr>
          <w:rFonts w:ascii="Arial" w:cs="Arial" w:eastAsia="Arial" w:hAnsi="Arial"/>
          <w:sz w:val="22"/>
          <w:szCs w:val="22"/>
          <w:color w:val="auto"/>
        </w:rPr>
        <w:t>Neither the Company nor the Escrow Agent shall be liable for any act it may do or omit to do with respect to holding the Shares in escrow and while acting in good faith and in the exercise of its judgment.</w:t>
      </w:r>
    </w:p>
    <w:p>
      <w:pPr>
        <w:spacing w:after="0" w:line="120" w:lineRule="exact"/>
        <w:rPr>
          <w:rFonts w:ascii="Arial" w:cs="Arial" w:eastAsia="Arial" w:hAnsi="Arial"/>
          <w:sz w:val="22"/>
          <w:szCs w:val="22"/>
          <w:color w:val="auto"/>
        </w:rPr>
      </w:pPr>
    </w:p>
    <w:p>
      <w:pPr>
        <w:ind w:firstLine="1304"/>
        <w:spacing w:after="0" w:line="263" w:lineRule="auto"/>
        <w:tabs>
          <w:tab w:leader="none" w:pos="1765" w:val="left"/>
        </w:tabs>
        <w:numPr>
          <w:ilvl w:val="1"/>
          <w:numId w:val="274"/>
        </w:numPr>
        <w:rPr>
          <w:rFonts w:ascii="Arial" w:cs="Arial" w:eastAsia="Arial" w:hAnsi="Arial"/>
          <w:sz w:val="22"/>
          <w:szCs w:val="22"/>
          <w:color w:val="auto"/>
        </w:rPr>
      </w:pPr>
      <w:r>
        <w:rPr>
          <w:rFonts w:ascii="Arial" w:cs="Arial" w:eastAsia="Arial" w:hAnsi="Arial"/>
          <w:sz w:val="22"/>
          <w:szCs w:val="22"/>
          <w:color w:val="auto"/>
        </w:rPr>
        <w:t>Transfer or sale of the Shares is subject to restrictions on transfer imposed by any applicable state and federal securities laws. Any transferee shall hold such Shares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340" w:name="page341"/>
    <w:bookmarkEnd w:id="340"/>
    <w:p>
      <w:pPr>
        <w:spacing w:after="0" w:line="263" w:lineRule="auto"/>
        <w:rPr>
          <w:sz w:val="20"/>
          <w:szCs w:val="20"/>
          <w:color w:val="auto"/>
        </w:rPr>
      </w:pPr>
      <w:r>
        <w:rPr>
          <w:rFonts w:ascii="Arial" w:cs="Arial" w:eastAsia="Arial" w:hAnsi="Arial"/>
          <w:sz w:val="22"/>
          <w:szCs w:val="22"/>
          <w:color w:val="auto"/>
        </w:rPr>
        <w:t>to all the provisions hereof and the Exercise Notice executed by the Purchaser with respect to any Unvested Shares purchased by Purchaser and shall acknowledge the same by signing a copy of this Agreement.</w:t>
      </w:r>
    </w:p>
    <w:p>
      <w:pPr>
        <w:spacing w:after="0" w:line="121" w:lineRule="exact"/>
        <w:rPr>
          <w:sz w:val="20"/>
          <w:szCs w:val="20"/>
          <w:color w:val="auto"/>
        </w:rPr>
      </w:pPr>
    </w:p>
    <w:p>
      <w:pPr>
        <w:ind w:firstLine="656"/>
        <w:spacing w:after="0" w:line="263" w:lineRule="auto"/>
        <w:tabs>
          <w:tab w:leader="none" w:pos="1066" w:val="left"/>
        </w:tabs>
        <w:numPr>
          <w:ilvl w:val="0"/>
          <w:numId w:val="275"/>
        </w:numPr>
        <w:rPr>
          <w:rFonts w:ascii="Arial" w:cs="Arial" w:eastAsia="Arial" w:hAnsi="Arial"/>
          <w:sz w:val="22"/>
          <w:szCs w:val="22"/>
          <w:color w:val="auto"/>
        </w:rPr>
      </w:pPr>
      <w:r>
        <w:rPr>
          <w:rFonts w:ascii="Arial" w:cs="Arial" w:eastAsia="Arial" w:hAnsi="Arial"/>
          <w:sz w:val="22"/>
          <w:szCs w:val="22"/>
          <w:u w:val="single" w:color="auto"/>
          <w:color w:val="auto"/>
        </w:rPr>
        <w:t>Ownership, Voting Rights, Duties</w:t>
      </w:r>
      <w:r>
        <w:rPr>
          <w:rFonts w:ascii="Arial" w:cs="Arial" w:eastAsia="Arial" w:hAnsi="Arial"/>
          <w:sz w:val="22"/>
          <w:szCs w:val="22"/>
          <w:color w:val="auto"/>
        </w:rPr>
        <w:t>. This Agreement shall not affect in any way the ownership, voting rights or other rights or duties of Purchaser, except as specifically provided herein.</w:t>
      </w:r>
    </w:p>
    <w:p>
      <w:pPr>
        <w:spacing w:after="0" w:line="120" w:lineRule="exact"/>
        <w:rPr>
          <w:rFonts w:ascii="Arial" w:cs="Arial" w:eastAsia="Arial" w:hAnsi="Arial"/>
          <w:sz w:val="22"/>
          <w:szCs w:val="22"/>
          <w:color w:val="auto"/>
        </w:rPr>
      </w:pPr>
    </w:p>
    <w:p>
      <w:pPr>
        <w:ind w:firstLine="656"/>
        <w:spacing w:after="0" w:line="343" w:lineRule="auto"/>
        <w:tabs>
          <w:tab w:leader="none" w:pos="1026" w:val="left"/>
        </w:tabs>
        <w:numPr>
          <w:ilvl w:val="0"/>
          <w:numId w:val="275"/>
        </w:numPr>
        <w:rPr>
          <w:rFonts w:ascii="Arial" w:cs="Arial" w:eastAsia="Arial" w:hAnsi="Arial"/>
          <w:sz w:val="19"/>
          <w:szCs w:val="19"/>
          <w:color w:val="auto"/>
        </w:rPr>
      </w:pPr>
      <w:r>
        <w:rPr>
          <w:rFonts w:ascii="Arial" w:cs="Arial" w:eastAsia="Arial" w:hAnsi="Arial"/>
          <w:sz w:val="19"/>
          <w:szCs w:val="19"/>
          <w:u w:val="single" w:color="auto"/>
          <w:color w:val="auto"/>
        </w:rPr>
        <w:t>Legends</w:t>
      </w:r>
      <w:r>
        <w:rPr>
          <w:rFonts w:ascii="Arial" w:cs="Arial" w:eastAsia="Arial" w:hAnsi="Arial"/>
          <w:sz w:val="19"/>
          <w:szCs w:val="19"/>
          <w:color w:val="auto"/>
        </w:rPr>
        <w:t>. The share certificate evidencing the Shares issued hereunder shall be endorsed with the following legend (in addition to any legend required under applicable federal and state securities laws or set forth in the Exercise Notice):</w:t>
      </w:r>
    </w:p>
    <w:p>
      <w:pPr>
        <w:spacing w:after="0" w:line="50" w:lineRule="exact"/>
        <w:rPr>
          <w:sz w:val="20"/>
          <w:szCs w:val="20"/>
          <w:color w:val="auto"/>
        </w:rPr>
      </w:pPr>
    </w:p>
    <w:p>
      <w:pPr>
        <w:jc w:val="both"/>
        <w:ind w:left="1300"/>
        <w:spacing w:after="0" w:line="250" w:lineRule="auto"/>
        <w:rPr>
          <w:sz w:val="20"/>
          <w:szCs w:val="20"/>
          <w:color w:val="auto"/>
        </w:rPr>
      </w:pPr>
      <w:r>
        <w:rPr>
          <w:rFonts w:ascii="Arial" w:cs="Arial" w:eastAsia="Arial" w:hAnsi="Arial"/>
          <w:sz w:val="22"/>
          <w:szCs w:val="22"/>
          <w:color w:val="auto"/>
        </w:rPr>
        <w:t>THE SHARES REPRESENTED BY THIS CERTIFICATE ARE SUBJECT TO CERTAIN RESTRICTIONS UPON TRANSFER AND RIGHTS OF REPURCHASE AS SET FORTH IN AN AGREEMENT BETWEEN THE COMPANY AND THE STOCKHOLDER, A COPY OF WHICH IS ON FILE WITH THE SECRETARY OF THE COMPANY.</w:t>
      </w:r>
    </w:p>
    <w:p>
      <w:pPr>
        <w:spacing w:after="0" w:line="134" w:lineRule="exact"/>
        <w:rPr>
          <w:sz w:val="20"/>
          <w:szCs w:val="20"/>
          <w:color w:val="auto"/>
        </w:rPr>
      </w:pPr>
    </w:p>
    <w:p>
      <w:pPr>
        <w:jc w:val="both"/>
        <w:ind w:firstLine="656"/>
        <w:spacing w:after="0" w:line="253" w:lineRule="auto"/>
        <w:tabs>
          <w:tab w:leader="none" w:pos="1134" w:val="left"/>
        </w:tabs>
        <w:numPr>
          <w:ilvl w:val="0"/>
          <w:numId w:val="276"/>
        </w:numPr>
        <w:rPr>
          <w:rFonts w:ascii="Arial" w:cs="Arial" w:eastAsia="Arial" w:hAnsi="Arial"/>
          <w:sz w:val="22"/>
          <w:szCs w:val="22"/>
          <w:color w:val="auto"/>
        </w:rPr>
      </w:pPr>
      <w:r>
        <w:rPr>
          <w:rFonts w:ascii="Arial" w:cs="Arial" w:eastAsia="Arial" w:hAnsi="Arial"/>
          <w:sz w:val="22"/>
          <w:szCs w:val="22"/>
          <w:u w:val="single" w:color="auto"/>
          <w:color w:val="auto"/>
        </w:rPr>
        <w:t>Adjustment for Stock Split</w:t>
      </w:r>
      <w:r>
        <w:rPr>
          <w:rFonts w:ascii="Arial" w:cs="Arial" w:eastAsia="Arial" w:hAnsi="Arial"/>
          <w:sz w:val="22"/>
          <w:szCs w:val="22"/>
          <w:color w:val="auto"/>
        </w:rPr>
        <w:t>. All references to the number of Shares and the purchase price of the Shares in this Agreement shall be appropriately adjusted to reflect any stock split, stock dividend or other change in the Shares, which may be made by the Company pursuant to Section 13 of the Plan after the date of this Agreement.</w:t>
      </w:r>
    </w:p>
    <w:p>
      <w:pPr>
        <w:spacing w:after="0" w:line="131" w:lineRule="exact"/>
        <w:rPr>
          <w:rFonts w:ascii="Arial" w:cs="Arial" w:eastAsia="Arial" w:hAnsi="Arial"/>
          <w:sz w:val="22"/>
          <w:szCs w:val="22"/>
          <w:color w:val="auto"/>
        </w:rPr>
      </w:pPr>
    </w:p>
    <w:p>
      <w:pPr>
        <w:ind w:firstLine="656"/>
        <w:spacing w:after="0" w:line="287" w:lineRule="auto"/>
        <w:tabs>
          <w:tab w:leader="none" w:pos="1039" w:val="left"/>
        </w:tabs>
        <w:numPr>
          <w:ilvl w:val="0"/>
          <w:numId w:val="276"/>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Notices required hereunder shall be given in person or by registered mail to the address of Purchaser shown on the records of the Company, and to the Company at their respective principal executive offices.</w:t>
      </w:r>
    </w:p>
    <w:p>
      <w:pPr>
        <w:spacing w:after="0" w:line="97" w:lineRule="exact"/>
        <w:rPr>
          <w:rFonts w:ascii="Arial" w:cs="Arial" w:eastAsia="Arial" w:hAnsi="Arial"/>
          <w:sz w:val="21"/>
          <w:szCs w:val="21"/>
          <w:color w:val="auto"/>
        </w:rPr>
      </w:pPr>
    </w:p>
    <w:p>
      <w:pPr>
        <w:ind w:right="20" w:firstLine="656"/>
        <w:spacing w:after="0" w:line="263" w:lineRule="auto"/>
        <w:tabs>
          <w:tab w:leader="none" w:pos="1026" w:val="left"/>
        </w:tabs>
        <w:numPr>
          <w:ilvl w:val="0"/>
          <w:numId w:val="276"/>
        </w:numPr>
        <w:rPr>
          <w:rFonts w:ascii="Arial" w:cs="Arial" w:eastAsia="Arial" w:hAnsi="Arial"/>
          <w:sz w:val="22"/>
          <w:szCs w:val="22"/>
          <w:color w:val="auto"/>
        </w:rPr>
      </w:pPr>
      <w:r>
        <w:rPr>
          <w:rFonts w:ascii="Arial" w:cs="Arial" w:eastAsia="Arial" w:hAnsi="Arial"/>
          <w:sz w:val="22"/>
          <w:szCs w:val="22"/>
          <w:u w:val="single" w:color="auto"/>
          <w:color w:val="auto"/>
        </w:rPr>
        <w:t>Survival of Terms</w:t>
      </w:r>
      <w:r>
        <w:rPr>
          <w:rFonts w:ascii="Arial" w:cs="Arial" w:eastAsia="Arial" w:hAnsi="Arial"/>
          <w:sz w:val="22"/>
          <w:szCs w:val="22"/>
          <w:color w:val="auto"/>
        </w:rPr>
        <w:t>. This Agreement shall apply to and bind Purchaser and the Company and their respective permitted assignees and transferees, heirs, legatees, executors, administrators and legal successors.</w:t>
      </w:r>
    </w:p>
    <w:p>
      <w:pPr>
        <w:spacing w:after="0" w:line="120" w:lineRule="exact"/>
        <w:rPr>
          <w:rFonts w:ascii="Arial" w:cs="Arial" w:eastAsia="Arial" w:hAnsi="Arial"/>
          <w:sz w:val="22"/>
          <w:szCs w:val="22"/>
          <w:color w:val="auto"/>
        </w:rPr>
      </w:pPr>
    </w:p>
    <w:p>
      <w:pPr>
        <w:jc w:val="both"/>
        <w:ind w:firstLine="656"/>
        <w:spacing w:after="0" w:line="287" w:lineRule="auto"/>
        <w:tabs>
          <w:tab w:leader="none" w:pos="1107" w:val="left"/>
        </w:tabs>
        <w:numPr>
          <w:ilvl w:val="0"/>
          <w:numId w:val="276"/>
        </w:numPr>
        <w:rPr>
          <w:rFonts w:ascii="Arial" w:cs="Arial" w:eastAsia="Arial" w:hAnsi="Arial"/>
          <w:sz w:val="19"/>
          <w:szCs w:val="19"/>
          <w:color w:val="auto"/>
        </w:rPr>
      </w:pPr>
      <w:r>
        <w:rPr>
          <w:rFonts w:ascii="Arial" w:cs="Arial" w:eastAsia="Arial" w:hAnsi="Arial"/>
          <w:sz w:val="19"/>
          <w:szCs w:val="19"/>
          <w:u w:val="single" w:color="auto"/>
          <w:color w:val="auto"/>
        </w:rPr>
        <w:t>Section 83(b) Election</w:t>
      </w:r>
      <w:r>
        <w:rPr>
          <w:rFonts w:ascii="Arial" w:cs="Arial" w:eastAsia="Arial" w:hAnsi="Arial"/>
          <w:sz w:val="19"/>
          <w:szCs w:val="19"/>
          <w:color w:val="auto"/>
        </w:rPr>
        <w:t>. Purchaser hereby acknowledges that he or she has been informed that, with respect to the exercise of an Option for Unvested Shares, an election (the “Election”) may be filed by the Purchaser with the Internal Revenue Service, within thirty (30) days of the purchase of the exercised Shares, electing pursuant to Section 83(b) of the Code to be taxed currently on any difference between the purchase price of the exercised Shares and their Fair Market Value on the date of purchase. In the case of a Nonstatutory Stock Option, this will result in the recognition of taxable income to the Purchaser on the date of exercise, measured by the excess, if any, of the Fair Market Value of the exercised Shares, at the time the Option is exercised over the purchase price for the exercised Shares. Absent such an Election, taxable income will be measured and recognized by Purchaser at the time or times on which the Company’s Repurchase Option lapses. In the case of an Incentive Stock Option, such an Election will result in a recognition of income to the Purchaser for alternative minimum tax purposes on the date of exercise, measured by the excess, if any, of the Fair Market Value of the exercised Shares, at the time the option is exercised, over the purchase price for the exercised Shares. Absent such an Election, alternative minimum taxable income will be measured and recognized by Purchaser at the time or times on which the Company’s Repurchase Option lapses.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341" w:name="page342"/>
    <w:bookmarkEnd w:id="341"/>
    <w:p>
      <w:pPr>
        <w:jc w:val="both"/>
        <w:ind w:firstLine="648"/>
        <w:spacing w:after="0" w:line="247" w:lineRule="auto"/>
        <w:rPr>
          <w:sz w:val="20"/>
          <w:szCs w:val="20"/>
          <w:color w:val="auto"/>
        </w:rPr>
      </w:pPr>
      <w:r>
        <w:rPr>
          <w:rFonts w:ascii="Arial" w:cs="Arial" w:eastAsia="Arial" w:hAnsi="Arial"/>
          <w:sz w:val="22"/>
          <w:szCs w:val="22"/>
          <w:color w:val="auto"/>
        </w:rPr>
        <w:t xml:space="preserve">This discussion is intended only as a summary of the general United States income tax laws that apply to exercising Options as to Shares that have not yet vested and is accurate only as of the date this form Agreement was approved by the Board. The federal, state and local tax consequences to any particular taxpayer will depend upon his or her individual circumstances. Purchaser is strongly encouraged to seek the advice of his or her own tax consultants in connection with the purchase of the Shares and the advisability of filing of the Election under Section 83(b) of the Code. A form of Election under Section 83(b) is attached hereto as </w:t>
      </w:r>
      <w:r>
        <w:rPr>
          <w:rFonts w:ascii="Arial" w:cs="Arial" w:eastAsia="Arial" w:hAnsi="Arial"/>
          <w:sz w:val="22"/>
          <w:szCs w:val="22"/>
          <w:u w:val="single" w:color="auto"/>
          <w:color w:val="auto"/>
        </w:rPr>
        <w:t>Attachment III</w:t>
      </w:r>
      <w:r>
        <w:rPr>
          <w:rFonts w:ascii="Arial" w:cs="Arial" w:eastAsia="Arial" w:hAnsi="Arial"/>
          <w:sz w:val="22"/>
          <w:szCs w:val="22"/>
          <w:color w:val="auto"/>
        </w:rPr>
        <w:t xml:space="preserve"> for reference.</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PURCHASER ACKNOWLEDGES THAT IT IS PURCHASER’S SOLE RESPONSIBILITY AND NOT THE COMPANY’S TO FILE TIMELY THE ELECTION UNDER SECTION 83(b) OF THE CODE, EVEN IF PURCHASER REQUESTS THE COMPANY OR ITS REPRESENTATIVE TO MAKE THIS FILING ON PURCHASER’S BEHALF.</w:t>
      </w:r>
    </w:p>
    <w:p>
      <w:pPr>
        <w:spacing w:after="0" w:line="131" w:lineRule="exact"/>
        <w:rPr>
          <w:sz w:val="20"/>
          <w:szCs w:val="20"/>
          <w:color w:val="auto"/>
        </w:rPr>
      </w:pPr>
    </w:p>
    <w:p>
      <w:pPr>
        <w:jc w:val="both"/>
        <w:ind w:firstLine="656"/>
        <w:spacing w:after="0" w:line="248" w:lineRule="auto"/>
        <w:tabs>
          <w:tab w:leader="none" w:pos="1107" w:val="left"/>
        </w:tabs>
        <w:numPr>
          <w:ilvl w:val="0"/>
          <w:numId w:val="277"/>
        </w:numPr>
        <w:rPr>
          <w:rFonts w:ascii="Arial" w:cs="Arial" w:eastAsia="Arial" w:hAnsi="Arial"/>
          <w:sz w:val="22"/>
          <w:szCs w:val="22"/>
          <w:color w:val="auto"/>
        </w:rPr>
      </w:pPr>
      <w:r>
        <w:rPr>
          <w:rFonts w:ascii="Arial" w:cs="Arial" w:eastAsia="Arial" w:hAnsi="Arial"/>
          <w:sz w:val="22"/>
          <w:szCs w:val="22"/>
          <w:u w:val="single" w:color="auto"/>
          <w:color w:val="auto"/>
        </w:rPr>
        <w:t>Representations</w:t>
      </w:r>
      <w:r>
        <w:rPr>
          <w:rFonts w:ascii="Arial" w:cs="Arial" w:eastAsia="Arial" w:hAnsi="Arial"/>
          <w:sz w:val="22"/>
          <w:szCs w:val="22"/>
          <w:color w:val="auto"/>
        </w:rPr>
        <w:t>. Purchaser has reviewed with his or her own tax advisors the federal, state, local and foreign tax consequences of this investment and the transactions contemplated by this Agreement. Purchaser is relying solely on such advisors and not on any statements or representations of the Company or any of its agents. Purchaser understands that he or she (and not the Company) shall be responsible for his or her own tax liability that may arise as a result of this investment or the transactions contemplated by this Agreement.</w:t>
      </w:r>
    </w:p>
    <w:p>
      <w:pPr>
        <w:spacing w:after="0" w:line="137" w:lineRule="exact"/>
        <w:rPr>
          <w:rFonts w:ascii="Arial" w:cs="Arial" w:eastAsia="Arial" w:hAnsi="Arial"/>
          <w:sz w:val="22"/>
          <w:szCs w:val="22"/>
          <w:color w:val="auto"/>
        </w:rPr>
      </w:pPr>
    </w:p>
    <w:p>
      <w:pPr>
        <w:jc w:val="both"/>
        <w:ind w:firstLine="656"/>
        <w:spacing w:after="0" w:line="261" w:lineRule="auto"/>
        <w:tabs>
          <w:tab w:leader="none" w:pos="1134" w:val="left"/>
        </w:tabs>
        <w:numPr>
          <w:ilvl w:val="0"/>
          <w:numId w:val="277"/>
        </w:numPr>
        <w:rPr>
          <w:rFonts w:ascii="Arial" w:cs="Arial" w:eastAsia="Arial" w:hAnsi="Arial"/>
          <w:sz w:val="21"/>
          <w:szCs w:val="21"/>
          <w:color w:val="auto"/>
        </w:rPr>
      </w:pPr>
      <w:r>
        <w:rPr>
          <w:rFonts w:ascii="Arial" w:cs="Arial" w:eastAsia="Arial" w:hAnsi="Arial"/>
          <w:sz w:val="21"/>
          <w:szCs w:val="21"/>
          <w:u w:val="single" w:color="auto"/>
          <w:color w:val="auto"/>
        </w:rPr>
        <w:t>Entire Agreement; Governing Law</w:t>
      </w:r>
      <w:r>
        <w:rPr>
          <w:rFonts w:ascii="Arial" w:cs="Arial" w:eastAsia="Arial" w:hAnsi="Arial"/>
          <w:sz w:val="21"/>
          <w:szCs w:val="21"/>
          <w:color w:val="auto"/>
        </w:rPr>
        <w:t>. The Plan and Option Agreement are incorporated herein by reference. The Plan, the Option Agreement, the Exercise Notice, this Agreement, and the Investment Representation Statement constitute the entire agreement of the parties with respect to the subject matter hereof and supersede in their entirety all prior undertakings and agreements of the Company and Purchaser with respect to the subject matter hereof, and may not be modified adversely to the Purchaser’s interest except by means of a writing signed by the Company and Purchaser. This Agreement is governed by the internal substantive laws but not the choice of law rules of California.</w:t>
      </w:r>
    </w:p>
    <w:p>
      <w:pPr>
        <w:spacing w:after="0" w:line="125"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Purchaser represents that he or she has read this Agreement and is familiar with its terms and provisions. Purchaser hereby agrees to accept as binding, conclusive and final all decisions or interpretations of the Board upon any questions arising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342" w:name="page343"/>
    <w:bookmarkEnd w:id="342"/>
    <w:p>
      <w:pPr>
        <w:ind w:left="640"/>
        <w:spacing w:after="0"/>
        <w:rPr>
          <w:sz w:val="20"/>
          <w:szCs w:val="20"/>
          <w:color w:val="auto"/>
        </w:rPr>
      </w:pPr>
      <w:r>
        <w:rPr>
          <w:rFonts w:ascii="Arial" w:cs="Arial" w:eastAsia="Arial" w:hAnsi="Arial"/>
          <w:sz w:val="21"/>
          <w:szCs w:val="21"/>
          <w:color w:val="auto"/>
        </w:rPr>
        <w:t>IN WITNESS WHEREOF, this Agreement is deemed made as of the date first set forth above.</w:t>
      </w:r>
    </w:p>
    <w:p>
      <w:pPr>
        <w:spacing w:after="0" w:line="225" w:lineRule="exact"/>
        <w:rPr>
          <w:sz w:val="20"/>
          <w:szCs w:val="20"/>
          <w:color w:val="auto"/>
        </w:rPr>
      </w:pPr>
    </w:p>
    <w:p>
      <w:pPr>
        <w:spacing w:after="0"/>
        <w:tabs>
          <w:tab w:leader="none" w:pos="5500" w:val="left"/>
        </w:tabs>
        <w:rPr>
          <w:sz w:val="20"/>
          <w:szCs w:val="20"/>
          <w:color w:val="auto"/>
        </w:rPr>
      </w:pPr>
      <w:r>
        <w:rPr>
          <w:rFonts w:ascii="Arial" w:cs="Arial" w:eastAsia="Arial" w:hAnsi="Arial"/>
          <w:sz w:val="22"/>
          <w:szCs w:val="22"/>
          <w:b w:val="1"/>
          <w:bCs w:val="1"/>
          <w:color w:val="auto"/>
        </w:rPr>
        <w:t>PARTICIPANT</w:t>
      </w:r>
      <w:r>
        <w:rPr>
          <w:sz w:val="20"/>
          <w:szCs w:val="20"/>
          <w:color w:val="auto"/>
        </w:rPr>
        <w:tab/>
      </w:r>
      <w:r>
        <w:rPr>
          <w:rFonts w:ascii="Arial" w:cs="Arial" w:eastAsia="Arial" w:hAnsi="Arial"/>
          <w:sz w:val="22"/>
          <w:szCs w:val="22"/>
          <w:b w:val="1"/>
          <w:bCs w:val="1"/>
          <w:color w:val="auto"/>
        </w:rPr>
        <w:t>NERDWALLET, INC.</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[[FIRST NAME]] [[LAST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32315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color w:val="auto"/>
        </w:rPr>
        <w:t>Name of Grantee</w:t>
      </w:r>
    </w:p>
    <w:p>
      <w:pPr>
        <w:spacing w:after="0" w:line="314"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3498215</wp:posOffset>
            </wp:positionH>
            <wp:positionV relativeFrom="paragraph">
              <wp:posOffset>24130</wp:posOffset>
            </wp:positionV>
            <wp:extent cx="362585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51"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Tim Chen, President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323151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color w:val="auto"/>
        </w:rPr>
        <w:t>Residence Address: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[[RESADDR1]] [[RESADDR2]]</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[[RESCITY]], [[RESSTATEORPROV]]</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[[RESPOSTALCODE]]</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 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119"/>
          </w:cols>
          <w:pgMar w:left="340" w:top="1428" w:right="1440" w:bottom="1440" w:gutter="0" w:footer="0" w:header="0"/>
        </w:sectPr>
      </w:pPr>
    </w:p>
    <w:bookmarkStart w:id="343" w:name="page344"/>
    <w:bookmarkEnd w:id="343"/>
    <w:p>
      <w:pPr>
        <w:ind w:left="4780"/>
        <w:spacing w:after="0"/>
        <w:rPr>
          <w:sz w:val="20"/>
          <w:szCs w:val="20"/>
          <w:color w:val="auto"/>
        </w:rPr>
      </w:pPr>
      <w:r>
        <w:rPr>
          <w:rFonts w:ascii="Arial" w:cs="Arial" w:eastAsia="Arial" w:hAnsi="Arial"/>
          <w:sz w:val="22"/>
          <w:szCs w:val="22"/>
          <w:b w:val="1"/>
          <w:bCs w:val="1"/>
          <w:u w:val="single" w:color="auto"/>
          <w:color w:val="auto"/>
        </w:rPr>
        <w:t>ATTACHMENT I</w:t>
      </w:r>
    </w:p>
    <w:p>
      <w:pPr>
        <w:spacing w:after="0" w:line="166" w:lineRule="exact"/>
        <w:rPr>
          <w:sz w:val="20"/>
          <w:szCs w:val="20"/>
          <w:color w:val="auto"/>
        </w:rPr>
      </w:pPr>
    </w:p>
    <w:p>
      <w:pPr>
        <w:ind w:left="3180"/>
        <w:spacing w:after="0"/>
        <w:rPr>
          <w:sz w:val="20"/>
          <w:szCs w:val="20"/>
          <w:color w:val="auto"/>
        </w:rPr>
      </w:pPr>
      <w:r>
        <w:rPr>
          <w:rFonts w:ascii="Arial" w:cs="Arial" w:eastAsia="Arial" w:hAnsi="Arial"/>
          <w:sz w:val="22"/>
          <w:szCs w:val="22"/>
          <w:b w:val="1"/>
          <w:bCs w:val="1"/>
          <w:color w:val="auto"/>
        </w:rPr>
        <w:t>ASSIGNMENT SEPARATE FROM CERTIFICATE</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FOR VALUE RECEIVED I, [[FIRST NAME]] [[LAST NAME]], hereby sell, assign and transfer unto NerdWallet, Inc.</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_____________ shares of the Common Stock of NerdWallet, Inc. standing in my name of the books of said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represented by Certificate No. _____ herewith and do hereby irrevocably constitute and appoint __________________________</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to transfer the said stock on the books of the within named corporation with full power of substitution in the premises.</w:t>
      </w:r>
    </w:p>
    <w:p>
      <w:pPr>
        <w:spacing w:after="0" w:line="15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This Stock Assignment may be used only in accordance with the Restricted Stock Purchase Agreement between NerdWallet, Inc. and the undersigned dated ______________, _____ (the “Agreement”).</w:t>
      </w:r>
    </w:p>
    <w:p>
      <w:pPr>
        <w:spacing w:after="0" w:line="175"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22"/>
          <w:szCs w:val="22"/>
          <w:color w:val="auto"/>
        </w:rPr>
        <w:t>Dated: _______________,____</w:t>
      </w:r>
      <w:r>
        <w:rPr>
          <w:sz w:val="20"/>
          <w:szCs w:val="20"/>
          <w:color w:val="auto"/>
        </w:rPr>
        <w:tab/>
      </w:r>
      <w:r>
        <w:rPr>
          <w:rFonts w:ascii="Arial" w:cs="Arial" w:eastAsia="Arial" w:hAnsi="Arial"/>
          <w:sz w:val="19"/>
          <w:szCs w:val="19"/>
          <w:color w:val="auto"/>
        </w:rPr>
        <w:t>Signature:____________________________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INSTRUCTIONS: Please do not fill in any blanks other than the signature line. The purpose of this assignment is to enable the Company to exercise its “repurchase option,” as set forth in the Agreement, without requiring additional signatures on the part of the Purchaser.</w:t>
      </w:r>
    </w:p>
    <w:p>
      <w:pPr>
        <w:sectPr>
          <w:pgSz w:w="11900" w:h="16838" w:orient="portrait"/>
          <w:cols w:equalWidth="0" w:num="1">
            <w:col w:w="11240"/>
          </w:cols>
          <w:pgMar w:left="320" w:top="1422" w:right="339" w:bottom="1440" w:gutter="0" w:footer="0" w:header="0"/>
        </w:sectPr>
      </w:pPr>
    </w:p>
    <w:bookmarkStart w:id="344" w:name="page345"/>
    <w:bookmarkEnd w:id="344"/>
    <w:p>
      <w:pPr>
        <w:jc w:val="center"/>
        <w:spacing w:after="0"/>
        <w:rPr>
          <w:sz w:val="20"/>
          <w:szCs w:val="20"/>
          <w:color w:val="auto"/>
        </w:rPr>
      </w:pPr>
      <w:r>
        <w:rPr>
          <w:rFonts w:ascii="Arial" w:cs="Arial" w:eastAsia="Arial" w:hAnsi="Arial"/>
          <w:sz w:val="22"/>
          <w:szCs w:val="22"/>
          <w:b w:val="1"/>
          <w:bCs w:val="1"/>
          <w:u w:val="single" w:color="auto"/>
          <w:color w:val="auto"/>
        </w:rPr>
        <w:t>ATTACHMENT II</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ESCROW INSTRUCTIONS</w:t>
      </w:r>
    </w:p>
    <w:p>
      <w:pPr>
        <w:spacing w:after="0" w:line="172" w:lineRule="exact"/>
        <w:rPr>
          <w:sz w:val="20"/>
          <w:szCs w:val="20"/>
          <w:color w:val="auto"/>
        </w:rPr>
      </w:pPr>
    </w:p>
    <w:p>
      <w:pPr>
        <w:ind w:left="8860"/>
        <w:spacing w:after="0"/>
        <w:rPr>
          <w:sz w:val="20"/>
          <w:szCs w:val="20"/>
          <w:color w:val="auto"/>
        </w:rPr>
      </w:pPr>
      <w:r>
        <w:rPr>
          <w:rFonts w:ascii="Arial" w:cs="Arial" w:eastAsia="Arial" w:hAnsi="Arial"/>
          <w:sz w:val="19"/>
          <w:szCs w:val="19"/>
          <w:color w:val="auto"/>
        </w:rPr>
        <w:t>_________________, ____</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Corporate Secretary</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NerdWallet,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875 Stevenson Street, 5th Floor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San Francisco, CA 94103</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Dear Robert:</w:t>
      </w:r>
    </w:p>
    <w:p>
      <w:pPr>
        <w:spacing w:after="0" w:line="16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As Escrow Agent for both NerdWallet, Inc. (the “Company”), and the undersigned purchaser of stock of the Company (the “Purchaser”), you are hereby authorized and directed to hold the documents delivered to you pursuant to the terms of that certain Restricted Stock Purchase Agreement (the “Agreement”) between the Company and the undersigned, in accordance with the following instructions:</w:t>
      </w:r>
    </w:p>
    <w:p>
      <w:pPr>
        <w:spacing w:after="0" w:line="134" w:lineRule="exact"/>
        <w:rPr>
          <w:sz w:val="20"/>
          <w:szCs w:val="20"/>
          <w:color w:val="auto"/>
        </w:rPr>
      </w:pPr>
    </w:p>
    <w:p>
      <w:pPr>
        <w:jc w:val="both"/>
        <w:ind w:firstLine="656"/>
        <w:spacing w:after="0" w:line="297" w:lineRule="auto"/>
        <w:tabs>
          <w:tab w:leader="none" w:pos="1041" w:val="left"/>
        </w:tabs>
        <w:numPr>
          <w:ilvl w:val="0"/>
          <w:numId w:val="278"/>
        </w:numPr>
        <w:rPr>
          <w:rFonts w:ascii="Arial" w:cs="Arial" w:eastAsia="Arial" w:hAnsi="Arial"/>
          <w:sz w:val="19"/>
          <w:szCs w:val="19"/>
          <w:color w:val="auto"/>
        </w:rPr>
      </w:pPr>
      <w:r>
        <w:rPr>
          <w:rFonts w:ascii="Arial" w:cs="Arial" w:eastAsia="Arial" w:hAnsi="Arial"/>
          <w:sz w:val="19"/>
          <w:szCs w:val="19"/>
          <w:color w:val="auto"/>
        </w:rPr>
        <w:t>In the event the Company and/or any assignee of the Company (referred to collectively for convenience herein as the “Company”) exercises the Company’s repurchase option set forth in the Agreement, the Company shall give to Purchaser and you a written notice specifying the number of shares of stock to be purchased, the purchase price, and the time for a closing hereunder at the principal office of the Company. Purchaser and the Company hereby irrevocably authorize and direct you to close the transaction contemplated by such notice in accordance with the terms of said notice.</w:t>
      </w:r>
    </w:p>
    <w:p>
      <w:pPr>
        <w:spacing w:after="0" w:line="92" w:lineRule="exact"/>
        <w:rPr>
          <w:rFonts w:ascii="Arial" w:cs="Arial" w:eastAsia="Arial" w:hAnsi="Arial"/>
          <w:sz w:val="19"/>
          <w:szCs w:val="19"/>
          <w:color w:val="auto"/>
        </w:rPr>
      </w:pPr>
    </w:p>
    <w:p>
      <w:pPr>
        <w:jc w:val="both"/>
        <w:ind w:firstLine="656"/>
        <w:spacing w:after="0" w:line="248" w:lineRule="auto"/>
        <w:tabs>
          <w:tab w:leader="none" w:pos="1059" w:val="left"/>
        </w:tabs>
        <w:numPr>
          <w:ilvl w:val="0"/>
          <w:numId w:val="278"/>
        </w:numPr>
        <w:rPr>
          <w:rFonts w:ascii="Arial" w:cs="Arial" w:eastAsia="Arial" w:hAnsi="Arial"/>
          <w:sz w:val="22"/>
          <w:szCs w:val="22"/>
          <w:color w:val="auto"/>
        </w:rPr>
      </w:pPr>
      <w:r>
        <w:rPr>
          <w:rFonts w:ascii="Arial" w:cs="Arial" w:eastAsia="Arial" w:hAnsi="Arial"/>
          <w:sz w:val="22"/>
          <w:szCs w:val="22"/>
          <w:color w:val="auto"/>
        </w:rPr>
        <w:t>At the closing, you are directed (a) to date the stock assignments necessary for the transfer in question, (b) to fill in the number of shares being transferred, and (c) to deliver the stock assignments, together with the certificate evidencing the shares of stock to be transferred, to the Company or its assignee, against the simultaneous delivery to you of the purchase price (by cash, a check, or some combination thereof) for the number of shares of stock being purchased pursuant to the exercise of the Company’s repurchase option.</w:t>
      </w:r>
    </w:p>
    <w:p>
      <w:pPr>
        <w:spacing w:after="0" w:line="137" w:lineRule="exact"/>
        <w:rPr>
          <w:rFonts w:ascii="Arial" w:cs="Arial" w:eastAsia="Arial" w:hAnsi="Arial"/>
          <w:sz w:val="22"/>
          <w:szCs w:val="22"/>
          <w:color w:val="auto"/>
        </w:rPr>
      </w:pPr>
    </w:p>
    <w:p>
      <w:pPr>
        <w:jc w:val="both"/>
        <w:ind w:firstLine="656"/>
        <w:spacing w:after="0" w:line="292" w:lineRule="auto"/>
        <w:tabs>
          <w:tab w:leader="none" w:pos="1077" w:val="left"/>
        </w:tabs>
        <w:numPr>
          <w:ilvl w:val="0"/>
          <w:numId w:val="278"/>
        </w:numPr>
        <w:rPr>
          <w:rFonts w:ascii="Arial" w:cs="Arial" w:eastAsia="Arial" w:hAnsi="Arial"/>
          <w:sz w:val="19"/>
          <w:szCs w:val="19"/>
          <w:color w:val="auto"/>
        </w:rPr>
      </w:pPr>
      <w:r>
        <w:rPr>
          <w:rFonts w:ascii="Arial" w:cs="Arial" w:eastAsia="Arial" w:hAnsi="Arial"/>
          <w:sz w:val="19"/>
          <w:szCs w:val="19"/>
          <w:color w:val="auto"/>
        </w:rPr>
        <w:t>Purchaser irrevocably authorizes the Company to deposit with you any certificates evidencing shares of stock to be held by you hereunder and any additions and substitutions to said shares as defined in the Agreement. Purchaser does hereby irrevocably constitute and appoint you as Purchaser’s attorney-in-fact and agent for the term of this escrow to execute with respect to such securities all documents necessary or appropriate to make such securities negotiable and to complete any transaction herein contemplated, including but not limited to the filing with any applicable state blue sky authority of any required applications for consent to, or notice of transfer of, the securities. Subject to the provisions of this paragraph 3, Purchaser shall exercise all rights and privileges of a stockholder of the Company while the stock is held by you.</w:t>
      </w:r>
    </w:p>
    <w:p>
      <w:pPr>
        <w:spacing w:after="0" w:line="96" w:lineRule="exact"/>
        <w:rPr>
          <w:rFonts w:ascii="Arial" w:cs="Arial" w:eastAsia="Arial" w:hAnsi="Arial"/>
          <w:sz w:val="19"/>
          <w:szCs w:val="19"/>
          <w:color w:val="auto"/>
        </w:rPr>
      </w:pPr>
    </w:p>
    <w:p>
      <w:pPr>
        <w:jc w:val="both"/>
        <w:ind w:firstLine="656"/>
        <w:spacing w:after="0" w:line="312" w:lineRule="auto"/>
        <w:tabs>
          <w:tab w:leader="none" w:pos="1095" w:val="left"/>
        </w:tabs>
        <w:numPr>
          <w:ilvl w:val="0"/>
          <w:numId w:val="278"/>
        </w:numPr>
        <w:rPr>
          <w:rFonts w:ascii="Arial" w:cs="Arial" w:eastAsia="Arial" w:hAnsi="Arial"/>
          <w:sz w:val="19"/>
          <w:szCs w:val="19"/>
          <w:color w:val="auto"/>
        </w:rPr>
      </w:pPr>
      <w:r>
        <w:rPr>
          <w:rFonts w:ascii="Arial" w:cs="Arial" w:eastAsia="Arial" w:hAnsi="Arial"/>
          <w:sz w:val="19"/>
          <w:szCs w:val="19"/>
          <w:color w:val="auto"/>
        </w:rPr>
        <w:t>Upon written request of the Purchaser, but no more than once per calendar year, unless the Company’s repurchase option has been exercised, you shall deliver to Purchaser a certificate or certificates representing so many shares of stock as are not then subject to the Company’s repurchase option. Within one hundred and twenty (120) days after cessation of</w:t>
      </w:r>
    </w:p>
    <w:p>
      <w:pPr>
        <w:sectPr>
          <w:pgSz w:w="11900" w:h="16838" w:orient="portrait"/>
          <w:cols w:equalWidth="0" w:num="1">
            <w:col w:w="11240"/>
          </w:cols>
          <w:pgMar w:left="320" w:top="1422" w:right="339" w:bottom="1440" w:gutter="0" w:footer="0" w:header="0"/>
        </w:sectPr>
      </w:pPr>
    </w:p>
    <w:bookmarkStart w:id="345" w:name="page346"/>
    <w:bookmarkEnd w:id="345"/>
    <w:p>
      <w:pPr>
        <w:jc w:val="both"/>
        <w:spacing w:after="0" w:line="312" w:lineRule="auto"/>
        <w:rPr>
          <w:sz w:val="20"/>
          <w:szCs w:val="20"/>
          <w:color w:val="auto"/>
        </w:rPr>
      </w:pPr>
      <w:r>
        <w:rPr>
          <w:rFonts w:ascii="Arial" w:cs="Arial" w:eastAsia="Arial" w:hAnsi="Arial"/>
          <w:sz w:val="19"/>
          <w:szCs w:val="19"/>
          <w:color w:val="auto"/>
        </w:rPr>
        <w:t>Purchaser’s continuous employment by or services to the Company, or any parent or subsidiary of the Company, you shall deliver to Purchaser a certificate or certificates representing the aggregate number of shares held or issued pursuant to the Agreement and not purchased by the Company or its assignees pursuant to exercise of the Company’s repurchase option.</w:t>
      </w:r>
    </w:p>
    <w:p>
      <w:pPr>
        <w:spacing w:after="0" w:line="79" w:lineRule="exact"/>
        <w:rPr>
          <w:sz w:val="20"/>
          <w:szCs w:val="20"/>
          <w:color w:val="auto"/>
        </w:rPr>
      </w:pPr>
    </w:p>
    <w:p>
      <w:pPr>
        <w:jc w:val="both"/>
        <w:ind w:firstLine="656"/>
        <w:spacing w:after="0" w:line="253" w:lineRule="auto"/>
        <w:tabs>
          <w:tab w:leader="none" w:pos="1087" w:val="left"/>
        </w:tabs>
        <w:numPr>
          <w:ilvl w:val="0"/>
          <w:numId w:val="279"/>
        </w:numPr>
        <w:rPr>
          <w:rFonts w:ascii="Arial" w:cs="Arial" w:eastAsia="Arial" w:hAnsi="Arial"/>
          <w:sz w:val="22"/>
          <w:szCs w:val="22"/>
          <w:color w:val="auto"/>
        </w:rPr>
      </w:pPr>
      <w:r>
        <w:rPr>
          <w:rFonts w:ascii="Arial" w:cs="Arial" w:eastAsia="Arial" w:hAnsi="Arial"/>
          <w:sz w:val="22"/>
          <w:szCs w:val="22"/>
          <w:color w:val="auto"/>
        </w:rPr>
        <w:t>If at the time of termination of this escrow you should have in your possession any documents, securities, or other property belonging to Purchaser, you shall deliver all of the same to Purchaser and shall be discharged of all further obligations hereunder.</w:t>
      </w:r>
    </w:p>
    <w:p>
      <w:pPr>
        <w:spacing w:after="0" w:line="131" w:lineRule="exact"/>
        <w:rPr>
          <w:rFonts w:ascii="Arial" w:cs="Arial" w:eastAsia="Arial" w:hAnsi="Arial"/>
          <w:sz w:val="22"/>
          <w:szCs w:val="22"/>
          <w:color w:val="auto"/>
        </w:rPr>
      </w:pPr>
    </w:p>
    <w:p>
      <w:pPr>
        <w:ind w:left="1080" w:hanging="424"/>
        <w:spacing w:after="0"/>
        <w:tabs>
          <w:tab w:leader="none" w:pos="1080" w:val="left"/>
        </w:tabs>
        <w:numPr>
          <w:ilvl w:val="0"/>
          <w:numId w:val="279"/>
        </w:numPr>
        <w:rPr>
          <w:rFonts w:ascii="Arial" w:cs="Arial" w:eastAsia="Arial" w:hAnsi="Arial"/>
          <w:sz w:val="19"/>
          <w:szCs w:val="19"/>
          <w:color w:val="auto"/>
        </w:rPr>
      </w:pPr>
      <w:r>
        <w:rPr>
          <w:rFonts w:ascii="Arial" w:cs="Arial" w:eastAsia="Arial" w:hAnsi="Arial"/>
          <w:sz w:val="19"/>
          <w:szCs w:val="19"/>
          <w:color w:val="auto"/>
        </w:rPr>
        <w:t>Your duties hereunder may be altered, amended, modified or revoked only by a writing signed by all of the parties</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hereto.</w:t>
      </w:r>
    </w:p>
    <w:p>
      <w:pPr>
        <w:spacing w:after="0" w:line="147" w:lineRule="exact"/>
        <w:rPr>
          <w:rFonts w:ascii="Arial" w:cs="Arial" w:eastAsia="Arial" w:hAnsi="Arial"/>
          <w:sz w:val="19"/>
          <w:szCs w:val="19"/>
          <w:color w:val="auto"/>
        </w:rPr>
      </w:pPr>
    </w:p>
    <w:p>
      <w:pPr>
        <w:jc w:val="both"/>
        <w:ind w:firstLine="656"/>
        <w:spacing w:after="0" w:line="297" w:lineRule="auto"/>
        <w:tabs>
          <w:tab w:leader="none" w:pos="1070" w:val="left"/>
        </w:tabs>
        <w:numPr>
          <w:ilvl w:val="0"/>
          <w:numId w:val="279"/>
        </w:numPr>
        <w:rPr>
          <w:rFonts w:ascii="Arial" w:cs="Arial" w:eastAsia="Arial" w:hAnsi="Arial"/>
          <w:sz w:val="19"/>
          <w:szCs w:val="19"/>
          <w:color w:val="auto"/>
        </w:rPr>
      </w:pPr>
      <w:r>
        <w:rPr>
          <w:rFonts w:ascii="Arial" w:cs="Arial" w:eastAsia="Arial" w:hAnsi="Arial"/>
          <w:sz w:val="19"/>
          <w:szCs w:val="19"/>
          <w:color w:val="auto"/>
        </w:rPr>
        <w:t>You shall be obligated only for the performance of such duties as are specifically set forth herein and may rely and shall be protected in relying or refraining from acting on any instrument reasonably believed by you to be genuine and to have been signed or presented by the proper party or parties. You shall not be personally liable for any act you may do or omit to do hereunder as Escrow Agent or as attorney-in-fact for Purchaser while acting in good faith, and any act done or omitted by you pursuant to the advice of your own attorneys shall be conclusive evidence of such good faith.</w:t>
      </w:r>
    </w:p>
    <w:p>
      <w:pPr>
        <w:spacing w:after="0" w:line="92" w:lineRule="exact"/>
        <w:rPr>
          <w:rFonts w:ascii="Arial" w:cs="Arial" w:eastAsia="Arial" w:hAnsi="Arial"/>
          <w:sz w:val="19"/>
          <w:szCs w:val="19"/>
          <w:color w:val="auto"/>
        </w:rPr>
      </w:pPr>
    </w:p>
    <w:p>
      <w:pPr>
        <w:jc w:val="both"/>
        <w:ind w:firstLine="656"/>
        <w:spacing w:after="0" w:line="261" w:lineRule="auto"/>
        <w:tabs>
          <w:tab w:leader="none" w:pos="1072" w:val="left"/>
        </w:tabs>
        <w:numPr>
          <w:ilvl w:val="0"/>
          <w:numId w:val="279"/>
        </w:numPr>
        <w:rPr>
          <w:rFonts w:ascii="Arial" w:cs="Arial" w:eastAsia="Arial" w:hAnsi="Arial"/>
          <w:sz w:val="21"/>
          <w:szCs w:val="21"/>
          <w:color w:val="auto"/>
        </w:rPr>
      </w:pPr>
      <w:r>
        <w:rPr>
          <w:rFonts w:ascii="Arial" w:cs="Arial" w:eastAsia="Arial" w:hAnsi="Arial"/>
          <w:sz w:val="21"/>
          <w:szCs w:val="21"/>
          <w:color w:val="auto"/>
        </w:rPr>
        <w:t>You are hereby expressly authorized to disregard any and all warnings given by any of the parties hereto or by any other person or corporation, excepting only orders or process of courts of law and are hereby expressly authorized to comply with and obey orders, judgments or decrees of any court. In case you obey or comply with any such order, judgment or decree, you shall not be liable to any of the parties hereto or to any other person, firm or corporation by reason of such compliance, notwithstanding any such order, judgment or decree being subsequently reversed, modified, annulled, set aside, vacated or found to have been entered without jurisdiction.</w:t>
      </w:r>
    </w:p>
    <w:p>
      <w:pPr>
        <w:spacing w:after="0" w:line="125" w:lineRule="exact"/>
        <w:rPr>
          <w:rFonts w:ascii="Arial" w:cs="Arial" w:eastAsia="Arial" w:hAnsi="Arial"/>
          <w:sz w:val="21"/>
          <w:szCs w:val="21"/>
          <w:color w:val="auto"/>
        </w:rPr>
      </w:pPr>
    </w:p>
    <w:p>
      <w:pPr>
        <w:ind w:firstLine="656"/>
        <w:spacing w:after="0" w:line="343" w:lineRule="auto"/>
        <w:tabs>
          <w:tab w:leader="none" w:pos="1128" w:val="left"/>
        </w:tabs>
        <w:numPr>
          <w:ilvl w:val="0"/>
          <w:numId w:val="279"/>
        </w:numPr>
        <w:rPr>
          <w:rFonts w:ascii="Arial" w:cs="Arial" w:eastAsia="Arial" w:hAnsi="Arial"/>
          <w:sz w:val="19"/>
          <w:szCs w:val="19"/>
          <w:color w:val="auto"/>
        </w:rPr>
      </w:pPr>
      <w:r>
        <w:rPr>
          <w:rFonts w:ascii="Arial" w:cs="Arial" w:eastAsia="Arial" w:hAnsi="Arial"/>
          <w:sz w:val="19"/>
          <w:szCs w:val="19"/>
          <w:color w:val="auto"/>
        </w:rPr>
        <w:t>You shall not be liable in any respect on account of the identity, authorities or rights of the parties executing or delivering or purporting to execute or deliver the Agreement or any documents or papers deposited or called for hereunder.</w:t>
      </w:r>
    </w:p>
    <w:p>
      <w:pPr>
        <w:spacing w:after="0" w:line="50" w:lineRule="exact"/>
        <w:rPr>
          <w:rFonts w:ascii="Arial" w:cs="Arial" w:eastAsia="Arial" w:hAnsi="Arial"/>
          <w:sz w:val="19"/>
          <w:szCs w:val="19"/>
          <w:color w:val="auto"/>
        </w:rPr>
      </w:pPr>
    </w:p>
    <w:p>
      <w:pPr>
        <w:ind w:firstLine="656"/>
        <w:spacing w:after="0" w:line="263" w:lineRule="auto"/>
        <w:tabs>
          <w:tab w:leader="none" w:pos="1189" w:val="left"/>
        </w:tabs>
        <w:numPr>
          <w:ilvl w:val="0"/>
          <w:numId w:val="279"/>
        </w:numPr>
        <w:rPr>
          <w:rFonts w:ascii="Arial" w:cs="Arial" w:eastAsia="Arial" w:hAnsi="Arial"/>
          <w:sz w:val="22"/>
          <w:szCs w:val="22"/>
          <w:color w:val="auto"/>
        </w:rPr>
      </w:pPr>
      <w:r>
        <w:rPr>
          <w:rFonts w:ascii="Arial" w:cs="Arial" w:eastAsia="Arial" w:hAnsi="Arial"/>
          <w:sz w:val="22"/>
          <w:szCs w:val="22"/>
          <w:color w:val="auto"/>
        </w:rPr>
        <w:t>You shall not be liable for the outlawing of any rights under the Statute of Limitations with respect to these Joint Escrow Instructions or any documents deposited with you.</w:t>
      </w:r>
    </w:p>
    <w:p>
      <w:pPr>
        <w:spacing w:after="0" w:line="120" w:lineRule="exact"/>
        <w:rPr>
          <w:rFonts w:ascii="Arial" w:cs="Arial" w:eastAsia="Arial" w:hAnsi="Arial"/>
          <w:sz w:val="22"/>
          <w:szCs w:val="22"/>
          <w:color w:val="auto"/>
        </w:rPr>
      </w:pPr>
    </w:p>
    <w:p>
      <w:pPr>
        <w:jc w:val="both"/>
        <w:ind w:right="20" w:firstLine="656"/>
        <w:spacing w:after="0" w:line="253" w:lineRule="auto"/>
        <w:tabs>
          <w:tab w:leader="none" w:pos="1146" w:val="left"/>
        </w:tabs>
        <w:numPr>
          <w:ilvl w:val="0"/>
          <w:numId w:val="279"/>
        </w:numPr>
        <w:rPr>
          <w:rFonts w:ascii="Arial" w:cs="Arial" w:eastAsia="Arial" w:hAnsi="Arial"/>
          <w:sz w:val="22"/>
          <w:szCs w:val="22"/>
          <w:color w:val="auto"/>
        </w:rPr>
      </w:pPr>
      <w:r>
        <w:rPr>
          <w:rFonts w:ascii="Arial" w:cs="Arial" w:eastAsia="Arial" w:hAnsi="Arial"/>
          <w:sz w:val="22"/>
          <w:szCs w:val="22"/>
          <w:color w:val="auto"/>
        </w:rPr>
        <w:t>You shall be entitled to employ such legal counsel and other experts as you may deem necessary properly to advise you in connection with your obligations hereunder, may rely upon the advice of such counsel, and may pay such counsel reasonable compensation therefor.</w:t>
      </w:r>
    </w:p>
    <w:p>
      <w:pPr>
        <w:spacing w:after="0" w:line="131" w:lineRule="exact"/>
        <w:rPr>
          <w:rFonts w:ascii="Arial" w:cs="Arial" w:eastAsia="Arial" w:hAnsi="Arial"/>
          <w:sz w:val="22"/>
          <w:szCs w:val="22"/>
          <w:color w:val="auto"/>
        </w:rPr>
      </w:pPr>
    </w:p>
    <w:p>
      <w:pPr>
        <w:jc w:val="both"/>
        <w:ind w:firstLine="656"/>
        <w:spacing w:after="0" w:line="253" w:lineRule="auto"/>
        <w:tabs>
          <w:tab w:leader="none" w:pos="1182" w:val="left"/>
        </w:tabs>
        <w:numPr>
          <w:ilvl w:val="0"/>
          <w:numId w:val="279"/>
        </w:numPr>
        <w:rPr>
          <w:rFonts w:ascii="Arial" w:cs="Arial" w:eastAsia="Arial" w:hAnsi="Arial"/>
          <w:sz w:val="22"/>
          <w:szCs w:val="22"/>
          <w:color w:val="auto"/>
        </w:rPr>
      </w:pPr>
      <w:r>
        <w:rPr>
          <w:rFonts w:ascii="Arial" w:cs="Arial" w:eastAsia="Arial" w:hAnsi="Arial"/>
          <w:sz w:val="22"/>
          <w:szCs w:val="22"/>
          <w:color w:val="auto"/>
        </w:rPr>
        <w:t>Your responsibilities as Escrow Agent hereunder shall terminate if you shall cease to be an officer or agent of the Company or if you shall resign by written notice to each party. In the event of any such termination, the Company shall appoint a successor Escrow Agent.</w:t>
      </w:r>
    </w:p>
    <w:p>
      <w:pPr>
        <w:spacing w:after="0" w:line="131" w:lineRule="exact"/>
        <w:rPr>
          <w:rFonts w:ascii="Arial" w:cs="Arial" w:eastAsia="Arial" w:hAnsi="Arial"/>
          <w:sz w:val="22"/>
          <w:szCs w:val="22"/>
          <w:color w:val="auto"/>
        </w:rPr>
      </w:pPr>
    </w:p>
    <w:p>
      <w:pPr>
        <w:ind w:right="840" w:firstLine="656"/>
        <w:spacing w:after="0" w:line="343" w:lineRule="auto"/>
        <w:tabs>
          <w:tab w:leader="none" w:pos="1134" w:val="left"/>
        </w:tabs>
        <w:numPr>
          <w:ilvl w:val="0"/>
          <w:numId w:val="279"/>
        </w:numPr>
        <w:rPr>
          <w:rFonts w:ascii="Arial" w:cs="Arial" w:eastAsia="Arial" w:hAnsi="Arial"/>
          <w:sz w:val="19"/>
          <w:szCs w:val="19"/>
          <w:color w:val="auto"/>
        </w:rPr>
      </w:pPr>
      <w:r>
        <w:rPr>
          <w:rFonts w:ascii="Arial" w:cs="Arial" w:eastAsia="Arial" w:hAnsi="Arial"/>
          <w:sz w:val="19"/>
          <w:szCs w:val="19"/>
          <w:color w:val="auto"/>
        </w:rPr>
        <w:t>If you reasonably require other or further instruments in connection with these Joint Escrow Instructions or obligations in respect hereto, the necessary parties hereto shall join in furnishing such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346" w:name="page347"/>
    <w:bookmarkEnd w:id="346"/>
    <w:p>
      <w:pPr>
        <w:jc w:val="both"/>
        <w:ind w:firstLine="656"/>
        <w:spacing w:after="0" w:line="297" w:lineRule="auto"/>
        <w:tabs>
          <w:tab w:leader="none" w:pos="1193" w:val="left"/>
        </w:tabs>
        <w:numPr>
          <w:ilvl w:val="0"/>
          <w:numId w:val="280"/>
        </w:numPr>
        <w:rPr>
          <w:rFonts w:ascii="Arial" w:cs="Arial" w:eastAsia="Arial" w:hAnsi="Arial"/>
          <w:sz w:val="19"/>
          <w:szCs w:val="19"/>
          <w:color w:val="auto"/>
        </w:rPr>
      </w:pPr>
      <w:r>
        <w:rPr>
          <w:rFonts w:ascii="Arial" w:cs="Arial" w:eastAsia="Arial" w:hAnsi="Arial"/>
          <w:sz w:val="19"/>
          <w:szCs w:val="19"/>
          <w:color w:val="auto"/>
        </w:rPr>
        <w:t>It is understood and agreed that should any dispute arise with respect to the delivery and/or ownership or right of possession of the securities held by you hereunder, you are authorized and directed to retain in your possession without liability to anyone all or any part of said securities until such disputes shall have been settled either by mutual written agreement of the parties concerned or by a final order, decree or judgment of a court of competent jurisdiction after the time for appeal has expired and no appeal has been perfected, but you shall be under no duty whatsoever to institute or defend any such proceedings.</w:t>
      </w:r>
    </w:p>
    <w:p>
      <w:pPr>
        <w:spacing w:after="0" w:line="92" w:lineRule="exact"/>
        <w:rPr>
          <w:rFonts w:ascii="Arial" w:cs="Arial" w:eastAsia="Arial" w:hAnsi="Arial"/>
          <w:sz w:val="19"/>
          <w:szCs w:val="19"/>
          <w:color w:val="auto"/>
        </w:rPr>
      </w:pPr>
    </w:p>
    <w:p>
      <w:pPr>
        <w:jc w:val="both"/>
        <w:ind w:firstLine="656"/>
        <w:spacing w:after="0" w:line="265" w:lineRule="auto"/>
        <w:tabs>
          <w:tab w:leader="none" w:pos="1194" w:val="left"/>
        </w:tabs>
        <w:numPr>
          <w:ilvl w:val="0"/>
          <w:numId w:val="280"/>
        </w:numPr>
        <w:rPr>
          <w:rFonts w:ascii="Arial" w:cs="Arial" w:eastAsia="Arial" w:hAnsi="Arial"/>
          <w:sz w:val="21"/>
          <w:szCs w:val="21"/>
          <w:color w:val="auto"/>
        </w:rPr>
      </w:pPr>
      <w:r>
        <w:rPr>
          <w:rFonts w:ascii="Arial" w:cs="Arial" w:eastAsia="Arial" w:hAnsi="Arial"/>
          <w:sz w:val="21"/>
          <w:szCs w:val="21"/>
          <w:color w:val="auto"/>
        </w:rPr>
        <w:t>Any notice required or permitted hereunder shall be given in writing and shall be deemed effectively given upon personal delivery or upon deposit in the United States Post Office, by registered or certified mail with postage and fees prepaid, addressed to each of the other parties thereunto entitled at the following addresses or at such other addresses as a party may designate by ten (10) days’ advance written notice to each of the other parties hereto.</w:t>
      </w:r>
    </w:p>
    <w:p>
      <w:pPr>
        <w:spacing w:after="0" w:line="121" w:lineRule="exact"/>
        <w:rPr>
          <w:rFonts w:ascii="Arial" w:cs="Arial" w:eastAsia="Arial" w:hAnsi="Arial"/>
          <w:sz w:val="21"/>
          <w:szCs w:val="21"/>
          <w:color w:val="auto"/>
        </w:rPr>
      </w:pPr>
    </w:p>
    <w:p>
      <w:pPr>
        <w:ind w:firstLine="656"/>
        <w:spacing w:after="0" w:line="263" w:lineRule="auto"/>
        <w:tabs>
          <w:tab w:leader="none" w:pos="1205" w:val="left"/>
        </w:tabs>
        <w:numPr>
          <w:ilvl w:val="0"/>
          <w:numId w:val="280"/>
        </w:numPr>
        <w:rPr>
          <w:rFonts w:ascii="Arial" w:cs="Arial" w:eastAsia="Arial" w:hAnsi="Arial"/>
          <w:sz w:val="22"/>
          <w:szCs w:val="22"/>
          <w:color w:val="auto"/>
        </w:rPr>
      </w:pPr>
      <w:r>
        <w:rPr>
          <w:rFonts w:ascii="Arial" w:cs="Arial" w:eastAsia="Arial" w:hAnsi="Arial"/>
          <w:sz w:val="22"/>
          <w:szCs w:val="22"/>
          <w:color w:val="auto"/>
        </w:rPr>
        <w:t>By signing these Joint Escrow Instructions, you become a party hereto only for the purpose of said Joint Escrow Instructions; you do not become a party to the Agreement.</w:t>
      </w:r>
    </w:p>
    <w:p>
      <w:pPr>
        <w:spacing w:after="0" w:line="120" w:lineRule="exact"/>
        <w:rPr>
          <w:rFonts w:ascii="Arial" w:cs="Arial" w:eastAsia="Arial" w:hAnsi="Arial"/>
          <w:sz w:val="22"/>
          <w:szCs w:val="22"/>
          <w:color w:val="auto"/>
        </w:rPr>
      </w:pPr>
    </w:p>
    <w:p>
      <w:pPr>
        <w:ind w:firstLine="656"/>
        <w:spacing w:after="0" w:line="263" w:lineRule="auto"/>
        <w:tabs>
          <w:tab w:leader="none" w:pos="1169" w:val="left"/>
        </w:tabs>
        <w:numPr>
          <w:ilvl w:val="0"/>
          <w:numId w:val="280"/>
        </w:numPr>
        <w:rPr>
          <w:rFonts w:ascii="Arial" w:cs="Arial" w:eastAsia="Arial" w:hAnsi="Arial"/>
          <w:sz w:val="22"/>
          <w:szCs w:val="22"/>
          <w:color w:val="auto"/>
        </w:rPr>
      </w:pPr>
      <w:r>
        <w:rPr>
          <w:rFonts w:ascii="Arial" w:cs="Arial" w:eastAsia="Arial" w:hAnsi="Arial"/>
          <w:sz w:val="22"/>
          <w:szCs w:val="22"/>
          <w:color w:val="auto"/>
        </w:rPr>
        <w:t>This instrument shall be binding upon and inure to the benefit of the parties hereto, and their respective successors and permitted assigns.</w:t>
      </w:r>
    </w:p>
    <w:p>
      <w:pPr>
        <w:spacing w:after="0" w:line="120" w:lineRule="exact"/>
        <w:rPr>
          <w:rFonts w:ascii="Arial" w:cs="Arial" w:eastAsia="Arial" w:hAnsi="Arial"/>
          <w:sz w:val="22"/>
          <w:szCs w:val="22"/>
          <w:color w:val="auto"/>
        </w:rPr>
      </w:pPr>
    </w:p>
    <w:p>
      <w:pPr>
        <w:ind w:left="1180" w:hanging="524"/>
        <w:spacing w:after="0"/>
        <w:tabs>
          <w:tab w:leader="none" w:pos="1180" w:val="left"/>
        </w:tabs>
        <w:numPr>
          <w:ilvl w:val="0"/>
          <w:numId w:val="280"/>
        </w:numPr>
        <w:rPr>
          <w:rFonts w:ascii="Arial" w:cs="Arial" w:eastAsia="Arial" w:hAnsi="Arial"/>
          <w:sz w:val="19"/>
          <w:szCs w:val="19"/>
          <w:color w:val="auto"/>
        </w:rPr>
      </w:pPr>
      <w:r>
        <w:rPr>
          <w:rFonts w:ascii="Arial" w:cs="Arial" w:eastAsia="Arial" w:hAnsi="Arial"/>
          <w:sz w:val="19"/>
          <w:szCs w:val="19"/>
          <w:color w:val="auto"/>
        </w:rPr>
        <w:t>These Joint Escrow Instructions shall be governed by the internal substantive laws, but not the choice of law rules,</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California.</w:t>
      </w:r>
    </w:p>
    <w:p>
      <w:pPr>
        <w:spacing w:after="0" w:line="196" w:lineRule="exact"/>
        <w:rPr>
          <w:sz w:val="20"/>
          <w:szCs w:val="20"/>
          <w:color w:val="auto"/>
        </w:rPr>
      </w:pPr>
    </w:p>
    <w:p>
      <w:pPr>
        <w:ind w:left="20"/>
        <w:spacing w:after="0"/>
        <w:tabs>
          <w:tab w:leader="none" w:pos="5520" w:val="left"/>
        </w:tabs>
        <w:rPr>
          <w:sz w:val="20"/>
          <w:szCs w:val="20"/>
          <w:color w:val="auto"/>
        </w:rPr>
      </w:pPr>
      <w:r>
        <w:rPr>
          <w:rFonts w:ascii="Arial" w:cs="Arial" w:eastAsia="Arial" w:hAnsi="Arial"/>
          <w:sz w:val="22"/>
          <w:szCs w:val="22"/>
          <w:b w:val="1"/>
          <w:bCs w:val="1"/>
          <w:color w:val="auto"/>
        </w:rPr>
        <w:t>PARTICIPANT</w:t>
      </w:r>
      <w:r>
        <w:rPr>
          <w:sz w:val="20"/>
          <w:szCs w:val="20"/>
          <w:color w:val="auto"/>
        </w:rPr>
        <w:tab/>
      </w:r>
      <w:r>
        <w:rPr>
          <w:rFonts w:ascii="Arial" w:cs="Arial" w:eastAsia="Arial" w:hAnsi="Arial"/>
          <w:sz w:val="22"/>
          <w:szCs w:val="22"/>
          <w:b w:val="1"/>
          <w:bCs w:val="1"/>
          <w:color w:val="auto"/>
        </w:rPr>
        <w:t>NERDWALLET, INC.</w:t>
      </w:r>
    </w:p>
    <w:p>
      <w:pPr>
        <w:spacing w:after="0" w:line="31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[[FIRST NAME]] [[LAST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323151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 of Grantee</w:t>
      </w:r>
    </w:p>
    <w:p>
      <w:pPr>
        <w:spacing w:after="0" w:line="58"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24130</wp:posOffset>
            </wp:positionV>
            <wp:extent cx="362585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51"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Tim Chen, President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323151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231515" cy="8890"/>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Arial" w:cs="Arial" w:eastAsia="Arial" w:hAnsi="Arial"/>
          <w:sz w:val="22"/>
          <w:szCs w:val="22"/>
          <w:color w:val="auto"/>
        </w:rPr>
        <w:t>Signature</w:t>
      </w:r>
    </w:p>
    <w:p>
      <w:pPr>
        <w:spacing w:after="0" w:line="314" w:lineRule="exact"/>
        <w:rPr>
          <w:sz w:val="20"/>
          <w:szCs w:val="20"/>
          <w:color w:val="auto"/>
        </w:rPr>
      </w:pPr>
    </w:p>
    <w:p>
      <w:pPr>
        <w:ind w:left="20"/>
        <w:spacing w:after="0"/>
        <w:rPr>
          <w:sz w:val="20"/>
          <w:szCs w:val="20"/>
          <w:color w:val="auto"/>
        </w:rPr>
      </w:pPr>
      <w:r>
        <w:rPr>
          <w:rFonts w:ascii="Arial" w:cs="Arial" w:eastAsia="Arial" w:hAnsi="Arial"/>
          <w:sz w:val="22"/>
          <w:szCs w:val="22"/>
          <w:color w:val="auto"/>
        </w:rPr>
        <w:t>Residence Address: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[[RESADDR1]] [[RESADDR2]]</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[[RESCITY]], [[RESSTATEORPROV]]</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[[RESPOSTALCODE]]</w:t>
      </w:r>
    </w:p>
    <w:p>
      <w:pPr>
        <w:spacing w:after="0" w:line="26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ESCROW AGENT</w:t>
      </w:r>
    </w:p>
    <w:p>
      <w:pPr>
        <w:spacing w:after="0" w:line="200" w:lineRule="exact"/>
        <w:rPr>
          <w:sz w:val="20"/>
          <w:szCs w:val="20"/>
          <w:color w:val="auto"/>
        </w:rPr>
      </w:pPr>
    </w:p>
    <w:p>
      <w:pPr>
        <w:spacing w:after="0" w:line="377" w:lineRule="exact"/>
        <w:rPr>
          <w:sz w:val="20"/>
          <w:szCs w:val="20"/>
          <w:color w:val="auto"/>
        </w:rPr>
      </w:pPr>
    </w:p>
    <w:p>
      <w:pPr>
        <w:ind w:left="40"/>
        <w:spacing w:after="0"/>
        <w:rPr>
          <w:sz w:val="20"/>
          <w:szCs w:val="20"/>
          <w:color w:val="auto"/>
        </w:rPr>
      </w:pPr>
      <w:r>
        <w:rPr>
          <w:rFonts w:ascii="Arial" w:cs="Arial" w:eastAsia="Arial" w:hAnsi="Arial"/>
          <w:sz w:val="22"/>
          <w:szCs w:val="22"/>
          <w:color w:val="auto"/>
        </w:rPr>
        <w:t>/s/ Robert Lattuga</w:t>
      </w:r>
    </w:p>
    <w:p>
      <w:pPr>
        <w:spacing w:after="0" w:line="274" w:lineRule="exact"/>
        <w:rPr>
          <w:sz w:val="20"/>
          <w:szCs w:val="20"/>
          <w:color w:val="auto"/>
        </w:rPr>
      </w:pPr>
    </w:p>
    <w:p>
      <w:pPr>
        <w:ind w:left="20"/>
        <w:spacing w:after="0"/>
        <w:rPr>
          <w:sz w:val="20"/>
          <w:szCs w:val="20"/>
          <w:color w:val="auto"/>
        </w:rPr>
      </w:pPr>
      <w:r>
        <w:rPr>
          <w:rFonts w:ascii="Arial" w:cs="Arial" w:eastAsia="Arial" w:hAnsi="Arial"/>
          <w:sz w:val="22"/>
          <w:szCs w:val="22"/>
          <w:color w:val="auto"/>
        </w:rPr>
        <w:t>Robert Lattuga, Corporate Secretary</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Dated: ___________________, _____</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1428" w:right="339" w:bottom="1440" w:gutter="0" w:footer="0" w:header="0"/>
          <w:type w:val="continuous"/>
        </w:sectPr>
      </w:pPr>
    </w:p>
    <w:bookmarkStart w:id="347" w:name="page348"/>
    <w:bookmarkEnd w:id="347"/>
    <w:p>
      <w:pPr>
        <w:jc w:val="center"/>
        <w:spacing w:after="0"/>
        <w:rPr>
          <w:sz w:val="20"/>
          <w:szCs w:val="20"/>
          <w:color w:val="auto"/>
        </w:rPr>
      </w:pPr>
      <w:r>
        <w:rPr>
          <w:rFonts w:ascii="Arial" w:cs="Arial" w:eastAsia="Arial" w:hAnsi="Arial"/>
          <w:sz w:val="22"/>
          <w:szCs w:val="22"/>
          <w:b w:val="1"/>
          <w:bCs w:val="1"/>
          <w:color w:val="auto"/>
        </w:rPr>
        <w:t>ATTACHMENT III</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ELECTION UNDER SECTION 83(b)</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 INTERNAL REVENUE CODE OF 1986</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Department of the Treasury</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Internal Revenue Service</w:t>
      </w:r>
    </w:p>
    <w:p>
      <w:pPr>
        <w:spacing w:after="0"/>
        <w:rPr>
          <w:sz w:val="20"/>
          <w:szCs w:val="20"/>
          <w:color w:val="auto"/>
        </w:rPr>
      </w:pPr>
      <w:r>
        <w:rPr>
          <w:rFonts w:ascii="Arial" w:cs="Arial" w:eastAsia="Arial" w:hAnsi="Arial"/>
          <w:sz w:val="20"/>
          <w:szCs w:val="20"/>
          <w:color w:val="auto"/>
        </w:rPr>
        <w:t>[City, State, Zip]</w:t>
      </w:r>
      <w:r>
        <w:rPr>
          <w:rFonts w:ascii="Arial" w:cs="Arial" w:eastAsia="Arial" w:hAnsi="Arial"/>
          <w:sz w:val="25"/>
          <w:szCs w:val="25"/>
          <w:color w:val="auto"/>
          <w:vertAlign w:val="superscript"/>
        </w:rPr>
        <w:t>1</w:t>
      </w:r>
    </w:p>
    <w:p>
      <w:pPr>
        <w:spacing w:after="0" w:line="94" w:lineRule="exact"/>
        <w:rPr>
          <w:sz w:val="20"/>
          <w:szCs w:val="20"/>
          <w:color w:val="auto"/>
        </w:rPr>
      </w:pPr>
    </w:p>
    <w:p>
      <w:pPr>
        <w:spacing w:after="0"/>
        <w:tabs>
          <w:tab w:leader="none" w:pos="46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18"/>
          <w:szCs w:val="18"/>
          <w:color w:val="auto"/>
        </w:rPr>
        <w:t>Election Under Section 83(b)</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 undersigned taxpayer hereby elects, pursuant to Sections 55 and 83(b) of the Internal Revenue Code of 1986, as amended, to include in taxpayer’s gross income or alternative minimum taxable income, as the case may be, for the current taxable year the amount of any compensation taxable to taxpayer in connection with taxpayer’s receipt of the property described below.</w:t>
      </w:r>
    </w:p>
    <w:p>
      <w:pPr>
        <w:spacing w:after="0" w:line="79" w:lineRule="exact"/>
        <w:rPr>
          <w:sz w:val="20"/>
          <w:szCs w:val="20"/>
          <w:color w:val="auto"/>
        </w:rPr>
      </w:pPr>
    </w:p>
    <w:p>
      <w:pPr>
        <w:ind w:right="640" w:firstLine="656"/>
        <w:spacing w:after="0" w:line="263" w:lineRule="auto"/>
        <w:tabs>
          <w:tab w:leader="none" w:pos="1022" w:val="left"/>
        </w:tabs>
        <w:numPr>
          <w:ilvl w:val="0"/>
          <w:numId w:val="281"/>
        </w:numPr>
        <w:rPr>
          <w:rFonts w:ascii="Arial" w:cs="Arial" w:eastAsia="Arial" w:hAnsi="Arial"/>
          <w:sz w:val="22"/>
          <w:szCs w:val="22"/>
          <w:color w:val="auto"/>
        </w:rPr>
      </w:pPr>
      <w:r>
        <w:rPr>
          <w:rFonts w:ascii="Arial" w:cs="Arial" w:eastAsia="Arial" w:hAnsi="Arial"/>
          <w:sz w:val="22"/>
          <w:szCs w:val="22"/>
          <w:color w:val="auto"/>
        </w:rPr>
        <w:t>The name, address, taxpayer identification number and taxable year of the undersigned taxpayer for which this election is being made are as follows:</w:t>
      </w:r>
    </w:p>
    <w:p>
      <w:pPr>
        <w:sectPr>
          <w:pgSz w:w="11900" w:h="16838" w:orient="portrait"/>
          <w:cols w:equalWidth="0" w:num="1">
            <w:col w:w="11240"/>
          </w:cols>
          <w:pgMar w:left="320" w:top="1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80"/>
        <w:spacing w:after="0"/>
        <w:rPr>
          <w:sz w:val="20"/>
          <w:szCs w:val="20"/>
          <w:color w:val="auto"/>
        </w:rPr>
      </w:pPr>
      <w:r>
        <w:rPr>
          <w:rFonts w:ascii="Arial" w:cs="Arial" w:eastAsia="Arial" w:hAnsi="Arial"/>
          <w:sz w:val="21"/>
          <w:szCs w:val="21"/>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w:t>
      </w:r>
    </w:p>
    <w:p>
      <w:pPr>
        <w:spacing w:after="0" w:line="91" w:lineRule="exact"/>
        <w:rPr>
          <w:sz w:val="20"/>
          <w:szCs w:val="20"/>
          <w:color w:val="auto"/>
        </w:rPr>
      </w:pPr>
    </w:p>
    <w:p>
      <w:pPr>
        <w:sectPr>
          <w:pgSz w:w="11900" w:h="16838" w:orient="portrait"/>
          <w:cols w:equalWidth="0" w:num="2">
            <w:col w:w="3500" w:space="720"/>
            <w:col w:w="7020"/>
          </w:cols>
          <w:pgMar w:left="320" w:top="1422" w:right="339" w:bottom="1440" w:gutter="0" w:footer="0" w:header="0"/>
          <w:type w:val="continuous"/>
        </w:sectPr>
      </w:pPr>
    </w:p>
    <w:p>
      <w:pPr>
        <w:ind w:left="680"/>
        <w:spacing w:after="0"/>
        <w:rPr>
          <w:sz w:val="20"/>
          <w:szCs w:val="20"/>
          <w:color w:val="auto"/>
        </w:rPr>
      </w:pPr>
      <w:r>
        <w:rPr>
          <w:rFonts w:ascii="Arial" w:cs="Arial" w:eastAsia="Arial" w:hAnsi="Arial"/>
          <w:sz w:val="19"/>
          <w:szCs w:val="19"/>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___________________</w:t>
      </w:r>
    </w:p>
    <w:p>
      <w:pPr>
        <w:spacing w:after="0" w:line="92" w:lineRule="exact"/>
        <w:rPr>
          <w:sz w:val="20"/>
          <w:szCs w:val="20"/>
          <w:color w:val="auto"/>
        </w:rPr>
      </w:pPr>
    </w:p>
    <w:p>
      <w:pPr>
        <w:sectPr>
          <w:pgSz w:w="11900" w:h="16838" w:orient="portrait"/>
          <w:cols w:equalWidth="0" w:num="2">
            <w:col w:w="3500" w:space="720"/>
            <w:col w:w="7020"/>
          </w:cols>
          <w:pgMar w:left="320" w:top="1422" w:right="339" w:bottom="1440" w:gutter="0" w:footer="0" w:header="0"/>
          <w:type w:val="continuous"/>
        </w:sectPr>
      </w:pPr>
    </w:p>
    <w:p>
      <w:pPr>
        <w:ind w:left="4220"/>
        <w:spacing w:after="0"/>
        <w:rPr>
          <w:sz w:val="20"/>
          <w:szCs w:val="20"/>
          <w:color w:val="auto"/>
        </w:rPr>
      </w:pPr>
      <w:r>
        <w:rPr>
          <w:rFonts w:ascii="Arial" w:cs="Arial" w:eastAsia="Arial" w:hAnsi="Arial"/>
          <w:sz w:val="19"/>
          <w:szCs w:val="19"/>
          <w:color w:val="auto"/>
        </w:rPr>
        <w:t>___________________</w:t>
      </w:r>
    </w:p>
    <w:p>
      <w:pPr>
        <w:sectPr>
          <w:pgSz w:w="11900" w:h="16838" w:orient="portrait"/>
          <w:cols w:equalWidth="0" w:num="1">
            <w:col w:w="11240"/>
          </w:cols>
          <w:pgMar w:left="320" w:top="1422" w:right="339" w:bottom="1440" w:gutter="0" w:footer="0" w:header="0"/>
          <w:type w:val="continuous"/>
        </w:sectPr>
      </w:pPr>
    </w:p>
    <w:p>
      <w:pPr>
        <w:spacing w:after="0" w:line="92" w:lineRule="exact"/>
        <w:rPr>
          <w:sz w:val="20"/>
          <w:szCs w:val="20"/>
          <w:color w:val="auto"/>
        </w:rPr>
      </w:pPr>
    </w:p>
    <w:p>
      <w:pPr>
        <w:ind w:left="680"/>
        <w:spacing w:after="0"/>
        <w:rPr>
          <w:sz w:val="20"/>
          <w:szCs w:val="20"/>
          <w:color w:val="auto"/>
        </w:rPr>
      </w:pPr>
      <w:r>
        <w:rPr>
          <w:rFonts w:ascii="Arial" w:cs="Arial" w:eastAsia="Arial" w:hAnsi="Arial"/>
          <w:sz w:val="21"/>
          <w:szCs w:val="21"/>
          <w:color w:val="auto"/>
        </w:rPr>
        <w:t>TAX ID NO.:</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w:t>
      </w:r>
    </w:p>
    <w:p>
      <w:pPr>
        <w:spacing w:after="0" w:line="91" w:lineRule="exact"/>
        <w:rPr>
          <w:sz w:val="20"/>
          <w:szCs w:val="20"/>
          <w:color w:val="auto"/>
        </w:rPr>
      </w:pPr>
    </w:p>
    <w:p>
      <w:pPr>
        <w:sectPr>
          <w:pgSz w:w="11900" w:h="16838" w:orient="portrait"/>
          <w:cols w:equalWidth="0" w:num="2">
            <w:col w:w="3500" w:space="720"/>
            <w:col w:w="7020"/>
          </w:cols>
          <w:pgMar w:left="320" w:top="1422" w:right="339" w:bottom="1440" w:gutter="0" w:footer="0" w:header="0"/>
          <w:type w:val="continuous"/>
        </w:sectPr>
      </w:pPr>
    </w:p>
    <w:p>
      <w:pPr>
        <w:ind w:left="680"/>
        <w:spacing w:after="0"/>
        <w:rPr>
          <w:sz w:val="20"/>
          <w:szCs w:val="20"/>
          <w:color w:val="auto"/>
        </w:rPr>
      </w:pPr>
      <w:r>
        <w:rPr>
          <w:rFonts w:ascii="Arial" w:cs="Arial" w:eastAsia="Arial" w:hAnsi="Arial"/>
          <w:sz w:val="21"/>
          <w:szCs w:val="21"/>
          <w:color w:val="auto"/>
        </w:rPr>
        <w:t>TAXABLE 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Calendar year __________</w:t>
      </w:r>
    </w:p>
    <w:p>
      <w:pPr>
        <w:spacing w:after="0" w:line="222" w:lineRule="exact"/>
        <w:rPr>
          <w:sz w:val="20"/>
          <w:szCs w:val="20"/>
          <w:color w:val="auto"/>
        </w:rPr>
      </w:pPr>
    </w:p>
    <w:p>
      <w:pPr>
        <w:sectPr>
          <w:pgSz w:w="11900" w:h="16838" w:orient="portrait"/>
          <w:cols w:equalWidth="0" w:num="2">
            <w:col w:w="3500" w:space="720"/>
            <w:col w:w="7020"/>
          </w:cols>
          <w:pgMar w:left="320" w:top="1422" w:right="339" w:bottom="1440" w:gutter="0" w:footer="0" w:header="0"/>
          <w:type w:val="continuous"/>
        </w:sectPr>
      </w:pPr>
    </w:p>
    <w:p>
      <w:pPr>
        <w:spacing w:after="0" w:line="99" w:lineRule="exact"/>
        <w:rPr>
          <w:sz w:val="20"/>
          <w:szCs w:val="20"/>
          <w:color w:val="auto"/>
        </w:rPr>
      </w:pPr>
    </w:p>
    <w:p>
      <w:pPr>
        <w:ind w:right="80" w:firstLine="656"/>
        <w:spacing w:after="0" w:line="263" w:lineRule="auto"/>
        <w:tabs>
          <w:tab w:leader="none" w:pos="1022" w:val="left"/>
        </w:tabs>
        <w:numPr>
          <w:ilvl w:val="0"/>
          <w:numId w:val="282"/>
        </w:numPr>
        <w:rPr>
          <w:rFonts w:ascii="Arial" w:cs="Arial" w:eastAsia="Arial" w:hAnsi="Arial"/>
          <w:sz w:val="22"/>
          <w:szCs w:val="22"/>
          <w:color w:val="auto"/>
        </w:rPr>
      </w:pPr>
      <w:r>
        <w:rPr>
          <w:rFonts w:ascii="Arial" w:cs="Arial" w:eastAsia="Arial" w:hAnsi="Arial"/>
          <w:sz w:val="22"/>
          <w:szCs w:val="22"/>
          <w:color w:val="auto"/>
        </w:rPr>
        <w:t>The property with respect to which the election is made is described as follows: __________ shares (the “Shares”) of the Common Stock of NerdWallet, Inc. (the “Company”).</w:t>
      </w:r>
    </w:p>
    <w:p>
      <w:pPr>
        <w:spacing w:after="0" w:line="120" w:lineRule="exact"/>
        <w:rPr>
          <w:rFonts w:ascii="Arial" w:cs="Arial" w:eastAsia="Arial" w:hAnsi="Arial"/>
          <w:sz w:val="22"/>
          <w:szCs w:val="22"/>
          <w:color w:val="auto"/>
        </w:rPr>
      </w:pPr>
    </w:p>
    <w:p>
      <w:pPr>
        <w:ind w:left="1040" w:hanging="384"/>
        <w:spacing w:after="0"/>
        <w:tabs>
          <w:tab w:leader="none" w:pos="1040" w:val="left"/>
        </w:tabs>
        <w:numPr>
          <w:ilvl w:val="0"/>
          <w:numId w:val="282"/>
        </w:numPr>
        <w:rPr>
          <w:rFonts w:ascii="Arial" w:cs="Arial" w:eastAsia="Arial" w:hAnsi="Arial"/>
          <w:sz w:val="22"/>
          <w:szCs w:val="22"/>
          <w:color w:val="auto"/>
        </w:rPr>
      </w:pPr>
      <w:r>
        <w:rPr>
          <w:rFonts w:ascii="Arial" w:cs="Arial" w:eastAsia="Arial" w:hAnsi="Arial"/>
          <w:sz w:val="22"/>
          <w:szCs w:val="22"/>
          <w:color w:val="auto"/>
        </w:rPr>
        <w:t>The date on which the property was transferred is:_________________ ,______.</w:t>
      </w:r>
    </w:p>
    <w:p>
      <w:pPr>
        <w:spacing w:after="0" w:line="165" w:lineRule="exact"/>
        <w:rPr>
          <w:rFonts w:ascii="Arial" w:cs="Arial" w:eastAsia="Arial" w:hAnsi="Arial"/>
          <w:sz w:val="22"/>
          <w:szCs w:val="22"/>
          <w:color w:val="auto"/>
        </w:rPr>
      </w:pPr>
    </w:p>
    <w:p>
      <w:pPr>
        <w:ind w:left="1040" w:hanging="384"/>
        <w:spacing w:after="0"/>
        <w:tabs>
          <w:tab w:leader="none" w:pos="1040" w:val="left"/>
        </w:tabs>
        <w:numPr>
          <w:ilvl w:val="0"/>
          <w:numId w:val="282"/>
        </w:numPr>
        <w:rPr>
          <w:rFonts w:ascii="Arial" w:cs="Arial" w:eastAsia="Arial" w:hAnsi="Arial"/>
          <w:sz w:val="22"/>
          <w:szCs w:val="22"/>
          <w:color w:val="auto"/>
        </w:rPr>
      </w:pPr>
      <w:r>
        <w:rPr>
          <w:rFonts w:ascii="Arial" w:cs="Arial" w:eastAsia="Arial" w:hAnsi="Arial"/>
          <w:sz w:val="22"/>
          <w:szCs w:val="22"/>
          <w:color w:val="auto"/>
        </w:rPr>
        <w:t>The property is subject to the following restrictions:</w:t>
      </w:r>
    </w:p>
    <w:p>
      <w:pPr>
        <w:spacing w:after="0" w:line="166" w:lineRule="exact"/>
        <w:rPr>
          <w:sz w:val="20"/>
          <w:szCs w:val="20"/>
          <w:color w:val="auto"/>
        </w:rPr>
      </w:pPr>
    </w:p>
    <w:p>
      <w:pPr>
        <w:ind w:left="660" w:right="180"/>
        <w:spacing w:after="0" w:line="343" w:lineRule="auto"/>
        <w:rPr>
          <w:sz w:val="20"/>
          <w:szCs w:val="20"/>
          <w:color w:val="auto"/>
        </w:rPr>
      </w:pPr>
      <w:r>
        <w:rPr>
          <w:rFonts w:ascii="Arial" w:cs="Arial" w:eastAsia="Arial" w:hAnsi="Arial"/>
          <w:sz w:val="19"/>
          <w:szCs w:val="19"/>
          <w:color w:val="auto"/>
        </w:rPr>
        <w:t>The Shares are subject to repurchase at less than their fair market value if the undersigned does not continue to provide services for the Company for a designated period of time. The right of repurchase lapses over a specified vesting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17145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86" w:lineRule="exact"/>
        <w:rPr>
          <w:sz w:val="20"/>
          <w:szCs w:val="20"/>
          <w:color w:val="auto"/>
        </w:rPr>
      </w:pPr>
    </w:p>
    <w:p>
      <w:pPr>
        <w:ind w:right="20" w:firstLine="8"/>
        <w:spacing w:after="0" w:line="215" w:lineRule="auto"/>
        <w:tabs>
          <w:tab w:leader="none" w:pos="124" w:val="left"/>
        </w:tabs>
        <w:numPr>
          <w:ilvl w:val="0"/>
          <w:numId w:val="283"/>
        </w:numPr>
        <w:rPr>
          <w:rFonts w:ascii="Arial" w:cs="Arial" w:eastAsia="Arial" w:hAnsi="Arial"/>
          <w:sz w:val="28"/>
          <w:szCs w:val="28"/>
          <w:color w:val="auto"/>
          <w:vertAlign w:val="superscript"/>
        </w:rPr>
      </w:pPr>
      <w:r>
        <w:rPr>
          <w:rFonts w:ascii="Arial" w:cs="Arial" w:eastAsia="Arial" w:hAnsi="Arial"/>
          <w:sz w:val="18"/>
          <w:szCs w:val="18"/>
          <w:color w:val="auto"/>
        </w:rPr>
        <w:t xml:space="preserve">Per Treasury Regulation §1.83-2(c), the Section 83(b) election must be filed with the IRS office where the person otherwise files his or her tax return. See </w:t>
      </w:r>
      <w:r>
        <w:rPr>
          <w:rFonts w:ascii="Arial" w:cs="Arial" w:eastAsia="Arial" w:hAnsi="Arial"/>
          <w:sz w:val="18"/>
          <w:szCs w:val="18"/>
          <w:u w:val="single" w:color="auto"/>
          <w:color w:val="auto"/>
        </w:rPr>
        <w:t>https://www.irs.gov/filing/where-to-file-addresses-for-taxpayers-and-tax-professionals-filing-form-1040</w:t>
      </w:r>
      <w:r>
        <w:rPr>
          <w:rFonts w:ascii="Arial" w:cs="Arial" w:eastAsia="Arial" w:hAnsi="Arial"/>
          <w:sz w:val="18"/>
          <w:szCs w:val="18"/>
          <w:color w:val="auto"/>
        </w:rPr>
        <w:t xml:space="preserve">. Use the address in the row which includes the state in which the service provider lives and in the column entitled “And you </w:t>
      </w:r>
      <w:r>
        <w:rPr>
          <w:rFonts w:ascii="Arial" w:cs="Arial" w:eastAsia="Arial" w:hAnsi="Arial"/>
          <w:sz w:val="18"/>
          <w:szCs w:val="18"/>
          <w:i w:val="1"/>
          <w:iCs w:val="1"/>
          <w:color w:val="auto"/>
        </w:rPr>
        <w:t>ARE NOT</w:t>
      </w:r>
      <w:r>
        <w:rPr>
          <w:rFonts w:ascii="Arial" w:cs="Arial" w:eastAsia="Arial" w:hAnsi="Arial"/>
          <w:sz w:val="18"/>
          <w:szCs w:val="18"/>
          <w:color w:val="auto"/>
        </w:rPr>
        <w:t xml:space="preserve"> enclosing a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2" w:right="339" w:bottom="1440" w:gutter="0" w:footer="0" w:header="0"/>
          <w:type w:val="continuous"/>
        </w:sectPr>
      </w:pPr>
    </w:p>
    <w:bookmarkStart w:id="348" w:name="page349"/>
    <w:bookmarkEnd w:id="348"/>
    <w:p>
      <w:pPr>
        <w:jc w:val="both"/>
        <w:ind w:right="420" w:firstLine="656"/>
        <w:spacing w:after="0" w:line="343" w:lineRule="auto"/>
        <w:tabs>
          <w:tab w:leader="none" w:pos="1022" w:val="left"/>
        </w:tabs>
        <w:numPr>
          <w:ilvl w:val="0"/>
          <w:numId w:val="284"/>
        </w:numPr>
        <w:rPr>
          <w:rFonts w:ascii="Arial" w:cs="Arial" w:eastAsia="Arial" w:hAnsi="Arial"/>
          <w:sz w:val="19"/>
          <w:szCs w:val="19"/>
          <w:color w:val="auto"/>
        </w:rPr>
      </w:pPr>
      <w:r>
        <w:rPr>
          <w:rFonts w:ascii="Arial" w:cs="Arial" w:eastAsia="Arial" w:hAnsi="Arial"/>
          <w:sz w:val="19"/>
          <w:szCs w:val="19"/>
          <w:color w:val="auto"/>
        </w:rPr>
        <w:t xml:space="preserve">The Fair Market Value at the time of transfer, determined without regard to any restriction other than a restriction which by its terms shall never lapse, of such property is: $_________________ per share </w:t>
      </w:r>
      <w:r>
        <w:rPr>
          <w:rFonts w:ascii="Arial" w:cs="Arial" w:eastAsia="Arial" w:hAnsi="Arial"/>
          <w:sz w:val="17"/>
          <w:szCs w:val="17"/>
          <w:color w:val="auto"/>
        </w:rPr>
        <w:t>x</w:t>
      </w:r>
      <w:r>
        <w:rPr>
          <w:rFonts w:ascii="Arial" w:cs="Arial" w:eastAsia="Arial" w:hAnsi="Arial"/>
          <w:sz w:val="19"/>
          <w:szCs w:val="19"/>
          <w:color w:val="auto"/>
        </w:rPr>
        <w:t xml:space="preserve"> </w:t>
      </w:r>
      <w:r>
        <w:rPr>
          <w:rFonts w:ascii="Arial" w:cs="Arial" w:eastAsia="Arial" w:hAnsi="Arial"/>
          <w:sz w:val="17"/>
          <w:szCs w:val="17"/>
          <w:b w:val="1"/>
          <w:bCs w:val="1"/>
          <w:color w:val="auto"/>
        </w:rPr>
        <w:t>__________</w:t>
      </w:r>
      <w:r>
        <w:rPr>
          <w:rFonts w:ascii="Arial" w:cs="Arial" w:eastAsia="Arial" w:hAnsi="Arial"/>
          <w:sz w:val="19"/>
          <w:szCs w:val="19"/>
          <w:color w:val="auto"/>
        </w:rPr>
        <w:t xml:space="preserve"> </w:t>
      </w:r>
      <w:r>
        <w:rPr>
          <w:rFonts w:ascii="Arial" w:cs="Arial" w:eastAsia="Arial" w:hAnsi="Arial"/>
          <w:sz w:val="17"/>
          <w:szCs w:val="17"/>
          <w:color w:val="auto"/>
        </w:rPr>
        <w:t>shares = $</w:t>
      </w:r>
      <w:r>
        <w:rPr>
          <w:rFonts w:ascii="Arial" w:cs="Arial" w:eastAsia="Arial" w:hAnsi="Arial"/>
          <w:sz w:val="17"/>
          <w:szCs w:val="17"/>
          <w:b w:val="1"/>
          <w:bCs w:val="1"/>
          <w:color w:val="auto"/>
        </w:rPr>
        <w:t>__________</w:t>
      </w:r>
      <w:r>
        <w:rPr>
          <w:rFonts w:ascii="Arial" w:cs="Arial" w:eastAsia="Arial" w:hAnsi="Arial"/>
          <w:sz w:val="19"/>
          <w:szCs w:val="19"/>
          <w:color w:val="auto"/>
        </w:rPr>
        <w:t>.</w:t>
      </w:r>
    </w:p>
    <w:p>
      <w:pPr>
        <w:spacing w:after="0" w:line="50" w:lineRule="exact"/>
        <w:rPr>
          <w:rFonts w:ascii="Arial" w:cs="Arial" w:eastAsia="Arial" w:hAnsi="Arial"/>
          <w:sz w:val="19"/>
          <w:szCs w:val="19"/>
          <w:color w:val="auto"/>
        </w:rPr>
      </w:pPr>
    </w:p>
    <w:p>
      <w:pPr>
        <w:ind w:left="1040" w:hanging="384"/>
        <w:spacing w:after="0"/>
        <w:tabs>
          <w:tab w:leader="none" w:pos="1040" w:val="left"/>
        </w:tabs>
        <w:numPr>
          <w:ilvl w:val="0"/>
          <w:numId w:val="284"/>
        </w:numPr>
        <w:rPr>
          <w:rFonts w:ascii="Arial" w:cs="Arial" w:eastAsia="Arial" w:hAnsi="Arial"/>
          <w:sz w:val="19"/>
          <w:szCs w:val="19"/>
          <w:color w:val="auto"/>
        </w:rPr>
      </w:pPr>
      <w:r>
        <w:rPr>
          <w:rFonts w:ascii="Arial" w:cs="Arial" w:eastAsia="Arial" w:hAnsi="Arial"/>
          <w:sz w:val="19"/>
          <w:szCs w:val="19"/>
          <w:color w:val="auto"/>
        </w:rPr>
        <w:t xml:space="preserve">The amount (if any) paid for such property is: $_________________ per share </w:t>
      </w:r>
      <w:r>
        <w:rPr>
          <w:rFonts w:ascii="Arial" w:cs="Arial" w:eastAsia="Arial" w:hAnsi="Arial"/>
          <w:sz w:val="17"/>
          <w:szCs w:val="17"/>
          <w:color w:val="auto"/>
        </w:rPr>
        <w:t>x</w:t>
      </w:r>
      <w:r>
        <w:rPr>
          <w:rFonts w:ascii="Arial" w:cs="Arial" w:eastAsia="Arial" w:hAnsi="Arial"/>
          <w:sz w:val="19"/>
          <w:szCs w:val="19"/>
          <w:color w:val="auto"/>
        </w:rPr>
        <w:t xml:space="preserve"> </w:t>
      </w:r>
      <w:r>
        <w:rPr>
          <w:rFonts w:ascii="Arial" w:cs="Arial" w:eastAsia="Arial" w:hAnsi="Arial"/>
          <w:sz w:val="17"/>
          <w:szCs w:val="17"/>
          <w:b w:val="1"/>
          <w:bCs w:val="1"/>
          <w:color w:val="auto"/>
        </w:rPr>
        <w:t>__________</w:t>
      </w:r>
      <w:r>
        <w:rPr>
          <w:rFonts w:ascii="Arial" w:cs="Arial" w:eastAsia="Arial" w:hAnsi="Arial"/>
          <w:sz w:val="19"/>
          <w:szCs w:val="19"/>
          <w:color w:val="auto"/>
        </w:rPr>
        <w:t xml:space="preserve"> </w:t>
      </w:r>
      <w:r>
        <w:rPr>
          <w:rFonts w:ascii="Arial" w:cs="Arial" w:eastAsia="Arial" w:hAnsi="Arial"/>
          <w:sz w:val="17"/>
          <w:szCs w:val="17"/>
          <w:color w:val="auto"/>
        </w:rPr>
        <w:t>shares = $</w:t>
      </w:r>
      <w:r>
        <w:rPr>
          <w:rFonts w:ascii="Arial" w:cs="Arial" w:eastAsia="Arial" w:hAnsi="Arial"/>
          <w:sz w:val="17"/>
          <w:szCs w:val="17"/>
          <w:b w:val="1"/>
          <w:bCs w:val="1"/>
          <w:color w:val="auto"/>
        </w:rPr>
        <w:t>__________</w:t>
      </w:r>
      <w:r>
        <w:rPr>
          <w:rFonts w:ascii="Arial" w:cs="Arial" w:eastAsia="Arial" w:hAnsi="Arial"/>
          <w:sz w:val="19"/>
          <w:szCs w:val="19"/>
          <w:color w:val="auto"/>
        </w:rPr>
        <w:t>.</w:t>
      </w:r>
    </w:p>
    <w:p>
      <w:pPr>
        <w:spacing w:after="0" w:line="20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undersigned will file this election with the Internal Revenue Service office with which taxpayer files his or her annual income tax return not later than 30 days after the date of transfer of the property. The undersigned has submitted a copy of this statement to the person for whom the services were performed in connection with the undersigned’s receipt of the above-described property. The transferee of such property is the person performing the services in connection with the transfer of said property.</w:t>
      </w:r>
    </w:p>
    <w:p>
      <w:pPr>
        <w:sectPr>
          <w:pgSz w:w="11900" w:h="16838" w:orient="portrait"/>
          <w:cols w:equalWidth="0" w:num="1">
            <w:col w:w="11240"/>
          </w:cols>
          <w:pgMar w:left="320" w:top="1428" w:right="339" w:bottom="1440" w:gutter="0" w:footer="0" w:header="0"/>
        </w:sectPr>
      </w:pPr>
    </w:p>
    <w:p>
      <w:pPr>
        <w:spacing w:after="0" w:line="192" w:lineRule="exact"/>
        <w:rPr>
          <w:sz w:val="20"/>
          <w:szCs w:val="20"/>
          <w:color w:val="auto"/>
        </w:rPr>
      </w:pPr>
    </w:p>
    <w:p>
      <w:pPr>
        <w:ind w:left="20"/>
        <w:spacing w:after="0"/>
        <w:rPr>
          <w:sz w:val="20"/>
          <w:szCs w:val="20"/>
          <w:color w:val="auto"/>
        </w:rPr>
      </w:pPr>
      <w:r>
        <w:rPr>
          <w:rFonts w:ascii="Arial" w:cs="Arial" w:eastAsia="Arial" w:hAnsi="Arial"/>
          <w:sz w:val="19"/>
          <w:szCs w:val="19"/>
          <w:color w:val="auto"/>
        </w:rPr>
        <w:t>Dated: ______________________, _____</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right="1600"/>
        <w:spacing w:after="0" w:line="343" w:lineRule="auto"/>
        <w:rPr>
          <w:sz w:val="20"/>
          <w:szCs w:val="20"/>
          <w:color w:val="auto"/>
        </w:rPr>
      </w:pPr>
      <w:r>
        <w:rPr>
          <w:rFonts w:ascii="Arial" w:cs="Arial" w:eastAsia="Arial" w:hAnsi="Arial"/>
          <w:sz w:val="19"/>
          <w:szCs w:val="19"/>
          <w:color w:val="auto"/>
        </w:rPr>
        <w:t>_____________________________________ Taxpayer</w:t>
      </w:r>
    </w:p>
    <w:p>
      <w:pPr>
        <w:spacing w:after="0" w:line="200" w:lineRule="exact"/>
        <w:rPr>
          <w:sz w:val="20"/>
          <w:szCs w:val="20"/>
          <w:color w:val="auto"/>
        </w:rPr>
      </w:pPr>
    </w:p>
    <w:p>
      <w:pPr>
        <w:sectPr>
          <w:pgSz w:w="11900" w:h="16838" w:orient="portrait"/>
          <w:cols w:equalWidth="0" w:num="2">
            <w:col w:w="4920" w:space="720"/>
            <w:col w:w="5600"/>
          </w:cols>
          <w:pgMar w:left="320" w:top="142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1428" w:right="339" w:bottom="1440" w:gutter="0" w:footer="0" w:header="0"/>
          <w:type w:val="continuous"/>
        </w:sectPr>
      </w:pPr>
    </w:p>
    <w:bookmarkStart w:id="349" w:name="page350"/>
    <w:bookmarkEnd w:id="349"/>
    <w:tbl>
      <w:tblPr>
        <w:tblLayout w:type="fixed"/>
        <w:tblInd w:w="20" w:type="dxa"/>
        <w:tblCellMar>
          <w:top w:w="0" w:type="dxa"/>
          <w:left w:w="0" w:type="dxa"/>
          <w:bottom w:w="0" w:type="dxa"/>
          <w:right w:w="0" w:type="dxa"/>
        </w:tblCellMar>
      </w:tblPr>
      <w:tr>
        <w:trPr>
          <w:trHeight w:val="253"/>
        </w:trPr>
        <w:tc>
          <w:tcPr>
            <w:tcW w:w="212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rPr>
              <w:t>EXHIBIT C</w:t>
            </w:r>
          </w:p>
        </w:tc>
        <w:tc>
          <w:tcPr>
            <w:tcW w:w="1860" w:type="dxa"/>
            <w:vAlign w:val="bottom"/>
          </w:tcPr>
          <w:p>
            <w:pPr>
              <w:spacing w:after="0"/>
              <w:rPr>
                <w:sz w:val="21"/>
                <w:szCs w:val="21"/>
                <w:color w:val="auto"/>
              </w:rPr>
            </w:pPr>
          </w:p>
        </w:tc>
      </w:tr>
      <w:tr>
        <w:trPr>
          <w:trHeight w:val="449"/>
        </w:trPr>
        <w:tc>
          <w:tcPr>
            <w:tcW w:w="2120" w:type="dxa"/>
            <w:vAlign w:val="bottom"/>
          </w:tcPr>
          <w:p>
            <w:pPr>
              <w:spacing w:after="0"/>
              <w:rPr>
                <w:sz w:val="24"/>
                <w:szCs w:val="24"/>
                <w:color w:val="auto"/>
              </w:rPr>
            </w:pPr>
          </w:p>
        </w:tc>
        <w:tc>
          <w:tcPr>
            <w:tcW w:w="5920" w:type="dxa"/>
            <w:vAlign w:val="bottom"/>
            <w:gridSpan w:val="3"/>
          </w:tcPr>
          <w:p>
            <w:pPr>
              <w:jc w:val="center"/>
              <w:ind w:left="952"/>
              <w:spacing w:after="0"/>
              <w:rPr>
                <w:sz w:val="20"/>
                <w:szCs w:val="20"/>
                <w:color w:val="auto"/>
              </w:rPr>
            </w:pPr>
            <w:r>
              <w:rPr>
                <w:rFonts w:ascii="Arial" w:cs="Arial" w:eastAsia="Arial" w:hAnsi="Arial"/>
                <w:sz w:val="22"/>
                <w:szCs w:val="22"/>
                <w:b w:val="1"/>
                <w:bCs w:val="1"/>
                <w:color w:val="auto"/>
                <w:w w:val="98"/>
              </w:rPr>
              <w:t>INVESTMENT REPRESENTATION STATEMENT</w:t>
            </w:r>
          </w:p>
        </w:tc>
      </w:tr>
      <w:tr>
        <w:trPr>
          <w:trHeight w:val="473"/>
        </w:trPr>
        <w:tc>
          <w:tcPr>
            <w:tcW w:w="2120" w:type="dxa"/>
            <w:vAlign w:val="bottom"/>
          </w:tcPr>
          <w:p>
            <w:pPr>
              <w:spacing w:after="0"/>
              <w:rPr>
                <w:sz w:val="20"/>
                <w:szCs w:val="20"/>
                <w:color w:val="auto"/>
              </w:rPr>
            </w:pPr>
            <w:r>
              <w:rPr>
                <w:rFonts w:ascii="Arial" w:cs="Arial" w:eastAsia="Arial" w:hAnsi="Arial"/>
                <w:sz w:val="22"/>
                <w:szCs w:val="22"/>
                <w:b w:val="1"/>
                <w:bCs w:val="1"/>
                <w:color w:val="auto"/>
              </w:rPr>
              <w:t>PARTICIPANT:</w:t>
            </w:r>
          </w:p>
        </w:tc>
        <w:tc>
          <w:tcPr>
            <w:tcW w:w="5920" w:type="dxa"/>
            <w:vAlign w:val="bottom"/>
            <w:gridSpan w:val="3"/>
          </w:tcPr>
          <w:p>
            <w:pPr>
              <w:ind w:left="600"/>
              <w:spacing w:after="0"/>
              <w:rPr>
                <w:sz w:val="20"/>
                <w:szCs w:val="20"/>
                <w:color w:val="auto"/>
              </w:rPr>
            </w:pPr>
            <w:r>
              <w:rPr>
                <w:rFonts w:ascii="Arial" w:cs="Arial" w:eastAsia="Arial" w:hAnsi="Arial"/>
                <w:sz w:val="22"/>
                <w:szCs w:val="22"/>
                <w:color w:val="auto"/>
              </w:rPr>
              <w:t>[[FIRSTNAME]] [[LASTNAME]]</w:t>
            </w:r>
          </w:p>
        </w:tc>
      </w:tr>
      <w:tr>
        <w:trPr>
          <w:trHeight w:val="527"/>
        </w:trPr>
        <w:tc>
          <w:tcPr>
            <w:tcW w:w="2120" w:type="dxa"/>
            <w:vAlign w:val="bottom"/>
          </w:tcPr>
          <w:p>
            <w:pPr>
              <w:ind w:left="20"/>
              <w:spacing w:after="0"/>
              <w:rPr>
                <w:sz w:val="20"/>
                <w:szCs w:val="20"/>
                <w:color w:val="auto"/>
              </w:rPr>
            </w:pPr>
            <w:r>
              <w:rPr>
                <w:rFonts w:ascii="Arial" w:cs="Arial" w:eastAsia="Arial" w:hAnsi="Arial"/>
                <w:sz w:val="22"/>
                <w:szCs w:val="22"/>
                <w:b w:val="1"/>
                <w:bCs w:val="1"/>
                <w:color w:val="auto"/>
              </w:rPr>
              <w:t>COMPANY:</w:t>
            </w:r>
          </w:p>
        </w:tc>
        <w:tc>
          <w:tcPr>
            <w:tcW w:w="5920" w:type="dxa"/>
            <w:vAlign w:val="bottom"/>
            <w:gridSpan w:val="3"/>
          </w:tcPr>
          <w:p>
            <w:pPr>
              <w:ind w:left="600"/>
              <w:spacing w:after="0"/>
              <w:rPr>
                <w:sz w:val="20"/>
                <w:szCs w:val="20"/>
                <w:color w:val="auto"/>
              </w:rPr>
            </w:pPr>
            <w:r>
              <w:rPr>
                <w:rFonts w:ascii="Arial" w:cs="Arial" w:eastAsia="Arial" w:hAnsi="Arial"/>
                <w:sz w:val="22"/>
                <w:szCs w:val="22"/>
                <w:color w:val="auto"/>
              </w:rPr>
              <w:t>NERDWALLET, INC.</w:t>
            </w:r>
          </w:p>
        </w:tc>
      </w:tr>
      <w:tr>
        <w:trPr>
          <w:trHeight w:val="526"/>
        </w:trPr>
        <w:tc>
          <w:tcPr>
            <w:tcW w:w="2120" w:type="dxa"/>
            <w:vAlign w:val="bottom"/>
          </w:tcPr>
          <w:p>
            <w:pPr>
              <w:ind w:left="20"/>
              <w:spacing w:after="0"/>
              <w:rPr>
                <w:sz w:val="20"/>
                <w:szCs w:val="20"/>
                <w:color w:val="auto"/>
              </w:rPr>
            </w:pPr>
            <w:r>
              <w:rPr>
                <w:rFonts w:ascii="Arial" w:cs="Arial" w:eastAsia="Arial" w:hAnsi="Arial"/>
                <w:sz w:val="22"/>
                <w:szCs w:val="22"/>
                <w:b w:val="1"/>
                <w:bCs w:val="1"/>
                <w:color w:val="auto"/>
              </w:rPr>
              <w:t>SECURITY:</w:t>
            </w:r>
          </w:p>
        </w:tc>
        <w:tc>
          <w:tcPr>
            <w:tcW w:w="5920" w:type="dxa"/>
            <w:vAlign w:val="bottom"/>
            <w:gridSpan w:val="3"/>
          </w:tcPr>
          <w:p>
            <w:pPr>
              <w:ind w:left="600"/>
              <w:spacing w:after="0"/>
              <w:rPr>
                <w:sz w:val="20"/>
                <w:szCs w:val="20"/>
                <w:color w:val="auto"/>
              </w:rPr>
            </w:pPr>
            <w:r>
              <w:rPr>
                <w:rFonts w:ascii="Arial" w:cs="Arial" w:eastAsia="Arial" w:hAnsi="Arial"/>
                <w:sz w:val="22"/>
                <w:szCs w:val="22"/>
                <w:color w:val="auto"/>
              </w:rPr>
              <w:t>COMMON STOCK</w:t>
            </w:r>
          </w:p>
        </w:tc>
      </w:tr>
      <w:tr>
        <w:trPr>
          <w:trHeight w:val="527"/>
        </w:trPr>
        <w:tc>
          <w:tcPr>
            <w:tcW w:w="2120" w:type="dxa"/>
            <w:vAlign w:val="bottom"/>
          </w:tcPr>
          <w:p>
            <w:pPr>
              <w:spacing w:after="0"/>
              <w:rPr>
                <w:sz w:val="20"/>
                <w:szCs w:val="20"/>
                <w:color w:val="auto"/>
              </w:rPr>
            </w:pPr>
            <w:r>
              <w:rPr>
                <w:rFonts w:ascii="Arial" w:cs="Arial" w:eastAsia="Arial" w:hAnsi="Arial"/>
                <w:sz w:val="22"/>
                <w:szCs w:val="22"/>
                <w:b w:val="1"/>
                <w:bCs w:val="1"/>
                <w:color w:val="auto"/>
              </w:rPr>
              <w:t>AMOUNT:</w:t>
            </w:r>
          </w:p>
        </w:tc>
        <w:tc>
          <w:tcPr>
            <w:tcW w:w="2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11"/>
        </w:trPr>
        <w:tc>
          <w:tcPr>
            <w:tcW w:w="2120" w:type="dxa"/>
            <w:vAlign w:val="bottom"/>
          </w:tcPr>
          <w:p>
            <w:pPr>
              <w:spacing w:after="0"/>
              <w:rPr>
                <w:sz w:val="20"/>
                <w:szCs w:val="20"/>
                <w:color w:val="auto"/>
              </w:rPr>
            </w:pPr>
            <w:r>
              <w:rPr>
                <w:rFonts w:ascii="Arial" w:cs="Arial" w:eastAsia="Arial" w:hAnsi="Arial"/>
                <w:sz w:val="22"/>
                <w:szCs w:val="22"/>
                <w:b w:val="1"/>
                <w:bCs w:val="1"/>
                <w:color w:val="auto"/>
              </w:rPr>
              <w:t>DATE:</w:t>
            </w:r>
          </w:p>
        </w:tc>
        <w:tc>
          <w:tcPr>
            <w:tcW w:w="2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266"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In connection with the purchase of the above-listed Securities, the undersigned Participant represents to the Company the following:</w:t>
      </w:r>
    </w:p>
    <w:p>
      <w:pPr>
        <w:spacing w:after="0" w:line="121" w:lineRule="exact"/>
        <w:rPr>
          <w:sz w:val="20"/>
          <w:szCs w:val="20"/>
          <w:color w:val="auto"/>
        </w:rPr>
      </w:pPr>
    </w:p>
    <w:p>
      <w:pPr>
        <w:jc w:val="both"/>
        <w:ind w:firstLine="1304"/>
        <w:spacing w:after="0" w:line="302" w:lineRule="auto"/>
        <w:tabs>
          <w:tab w:leader="none" w:pos="1836" w:val="left"/>
        </w:tabs>
        <w:numPr>
          <w:ilvl w:val="0"/>
          <w:numId w:val="285"/>
        </w:numPr>
        <w:rPr>
          <w:rFonts w:ascii="Arial" w:cs="Arial" w:eastAsia="Arial" w:hAnsi="Arial"/>
          <w:sz w:val="19"/>
          <w:szCs w:val="19"/>
          <w:color w:val="auto"/>
        </w:rPr>
      </w:pPr>
      <w:r>
        <w:rPr>
          <w:rFonts w:ascii="Arial" w:cs="Arial" w:eastAsia="Arial" w:hAnsi="Arial"/>
          <w:sz w:val="19"/>
          <w:szCs w:val="19"/>
          <w:color w:val="auto"/>
        </w:rPr>
        <w:t>Participant is aware of the Company’s business affairs and financial condition and has acquired sufficient information about the Company to reach an informed and knowledgeable decision to acquire the Securities. Participant is acquiring these Securities for investment for Participant’s own account only and not with a view to, or for resale in connection with, any “distribution” thereof within the meaning of the Securities Act of 1933, as amended (the “Securities Act”).</w:t>
      </w:r>
    </w:p>
    <w:p>
      <w:pPr>
        <w:spacing w:after="0" w:line="88" w:lineRule="exact"/>
        <w:rPr>
          <w:rFonts w:ascii="Arial" w:cs="Arial" w:eastAsia="Arial" w:hAnsi="Arial"/>
          <w:sz w:val="19"/>
          <w:szCs w:val="19"/>
          <w:color w:val="auto"/>
        </w:rPr>
      </w:pPr>
    </w:p>
    <w:p>
      <w:pPr>
        <w:jc w:val="both"/>
        <w:ind w:firstLine="1304"/>
        <w:spacing w:after="0" w:line="287" w:lineRule="auto"/>
        <w:tabs>
          <w:tab w:leader="none" w:pos="1901" w:val="left"/>
        </w:tabs>
        <w:numPr>
          <w:ilvl w:val="0"/>
          <w:numId w:val="285"/>
        </w:numPr>
        <w:rPr>
          <w:rFonts w:ascii="Arial" w:cs="Arial" w:eastAsia="Arial" w:hAnsi="Arial"/>
          <w:sz w:val="19"/>
          <w:szCs w:val="19"/>
          <w:color w:val="auto"/>
        </w:rPr>
      </w:pPr>
      <w:r>
        <w:rPr>
          <w:rFonts w:ascii="Arial" w:cs="Arial" w:eastAsia="Arial" w:hAnsi="Arial"/>
          <w:sz w:val="19"/>
          <w:szCs w:val="19"/>
          <w:color w:val="auto"/>
        </w:rPr>
        <w:t>Participant acknowledges and understands that the Securities constitute “restricted securities” under the Securities Act and have not been registered under the Securities Act in reliance upon a specific exemption therefrom, which exemption depends upon, among other things, the bona fide nature of Participant’s investment intent as expressed herein. In this connection, Participant understands that, in the view of the Securities and Exchange Commission, the statutory basis for such exemption may be unavailable if Participant’s representation was predicated solely upon a present intention to hold these Securities for the minimum capital gains period specified under tax statutes, for a deferred sale, for or until an increase or decrease in the market price of the Securities, or for a period of one (1) year or any other fixed period in the future. Participant further understands that the Securities must be held indefinitely unless they are subsequently registered under the Securities Act or an exemption from such registration is available. Participant further acknowledges and understands that the Company is under no obligation to register the Securities. Participant understands that the certificate evidencing the Securities shall be imprinted with any legend required under applicable state securities laws.</w:t>
      </w:r>
    </w:p>
    <w:p>
      <w:pPr>
        <w:spacing w:after="0" w:line="109" w:lineRule="exact"/>
        <w:rPr>
          <w:rFonts w:ascii="Arial" w:cs="Arial" w:eastAsia="Arial" w:hAnsi="Arial"/>
          <w:sz w:val="19"/>
          <w:szCs w:val="19"/>
          <w:color w:val="auto"/>
        </w:rPr>
      </w:pPr>
    </w:p>
    <w:p>
      <w:pPr>
        <w:jc w:val="both"/>
        <w:ind w:firstLine="1304"/>
        <w:spacing w:after="0" w:line="294" w:lineRule="auto"/>
        <w:tabs>
          <w:tab w:leader="none" w:pos="1790" w:val="left"/>
        </w:tabs>
        <w:numPr>
          <w:ilvl w:val="0"/>
          <w:numId w:val="285"/>
        </w:numPr>
        <w:rPr>
          <w:rFonts w:ascii="Arial" w:cs="Arial" w:eastAsia="Arial" w:hAnsi="Arial"/>
          <w:sz w:val="19"/>
          <w:szCs w:val="19"/>
          <w:color w:val="auto"/>
        </w:rPr>
      </w:pPr>
      <w:r>
        <w:rPr>
          <w:rFonts w:ascii="Arial" w:cs="Arial" w:eastAsia="Arial" w:hAnsi="Arial"/>
          <w:sz w:val="19"/>
          <w:szCs w:val="19"/>
          <w:color w:val="auto"/>
        </w:rPr>
        <w:t>Participant is familiar with the provisions of Rule 701 and Rule 144, each promulgated under the Securities Act, which, in substance, permit limited public resale of “restricted securities” acquired, directly or indirectly from the issuer thereof, in a non-public offering subject to the satisfaction of certain conditions. Rule 701 provides that if the issuer qualifies under Rule 701 at the time of the grant of the Option to Participant, the exercise shall be exempt from registration under the Securities Act. In the event the Company becomes subject to the reporting requirements of Section 13 or 15(d) of the Securities Exchange Act of 1934, ninety (90) days thereafter (or such longer period as any market stand-off agreement may require) the</w:t>
      </w:r>
    </w:p>
    <w:p>
      <w:pPr>
        <w:sectPr>
          <w:pgSz w:w="11900" w:h="16838" w:orient="portrait"/>
          <w:cols w:equalWidth="0" w:num="1">
            <w:col w:w="11240"/>
          </w:cols>
          <w:pgMar w:left="320" w:top="1399" w:right="339" w:bottom="1440" w:gutter="0" w:footer="0" w:header="0"/>
        </w:sectPr>
      </w:pPr>
    </w:p>
    <w:bookmarkStart w:id="350" w:name="page351"/>
    <w:bookmarkEnd w:id="350"/>
    <w:p>
      <w:pPr>
        <w:jc w:val="both"/>
        <w:spacing w:after="0" w:line="297" w:lineRule="auto"/>
        <w:rPr>
          <w:sz w:val="20"/>
          <w:szCs w:val="20"/>
          <w:color w:val="auto"/>
        </w:rPr>
      </w:pPr>
      <w:r>
        <w:rPr>
          <w:rFonts w:ascii="Arial" w:cs="Arial" w:eastAsia="Arial" w:hAnsi="Arial"/>
          <w:sz w:val="19"/>
          <w:szCs w:val="19"/>
          <w:color w:val="auto"/>
        </w:rPr>
        <w:t>Securities exempt under Rule 701 may be resold, subject to the satisfaction of the applicable conditions specified by Rule 144, including in the case of affiliates (1) the availability of certain public information about the Company, (2) the amount of Securities being sold during any three (3) month period not exceeding specified limitations, (3) the resale being made in an unsolicited “broker’s transaction”, transactions directly with a “market maker” or “riskless principal transactions” (as those terms are defined under the Securities Exchange Act of 1934) and (4) the timely filing of a Form 144, if applicable.</w:t>
      </w:r>
    </w:p>
    <w:p>
      <w:pPr>
        <w:spacing w:after="0" w:line="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In the event that the Company does not qualify under Rule 701 at the time of grant of the Option, then the Securities may be resold in certain limited circumstances subject to the provisions of Rule 144, which may require (i) the availability of current public information about the Company; (ii) the resale to occur more than a specified period after the purchase and full payment (within the meaning of Rule 144) for the Securities; and (iii) in the case of the sale of Securities by an affiliate, the satisfaction of the conditions set forth in sections (2), (3) and (4) of the paragraph immediately above.</w:t>
      </w:r>
    </w:p>
    <w:p>
      <w:pPr>
        <w:spacing w:after="0" w:line="93" w:lineRule="exact"/>
        <w:rPr>
          <w:sz w:val="20"/>
          <w:szCs w:val="20"/>
          <w:color w:val="auto"/>
        </w:rPr>
      </w:pPr>
    </w:p>
    <w:p>
      <w:pPr>
        <w:jc w:val="both"/>
        <w:ind w:firstLine="656"/>
        <w:spacing w:after="0" w:line="259" w:lineRule="auto"/>
        <w:tabs>
          <w:tab w:leader="none" w:pos="1248" w:val="left"/>
        </w:tabs>
        <w:numPr>
          <w:ilvl w:val="0"/>
          <w:numId w:val="286"/>
        </w:numPr>
        <w:rPr>
          <w:rFonts w:ascii="Arial" w:cs="Arial" w:eastAsia="Arial" w:hAnsi="Arial"/>
          <w:sz w:val="21"/>
          <w:szCs w:val="21"/>
          <w:color w:val="auto"/>
        </w:rPr>
      </w:pPr>
      <w:r>
        <w:rPr>
          <w:rFonts w:ascii="Arial" w:cs="Arial" w:eastAsia="Arial" w:hAnsi="Arial"/>
          <w:sz w:val="21"/>
          <w:szCs w:val="21"/>
          <w:color w:val="auto"/>
        </w:rPr>
        <w:t>Participant further understands that in the event all of the applicable requirements of Rule 701 or 144 are not satisfied, registration under the Securities Act, compliance with Regulation A, or some other registration exemption shall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Rules 144 or 701 shall have a substantial burden of proof in establishing that an exemption from registration is available for such offers or sales, and that such persons and their respective brokers who participate in such transactions do so at their own risk. Participant understands that no assurances can be given that any such other registration exemption shall be available in such event.</w:t>
      </w:r>
    </w:p>
    <w:p>
      <w:pPr>
        <w:spacing w:after="0" w:line="177" w:lineRule="exact"/>
        <w:rPr>
          <w:sz w:val="20"/>
          <w:szCs w:val="20"/>
          <w:color w:val="auto"/>
        </w:rPr>
      </w:pPr>
    </w:p>
    <w:p>
      <w:pPr>
        <w:ind w:left="5640"/>
        <w:spacing w:after="0"/>
        <w:rPr>
          <w:sz w:val="20"/>
          <w:szCs w:val="20"/>
          <w:color w:val="auto"/>
        </w:rPr>
      </w:pPr>
      <w:r>
        <w:rPr>
          <w:rFonts w:ascii="Arial" w:cs="Arial" w:eastAsia="Arial" w:hAnsi="Arial"/>
          <w:sz w:val="22"/>
          <w:szCs w:val="22"/>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[[FIRSTNAME]] [[LASTNAME]]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24130</wp:posOffset>
            </wp:positionV>
            <wp:extent cx="35661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367030</wp:posOffset>
            </wp:positionV>
            <wp:extent cx="356616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ind w:left="44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351" w:name="page352"/>
    <w:bookmarkEnd w:id="351"/>
    <w:p>
      <w:pPr>
        <w:jc w:val="right"/>
        <w:spacing w:after="0"/>
        <w:rPr>
          <w:sz w:val="20"/>
          <w:szCs w:val="20"/>
          <w:color w:val="auto"/>
        </w:rPr>
      </w:pPr>
      <w:r>
        <w:rPr>
          <w:rFonts w:ascii="Arial" w:cs="Arial" w:eastAsia="Arial" w:hAnsi="Arial"/>
          <w:sz w:val="18"/>
          <w:szCs w:val="18"/>
          <w:b w:val="1"/>
          <w:bCs w:val="1"/>
          <w:color w:val="auto"/>
        </w:rPr>
        <w:t>Exhibit 10.8</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Current U.S. Employee Single Tier RSU Grant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w:t>
      </w:r>
      <w:r>
        <w:rPr>
          <w:rFonts w:ascii="Arial" w:cs="Arial" w:eastAsia="Arial" w:hAnsi="Arial"/>
          <w:sz w:val="16"/>
          <w:szCs w:val="16"/>
          <w:b w:val="1"/>
          <w:bCs w:val="1"/>
          <w:color w:val="auto"/>
        </w:rPr>
        <w:t>ERD</w:t>
      </w:r>
      <w:r>
        <w:rPr>
          <w:rFonts w:ascii="Arial" w:cs="Arial" w:eastAsia="Arial" w:hAnsi="Arial"/>
          <w:sz w:val="20"/>
          <w:szCs w:val="20"/>
          <w:b w:val="1"/>
          <w:bCs w:val="1"/>
          <w:color w:val="auto"/>
        </w:rPr>
        <w:t>W</w:t>
      </w:r>
      <w:r>
        <w:rPr>
          <w:rFonts w:ascii="Arial" w:cs="Arial" w:eastAsia="Arial" w:hAnsi="Arial"/>
          <w:sz w:val="16"/>
          <w:szCs w:val="16"/>
          <w:b w:val="1"/>
          <w:bCs w:val="1"/>
          <w:color w:val="auto"/>
        </w:rPr>
        <w:t>ALLET</w:t>
      </w:r>
      <w:r>
        <w:rPr>
          <w:rFonts w:ascii="Arial" w:cs="Arial" w:eastAsia="Arial" w:hAnsi="Arial"/>
          <w:sz w:val="20"/>
          <w:szCs w:val="20"/>
          <w:b w:val="1"/>
          <w:bCs w:val="1"/>
          <w:color w:val="auto"/>
        </w:rPr>
        <w:t>, I</w:t>
      </w:r>
      <w:r>
        <w:rPr>
          <w:rFonts w:ascii="Arial" w:cs="Arial" w:eastAsia="Arial" w:hAnsi="Arial"/>
          <w:sz w:val="16"/>
          <w:szCs w:val="16"/>
          <w:b w:val="1"/>
          <w:bCs w:val="1"/>
          <w:color w:val="auto"/>
        </w:rPr>
        <w:t>NC</w:t>
      </w:r>
      <w:r>
        <w:rPr>
          <w:rFonts w:ascii="Arial" w:cs="Arial" w:eastAsia="Arial" w:hAnsi="Arial"/>
          <w:sz w:val="20"/>
          <w:szCs w:val="20"/>
          <w:b w:val="1"/>
          <w:bCs w:val="1"/>
          <w:color w:val="auto"/>
        </w:rPr>
        <w: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w:t>
      </w:r>
      <w:r>
        <w:rPr>
          <w:rFonts w:ascii="Arial" w:cs="Arial" w:eastAsia="Arial" w:hAnsi="Arial"/>
          <w:sz w:val="16"/>
          <w:szCs w:val="16"/>
          <w:b w:val="1"/>
          <w:bCs w:val="1"/>
          <w:color w:val="auto"/>
        </w:rPr>
        <w:t>ESTRICTED</w:t>
      </w:r>
      <w:r>
        <w:rPr>
          <w:rFonts w:ascii="Arial" w:cs="Arial" w:eastAsia="Arial" w:hAnsi="Arial"/>
          <w:sz w:val="20"/>
          <w:szCs w:val="20"/>
          <w:b w:val="1"/>
          <w:bCs w:val="1"/>
          <w:color w:val="auto"/>
        </w:rPr>
        <w:t xml:space="preserve"> S</w:t>
      </w:r>
      <w:r>
        <w:rPr>
          <w:rFonts w:ascii="Arial" w:cs="Arial" w:eastAsia="Arial" w:hAnsi="Arial"/>
          <w:sz w:val="16"/>
          <w:szCs w:val="16"/>
          <w:b w:val="1"/>
          <w:bCs w:val="1"/>
          <w:color w:val="auto"/>
        </w:rPr>
        <w:t>TOCK</w:t>
      </w:r>
      <w:r>
        <w:rPr>
          <w:rFonts w:ascii="Arial" w:cs="Arial" w:eastAsia="Arial" w:hAnsi="Arial"/>
          <w:sz w:val="20"/>
          <w:szCs w:val="20"/>
          <w:b w:val="1"/>
          <w:bCs w:val="1"/>
          <w:color w:val="auto"/>
        </w:rPr>
        <w:t xml:space="preserve"> U</w:t>
      </w:r>
      <w:r>
        <w:rPr>
          <w:rFonts w:ascii="Arial" w:cs="Arial" w:eastAsia="Arial" w:hAnsi="Arial"/>
          <w:sz w:val="16"/>
          <w:szCs w:val="16"/>
          <w:b w:val="1"/>
          <w:bCs w:val="1"/>
          <w:color w:val="auto"/>
        </w:rPr>
        <w:t>NIT</w:t>
      </w:r>
      <w:r>
        <w:rPr>
          <w:rFonts w:ascii="Arial" w:cs="Arial" w:eastAsia="Arial" w:hAnsi="Arial"/>
          <w:sz w:val="20"/>
          <w:szCs w:val="20"/>
          <w:b w:val="1"/>
          <w:bCs w:val="1"/>
          <w:color w:val="auto"/>
        </w:rPr>
        <w:t xml:space="preserve"> G</w:t>
      </w:r>
      <w:r>
        <w:rPr>
          <w:rFonts w:ascii="Arial" w:cs="Arial" w:eastAsia="Arial" w:hAnsi="Arial"/>
          <w:sz w:val="16"/>
          <w:szCs w:val="16"/>
          <w:b w:val="1"/>
          <w:bCs w:val="1"/>
          <w:color w:val="auto"/>
        </w:rPr>
        <w:t>RANT</w:t>
      </w:r>
      <w:r>
        <w:rPr>
          <w:rFonts w:ascii="Arial" w:cs="Arial" w:eastAsia="Arial" w:hAnsi="Arial"/>
          <w:sz w:val="20"/>
          <w:szCs w:val="20"/>
          <w:b w:val="1"/>
          <w:bCs w:val="1"/>
          <w:color w:val="auto"/>
        </w:rPr>
        <w:t xml:space="preserve"> N</w:t>
      </w:r>
      <w:r>
        <w:rPr>
          <w:rFonts w:ascii="Arial" w:cs="Arial" w:eastAsia="Arial" w:hAnsi="Arial"/>
          <w:sz w:val="16"/>
          <w:szCs w:val="16"/>
          <w:b w:val="1"/>
          <w:bCs w:val="1"/>
          <w:color w:val="auto"/>
        </w:rPr>
        <w:t>OTICE</w:t>
      </w:r>
    </w:p>
    <w:p>
      <w:pPr>
        <w:jc w:val="center"/>
        <w:spacing w:after="0"/>
        <w:rPr>
          <w:sz w:val="20"/>
          <w:szCs w:val="20"/>
          <w:color w:val="auto"/>
        </w:rPr>
      </w:pPr>
      <w:r>
        <w:rPr>
          <w:rFonts w:ascii="Arial" w:cs="Arial" w:eastAsia="Arial" w:hAnsi="Arial"/>
          <w:sz w:val="20"/>
          <w:szCs w:val="20"/>
          <w:b w:val="1"/>
          <w:bCs w:val="1"/>
          <w:color w:val="auto"/>
        </w:rPr>
        <w:t>(2012 E</w:t>
      </w:r>
      <w:r>
        <w:rPr>
          <w:rFonts w:ascii="Arial" w:cs="Arial" w:eastAsia="Arial" w:hAnsi="Arial"/>
          <w:sz w:val="16"/>
          <w:szCs w:val="16"/>
          <w:b w:val="1"/>
          <w:bCs w:val="1"/>
          <w:color w:val="auto"/>
        </w:rPr>
        <w:t>QUITY</w:t>
      </w:r>
      <w:r>
        <w:rPr>
          <w:rFonts w:ascii="Arial" w:cs="Arial" w:eastAsia="Arial" w:hAnsi="Arial"/>
          <w:sz w:val="20"/>
          <w:szCs w:val="20"/>
          <w:b w:val="1"/>
          <w:bCs w:val="1"/>
          <w:color w:val="auto"/>
        </w:rPr>
        <w:t xml:space="preserve"> I</w:t>
      </w:r>
      <w:r>
        <w:rPr>
          <w:rFonts w:ascii="Arial" w:cs="Arial" w:eastAsia="Arial" w:hAnsi="Arial"/>
          <w:sz w:val="16"/>
          <w:szCs w:val="16"/>
          <w:b w:val="1"/>
          <w:bCs w:val="1"/>
          <w:color w:val="auto"/>
        </w:rPr>
        <w:t>NCENTIVE</w:t>
      </w:r>
      <w:r>
        <w:rPr>
          <w:rFonts w:ascii="Arial" w:cs="Arial" w:eastAsia="Arial" w:hAnsi="Arial"/>
          <w:sz w:val="20"/>
          <w:szCs w:val="20"/>
          <w:b w:val="1"/>
          <w:bCs w:val="1"/>
          <w:color w:val="auto"/>
        </w:rPr>
        <w:t xml:space="preserve"> P</w:t>
      </w:r>
      <w:r>
        <w:rPr>
          <w:rFonts w:ascii="Arial" w:cs="Arial" w:eastAsia="Arial" w:hAnsi="Arial"/>
          <w:sz w:val="16"/>
          <w:szCs w:val="16"/>
          <w:b w:val="1"/>
          <w:bCs w:val="1"/>
          <w:color w:val="auto"/>
        </w:rPr>
        <w:t>LAN</w:t>
      </w:r>
      <w:r>
        <w:rPr>
          <w:rFonts w:ascii="Arial" w:cs="Arial" w:eastAsia="Arial" w:hAnsi="Arial"/>
          <w:sz w:val="20"/>
          <w:szCs w:val="20"/>
          <w:b w:val="1"/>
          <w:bCs w:val="1"/>
          <w:color w:val="auto"/>
        </w:rPr>
        <w:t>)</w:t>
      </w:r>
    </w:p>
    <w:p>
      <w:pPr>
        <w:spacing w:after="0" w:line="14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NerdWallet,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pursuant to its 2012 Equity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hereby awards to Participant named below a Restricted Stock Unit Award for the number of Shares (“</w:t>
      </w:r>
      <w:r>
        <w:rPr>
          <w:rFonts w:ascii="Arial" w:cs="Arial" w:eastAsia="Arial" w:hAnsi="Arial"/>
          <w:sz w:val="20"/>
          <w:szCs w:val="20"/>
          <w:b w:val="1"/>
          <w:bCs w:val="1"/>
          <w:i w:val="1"/>
          <w:iCs w:val="1"/>
          <w:color w:val="auto"/>
        </w:rPr>
        <w:t>Restricted Stock Units</w:t>
      </w:r>
      <w:r>
        <w:rPr>
          <w:rFonts w:ascii="Arial" w:cs="Arial" w:eastAsia="Arial" w:hAnsi="Arial"/>
          <w:sz w:val="20"/>
          <w:szCs w:val="20"/>
          <w:color w:val="auto"/>
        </w:rPr>
        <w:t>”) set forth below (the “</w:t>
      </w:r>
      <w:r>
        <w:rPr>
          <w:rFonts w:ascii="Arial" w:cs="Arial" w:eastAsia="Arial" w:hAnsi="Arial"/>
          <w:sz w:val="20"/>
          <w:szCs w:val="20"/>
          <w:b w:val="1"/>
          <w:bCs w:val="1"/>
          <w:i w:val="1"/>
          <w:iCs w:val="1"/>
          <w:color w:val="auto"/>
        </w:rPr>
        <w:t>Award</w:t>
      </w:r>
      <w:r>
        <w:rPr>
          <w:rFonts w:ascii="Arial" w:cs="Arial" w:eastAsia="Arial" w:hAnsi="Arial"/>
          <w:sz w:val="20"/>
          <w:szCs w:val="20"/>
          <w:color w:val="auto"/>
        </w:rPr>
        <w:t>”). The Award is subject to all of the terms and conditions as set forth in this Restricted Stock Unit Grant Notice (this “</w:t>
      </w:r>
      <w:r>
        <w:rPr>
          <w:rFonts w:ascii="Arial" w:cs="Arial" w:eastAsia="Arial" w:hAnsi="Arial"/>
          <w:sz w:val="20"/>
          <w:szCs w:val="20"/>
          <w:b w:val="1"/>
          <w:bCs w:val="1"/>
          <w:i w:val="1"/>
          <w:iCs w:val="1"/>
          <w:color w:val="auto"/>
        </w:rPr>
        <w:t>Grant Notice</w:t>
      </w:r>
      <w:r>
        <w:rPr>
          <w:rFonts w:ascii="Arial" w:cs="Arial" w:eastAsia="Arial" w:hAnsi="Arial"/>
          <w:sz w:val="20"/>
          <w:szCs w:val="20"/>
          <w:color w:val="auto"/>
        </w:rPr>
        <w:t>”), and in the Plan and the Restricted Stock Unit Award Agreement (the “</w:t>
      </w:r>
      <w:r>
        <w:rPr>
          <w:rFonts w:ascii="Arial" w:cs="Arial" w:eastAsia="Arial" w:hAnsi="Arial"/>
          <w:sz w:val="20"/>
          <w:szCs w:val="20"/>
          <w:b w:val="1"/>
          <w:bCs w:val="1"/>
          <w:i w:val="1"/>
          <w:iCs w:val="1"/>
          <w:color w:val="auto"/>
        </w:rPr>
        <w:t>Award Agreement</w:t>
      </w:r>
      <w:r>
        <w:rPr>
          <w:rFonts w:ascii="Arial" w:cs="Arial" w:eastAsia="Arial" w:hAnsi="Arial"/>
          <w:sz w:val="20"/>
          <w:szCs w:val="20"/>
          <w:color w:val="auto"/>
        </w:rPr>
        <w:t>”), both of which are attached hereto and incorporated herein in their entirety. Capitalized terms not explicitly defined herein shall have the meanings set forth in the Plan or the Award Agreement. In the event of any conflict between the terms in this Restricted Stock Unit Grant Notice or the Award Agreement and the Plan, the terms of the Plan shall control.</w:t>
      </w:r>
    </w:p>
    <w:p>
      <w:pPr>
        <w:sectPr>
          <w:pgSz w:w="11900" w:h="16838" w:orient="portrait"/>
          <w:cols w:equalWidth="0" w:num="1">
            <w:col w:w="11240"/>
          </w:cols>
          <w:pgMar w:left="320" w:top="121" w:right="339" w:bottom="1440" w:gutter="0" w:footer="0" w:header="0"/>
        </w:sectPr>
      </w:pPr>
    </w:p>
    <w:p>
      <w:pPr>
        <w:spacing w:after="0" w:line="193" w:lineRule="exact"/>
        <w:rPr>
          <w:sz w:val="20"/>
          <w:szCs w:val="20"/>
          <w:color w:val="auto"/>
        </w:rPr>
      </w:pPr>
    </w:p>
    <w:p>
      <w:pPr>
        <w:ind w:left="680"/>
        <w:spacing w:after="0"/>
        <w:rPr>
          <w:sz w:val="20"/>
          <w:szCs w:val="20"/>
          <w:color w:val="auto"/>
        </w:rPr>
      </w:pPr>
      <w:r>
        <w:rPr>
          <w:rFonts w:ascii="Arial" w:cs="Arial" w:eastAsia="Arial" w:hAnsi="Arial"/>
          <w:sz w:val="20"/>
          <w:szCs w:val="20"/>
          <w:color w:val="auto"/>
        </w:rPr>
        <w:t>Participant:</w:t>
      </w:r>
    </w:p>
    <w:p>
      <w:pPr>
        <w:spacing w:after="0" w:line="54" w:lineRule="exact"/>
        <w:rPr>
          <w:sz w:val="20"/>
          <w:szCs w:val="20"/>
          <w:color w:val="auto"/>
        </w:rPr>
      </w:pPr>
    </w:p>
    <w:p>
      <w:pPr>
        <w:ind w:left="680"/>
        <w:spacing w:after="0"/>
        <w:rPr>
          <w:sz w:val="20"/>
          <w:szCs w:val="20"/>
          <w:color w:val="auto"/>
        </w:rPr>
      </w:pPr>
      <w:r>
        <w:rPr>
          <w:rFonts w:ascii="Arial" w:cs="Arial" w:eastAsia="Arial" w:hAnsi="Arial"/>
          <w:sz w:val="20"/>
          <w:szCs w:val="20"/>
          <w:color w:val="auto"/>
        </w:rPr>
        <w:t>Date of Grant:</w:t>
      </w:r>
    </w:p>
    <w:p>
      <w:pPr>
        <w:spacing w:after="0" w:line="67" w:lineRule="exact"/>
        <w:rPr>
          <w:sz w:val="20"/>
          <w:szCs w:val="20"/>
          <w:color w:val="auto"/>
        </w:rPr>
      </w:pPr>
    </w:p>
    <w:p>
      <w:pPr>
        <w:ind w:left="680"/>
        <w:spacing w:after="0"/>
        <w:rPr>
          <w:sz w:val="20"/>
          <w:szCs w:val="20"/>
          <w:color w:val="auto"/>
        </w:rPr>
      </w:pPr>
      <w:r>
        <w:rPr>
          <w:rFonts w:ascii="Arial" w:cs="Arial" w:eastAsia="Arial" w:hAnsi="Arial"/>
          <w:sz w:val="20"/>
          <w:szCs w:val="20"/>
          <w:color w:val="auto"/>
        </w:rPr>
        <w:t>Date of Grant:</w:t>
      </w:r>
    </w:p>
    <w:p>
      <w:pPr>
        <w:spacing w:after="0" w:line="6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Number of Restricted Stock Units:</w:t>
      </w:r>
    </w:p>
    <w:p>
      <w:pPr>
        <w:spacing w:after="0" w:line="90" w:lineRule="exact"/>
        <w:rPr>
          <w:sz w:val="20"/>
          <w:szCs w:val="20"/>
          <w:color w:val="auto"/>
        </w:rPr>
      </w:pPr>
    </w:p>
    <w:p>
      <w:pPr>
        <w:ind w:left="680"/>
        <w:spacing w:after="0"/>
        <w:rPr>
          <w:sz w:val="20"/>
          <w:szCs w:val="20"/>
          <w:color w:val="auto"/>
        </w:rPr>
      </w:pPr>
      <w:r>
        <w:rPr>
          <w:rFonts w:ascii="Arial" w:cs="Arial" w:eastAsia="Arial" w:hAnsi="Arial"/>
          <w:sz w:val="20"/>
          <w:szCs w:val="20"/>
          <w:color w:val="auto"/>
        </w:rPr>
        <w:t>Expiration Date: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Vesting Schedule:</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wp:posOffset>
            </wp:positionV>
            <wp:extent cx="27260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«Grant_Date»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wp:posOffset>
            </wp:positionV>
            <wp:extent cx="272605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«Vest_Date»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wp:posOffset>
            </wp:positionV>
            <wp:extent cx="27260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wp:posOffset>
            </wp:positionV>
            <wp:extent cx="333438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47"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The earlier to occur of: (a) the date on which settlement of all vested RSUs granted hereunder occurs and (b) the tenth anniversary of the Date of Grant.</w:t>
      </w:r>
    </w:p>
    <w:p>
      <w:pPr>
        <w:spacing w:after="0" w:line="645" w:lineRule="exact"/>
        <w:rPr>
          <w:sz w:val="20"/>
          <w:szCs w:val="20"/>
          <w:color w:val="auto"/>
        </w:rPr>
      </w:pPr>
    </w:p>
    <w:p>
      <w:pPr>
        <w:sectPr>
          <w:pgSz w:w="11900" w:h="16838" w:orient="portrait"/>
          <w:cols w:equalWidth="0" w:num="2">
            <w:col w:w="5280" w:space="720"/>
            <w:col w:w="5240"/>
          </w:cols>
          <w:pgMar w:left="320" w:top="121" w:right="339" w:bottom="1440" w:gutter="0" w:footer="0" w:header="0"/>
          <w:type w:val="continuous"/>
        </w:sectPr>
      </w:pPr>
    </w:p>
    <w:p>
      <w:pPr>
        <w:ind w:right="40"/>
        <w:spacing w:after="0" w:line="250" w:lineRule="auto"/>
        <w:rPr>
          <w:sz w:val="20"/>
          <w:szCs w:val="20"/>
          <w:color w:val="auto"/>
        </w:rPr>
      </w:pPr>
      <w:r>
        <w:rPr>
          <w:rFonts w:ascii="Arial" w:cs="Arial" w:eastAsia="Arial" w:hAnsi="Arial"/>
          <w:sz w:val="20"/>
          <w:szCs w:val="20"/>
          <w:color w:val="auto"/>
        </w:rPr>
        <w:t>[FOR NEW HIRES: The Restricted Stock Units will be completely vested once a Participant has been a Service Provider on 17 consecutive Quarterly Installment Dates (approximately four years). A number of Shares shall vest on each Quarterly Installment Date as follows, subject to Participant being a Service Provider through such date:</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20"/>
          <w:szCs w:val="20"/>
          <w:color w:val="auto"/>
        </w:rPr>
        <w:t>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through 4</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Quarterly Installment Date: No Vesting.</w:t>
      </w:r>
    </w:p>
    <w:p>
      <w:pPr>
        <w:ind w:left="660" w:right="40" w:hanging="125"/>
        <w:spacing w:after="0" w:line="225" w:lineRule="auto"/>
        <w:rPr>
          <w:sz w:val="20"/>
          <w:szCs w:val="20"/>
          <w:color w:val="auto"/>
        </w:rPr>
      </w:pPr>
      <w:r>
        <w:rPr>
          <w:rFonts w:ascii="Arial" w:cs="Arial" w:eastAsia="Arial" w:hAnsi="Arial"/>
          <w:sz w:val="20"/>
          <w:szCs w:val="20"/>
          <w:color w:val="auto"/>
        </w:rPr>
        <w:t>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Quarterly Installment Date: A number of Shares subject to the Award shall vest equal to the product of (i) the number of Restricted Stock Units granted, multiplied by (ii) a fraction, (x) the numerator of which shall be the number of days that have elapsed since, and including, the Vesting Commencement Date and (y) the denominator of which shall be one thousand four hundred sixty (1,460), rounded down to the nearest whole Share.</w:t>
      </w:r>
    </w:p>
    <w:p>
      <w:pPr>
        <w:spacing w:after="0" w:line="2" w:lineRule="exact"/>
        <w:rPr>
          <w:sz w:val="20"/>
          <w:szCs w:val="20"/>
          <w:color w:val="auto"/>
        </w:rPr>
      </w:pPr>
    </w:p>
    <w:p>
      <w:pPr>
        <w:ind w:left="660" w:right="400" w:hanging="125"/>
        <w:spacing w:after="0" w:line="212" w:lineRule="auto"/>
        <w:rPr>
          <w:sz w:val="20"/>
          <w:szCs w:val="20"/>
          <w:color w:val="auto"/>
        </w:rPr>
      </w:pPr>
      <w:r>
        <w:rPr>
          <w:rFonts w:ascii="Arial" w:cs="Arial" w:eastAsia="Arial" w:hAnsi="Arial"/>
          <w:sz w:val="20"/>
          <w:szCs w:val="20"/>
          <w:color w:val="auto"/>
        </w:rPr>
        <w:t>6</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through 16</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Quarterly Installment Date: 1/16</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of the number of Restricted Stock Units granted shall vest, rounded down to the nearest whole Share.</w:t>
      </w:r>
    </w:p>
    <w:p>
      <w:pPr>
        <w:spacing w:after="0" w:line="2" w:lineRule="exact"/>
        <w:rPr>
          <w:sz w:val="20"/>
          <w:szCs w:val="20"/>
          <w:color w:val="auto"/>
        </w:rPr>
      </w:pPr>
    </w:p>
    <w:p>
      <w:pPr>
        <w:ind w:left="520"/>
        <w:spacing w:after="0"/>
        <w:rPr>
          <w:sz w:val="20"/>
          <w:szCs w:val="20"/>
          <w:color w:val="auto"/>
        </w:rPr>
      </w:pPr>
      <w:r>
        <w:rPr>
          <w:rFonts w:ascii="Arial" w:cs="Arial" w:eastAsia="Arial" w:hAnsi="Arial"/>
          <w:sz w:val="20"/>
          <w:szCs w:val="20"/>
          <w:color w:val="auto"/>
        </w:rPr>
        <w:t>17</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Quarterly Installment Date: All then unvested Restricted Stock Units shall vest.]</w:t>
      </w:r>
    </w:p>
    <w:p>
      <w:pPr>
        <w:spacing w:after="0" w:line="94"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[FOR EXISTING NERDS: 1/16</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of the Shares subject to the Award shall vest on each of the Quarterly Installment Dates following the Vesting Commencement Date (in each case rounded down to the nearest whole Share, except for the last vesting date), subject to Participant being a Service Provider through each such vesting date.]</w:t>
      </w:r>
    </w:p>
    <w:p>
      <w:pPr>
        <w:spacing w:after="0" w:line="144" w:lineRule="exact"/>
        <w:rPr>
          <w:sz w:val="20"/>
          <w:szCs w:val="20"/>
          <w:color w:val="auto"/>
        </w:rPr>
      </w:pPr>
    </w:p>
    <w:p>
      <w:pPr>
        <w:ind w:right="660"/>
        <w:spacing w:after="0" w:line="260" w:lineRule="auto"/>
        <w:rPr>
          <w:sz w:val="20"/>
          <w:szCs w:val="20"/>
          <w:color w:val="auto"/>
        </w:rPr>
      </w:pP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Quarterly Installment Date</w:t>
      </w:r>
      <w:r>
        <w:rPr>
          <w:rFonts w:ascii="Arial" w:cs="Arial" w:eastAsia="Arial" w:hAnsi="Arial"/>
          <w:sz w:val="20"/>
          <w:szCs w:val="20"/>
          <w:color w:val="auto"/>
        </w:rPr>
        <w:t>” means March 1, June 1, September 1, and December 1 of each year, provided, that if such date is not a</w:t>
      </w:r>
      <w:r>
        <w:rPr>
          <w:rFonts w:ascii="Arial" w:cs="Arial" w:eastAsia="Arial" w:hAnsi="Arial"/>
          <w:sz w:val="20"/>
          <w:szCs w:val="20"/>
          <w:i w:val="1"/>
          <w:iCs w:val="1"/>
          <w:color w:val="auto"/>
        </w:rPr>
        <w:t xml:space="preserve"> </w:t>
      </w:r>
      <w:r>
        <w:rPr>
          <w:rFonts w:ascii="Arial" w:cs="Arial" w:eastAsia="Arial" w:hAnsi="Arial"/>
          <w:sz w:val="20"/>
          <w:szCs w:val="20"/>
          <w:color w:val="auto"/>
        </w:rPr>
        <w:t>business day, the Quarterly Installment Date shall be the first business day after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auto"/>
        </w:rPr>
        <w:t>1</w:t>
      </w:r>
    </w:p>
    <w:p>
      <w:pPr>
        <w:sectPr>
          <w:pgSz w:w="11900" w:h="16838" w:orient="portrait"/>
          <w:cols w:equalWidth="0" w:num="1">
            <w:col w:w="11240"/>
          </w:cols>
          <w:pgMar w:left="320" w:top="121" w:right="339" w:bottom="1440" w:gutter="0" w:footer="0" w:header="0"/>
          <w:type w:val="continuous"/>
        </w:sectPr>
      </w:pPr>
    </w:p>
    <w:bookmarkStart w:id="352" w:name="page353"/>
    <w:bookmarkEnd w:id="352"/>
    <w:p>
      <w:pPr>
        <w:spacing w:after="0" w:line="189" w:lineRule="exact"/>
        <w:rPr>
          <w:sz w:val="20"/>
          <w:szCs w:val="20"/>
          <w:color w:val="auto"/>
        </w:rPr>
      </w:pPr>
    </w:p>
    <w:p>
      <w:pPr>
        <w:ind w:left="2540" w:right="20" w:hanging="2510"/>
        <w:spacing w:after="0" w:line="316" w:lineRule="auto"/>
        <w:tabs>
          <w:tab w:leader="none" w:pos="2520" w:val="left"/>
        </w:tabs>
        <w:rPr>
          <w:sz w:val="20"/>
          <w:szCs w:val="20"/>
          <w:color w:val="auto"/>
        </w:rPr>
      </w:pPr>
      <w:r>
        <w:rPr>
          <w:rFonts w:ascii="Arial" w:cs="Arial" w:eastAsia="Arial" w:hAnsi="Arial"/>
          <w:sz w:val="20"/>
          <w:szCs w:val="20"/>
          <w:b w:val="1"/>
          <w:bCs w:val="1"/>
          <w:color w:val="auto"/>
        </w:rPr>
        <w:t>Issuance Schedule:</w:t>
      </w:r>
      <w:r>
        <w:rPr>
          <w:sz w:val="20"/>
          <w:szCs w:val="20"/>
          <w:color w:val="auto"/>
        </w:rPr>
        <w:tab/>
      </w:r>
      <w:r>
        <w:rPr>
          <w:rFonts w:ascii="Arial" w:cs="Arial" w:eastAsia="Arial" w:hAnsi="Arial"/>
          <w:sz w:val="18"/>
          <w:szCs w:val="18"/>
          <w:color w:val="auto"/>
        </w:rPr>
        <w:t>Subject to any adjustment as provided for in Section 3 of the Award Agreement, one Share will be issued for each Restricted Stock Unit that vests at the time set forth in Section 5 of the Award Agreement.</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color w:val="auto"/>
        </w:rPr>
        <w:t xml:space="preserve">Additional Terms/Acknowledgements: </w:t>
      </w:r>
      <w:r>
        <w:rPr>
          <w:rFonts w:ascii="Arial" w:cs="Arial" w:eastAsia="Arial" w:hAnsi="Arial"/>
          <w:sz w:val="18"/>
          <w:szCs w:val="18"/>
          <w:color w:val="auto"/>
        </w:rPr>
        <w:t>Participant acknowledges receipt of, and understands and agrees to, this Grant Notice, the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the Plan. Participant further acknowledges that as of the Date of Grant, this Grant Notice, the Award Agreement and the Plan set forth the entire understanding between Participant and the Company regarding the acquisition of the Common Stock pursuant to the Award specified above and supersede all prior oral and written agreements on the terms of this Award, with the exception, if applicable, of (i) restricted stock unit awards or options previously granted and delivered to Participant, (ii) the written employment agreement, offer letter or other written agreement entered into between the Company and Participant specifying the terms that should govern this specific Award, and</w:t>
      </w:r>
    </w:p>
    <w:p>
      <w:pPr>
        <w:spacing w:after="0" w:line="2" w:lineRule="exact"/>
        <w:rPr>
          <w:sz w:val="20"/>
          <w:szCs w:val="20"/>
          <w:color w:val="auto"/>
        </w:rPr>
      </w:pPr>
    </w:p>
    <w:p>
      <w:pPr>
        <w:jc w:val="both"/>
        <w:ind w:firstLine="8"/>
        <w:spacing w:after="0"/>
        <w:tabs>
          <w:tab w:leader="none" w:pos="353" w:val="left"/>
        </w:tabs>
        <w:numPr>
          <w:ilvl w:val="0"/>
          <w:numId w:val="287"/>
        </w:numPr>
        <w:rPr>
          <w:rFonts w:ascii="Arial" w:cs="Arial" w:eastAsia="Arial" w:hAnsi="Arial"/>
          <w:sz w:val="20"/>
          <w:szCs w:val="20"/>
          <w:color w:val="auto"/>
        </w:rPr>
      </w:pPr>
      <w:r>
        <w:rPr>
          <w:rFonts w:ascii="Arial" w:cs="Arial" w:eastAsia="Arial" w:hAnsi="Arial"/>
          <w:sz w:val="20"/>
          <w:szCs w:val="20"/>
          <w:color w:val="auto"/>
        </w:rPr>
        <w:t>any compensation recovery policy that is adopted by the Company or is otherwise required by applicable law. Participant acknowledges that there may be tax consequences as a result of the Restricted Stock Units (including upon grant or settlement of the Restricted Stock Units or disposition of the Shares) and that Participant should consult a tax adviser generally about the taxation of the Restricted Stock Units. Participant agrees and acknowledges that the Vesting Schedule may change prospectively in the event that Participant’s service status changes (for example, between full and part-time status).</w:t>
      </w:r>
    </w:p>
    <w:p>
      <w:pPr>
        <w:spacing w:after="0" w:line="14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By accepting this Award, Participant acknowledges having received and read the Grant Notice, the Award Agreement and the Plan and agrees to all of the terms and conditions set forth in these documents. Participant consents to receive Plan documents by electronic delivery and to participate in the Plan through an on-line or electronic system established and maintained by the Company or another third party designated by the Company.</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5260" w:type="dxa"/>
            <w:vAlign w:val="bottom"/>
            <w:gridSpan w:val="2"/>
          </w:tcPr>
          <w:p>
            <w:pPr>
              <w:spacing w:after="0"/>
              <w:rPr>
                <w:sz w:val="20"/>
                <w:szCs w:val="20"/>
                <w:color w:val="auto"/>
              </w:rPr>
            </w:pPr>
            <w:r>
              <w:rPr>
                <w:rFonts w:ascii="Arial" w:cs="Arial" w:eastAsia="Arial" w:hAnsi="Arial"/>
                <w:sz w:val="20"/>
                <w:szCs w:val="20"/>
                <w:b w:val="1"/>
                <w:bCs w:val="1"/>
                <w:color w:val="auto"/>
              </w:rPr>
              <w:t>N</w:t>
            </w:r>
            <w:r>
              <w:rPr>
                <w:rFonts w:ascii="Arial" w:cs="Arial" w:eastAsia="Arial" w:hAnsi="Arial"/>
                <w:sz w:val="16"/>
                <w:szCs w:val="16"/>
                <w:b w:val="1"/>
                <w:bCs w:val="1"/>
                <w:color w:val="auto"/>
              </w:rPr>
              <w:t>ERD</w:t>
            </w:r>
            <w:r>
              <w:rPr>
                <w:rFonts w:ascii="Arial" w:cs="Arial" w:eastAsia="Arial" w:hAnsi="Arial"/>
                <w:sz w:val="20"/>
                <w:szCs w:val="20"/>
                <w:b w:val="1"/>
                <w:bCs w:val="1"/>
                <w:color w:val="auto"/>
              </w:rPr>
              <w:t>W</w:t>
            </w:r>
            <w:r>
              <w:rPr>
                <w:rFonts w:ascii="Arial" w:cs="Arial" w:eastAsia="Arial" w:hAnsi="Arial"/>
                <w:sz w:val="16"/>
                <w:szCs w:val="16"/>
                <w:b w:val="1"/>
                <w:bCs w:val="1"/>
                <w:color w:val="auto"/>
              </w:rPr>
              <w:t>ALLET</w:t>
            </w:r>
            <w:r>
              <w:rPr>
                <w:rFonts w:ascii="Arial" w:cs="Arial" w:eastAsia="Arial" w:hAnsi="Arial"/>
                <w:sz w:val="20"/>
                <w:szCs w:val="20"/>
                <w:b w:val="1"/>
                <w:bCs w:val="1"/>
                <w:color w:val="auto"/>
              </w:rPr>
              <w:t>, I</w:t>
            </w:r>
            <w:r>
              <w:rPr>
                <w:rFonts w:ascii="Arial" w:cs="Arial" w:eastAsia="Arial" w:hAnsi="Arial"/>
                <w:sz w:val="16"/>
                <w:szCs w:val="16"/>
                <w:b w:val="1"/>
                <w:bCs w:val="1"/>
                <w:color w:val="auto"/>
              </w:rPr>
              <w:t>NC</w:t>
            </w:r>
            <w:r>
              <w:rPr>
                <w:rFonts w:ascii="Arial" w:cs="Arial" w:eastAsia="Arial" w:hAnsi="Arial"/>
                <w:sz w:val="20"/>
                <w:szCs w:val="20"/>
                <w:b w:val="1"/>
                <w:bCs w:val="1"/>
                <w:color w:val="auto"/>
              </w:rPr>
              <w:t>.</w:t>
            </w:r>
          </w:p>
        </w:tc>
        <w:tc>
          <w:tcPr>
            <w:tcW w:w="680" w:type="dxa"/>
            <w:vAlign w:val="bottom"/>
          </w:tcPr>
          <w:p>
            <w:pPr>
              <w:spacing w:after="0"/>
              <w:rPr>
                <w:sz w:val="22"/>
                <w:szCs w:val="22"/>
                <w:color w:val="auto"/>
              </w:rPr>
            </w:pPr>
          </w:p>
        </w:tc>
        <w:tc>
          <w:tcPr>
            <w:tcW w:w="5280" w:type="dxa"/>
            <w:vAlign w:val="bottom"/>
            <w:gridSpan w:val="2"/>
          </w:tcPr>
          <w:p>
            <w:pPr>
              <w:ind w:left="20"/>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6"/>
                <w:szCs w:val="16"/>
                <w:b w:val="1"/>
                <w:bCs w:val="1"/>
                <w:color w:val="auto"/>
              </w:rPr>
              <w:t>ARTICIPANT</w:t>
            </w:r>
          </w:p>
        </w:tc>
      </w:tr>
      <w:tr>
        <w:trPr>
          <w:trHeight w:val="553"/>
        </w:trPr>
        <w:tc>
          <w:tcPr>
            <w:tcW w:w="5260" w:type="dxa"/>
            <w:vAlign w:val="bottom"/>
            <w:gridSpan w:val="2"/>
          </w:tcPr>
          <w:p>
            <w:pPr>
              <w:spacing w:after="0"/>
              <w:rPr>
                <w:sz w:val="20"/>
                <w:szCs w:val="20"/>
                <w:color w:val="auto"/>
              </w:rPr>
            </w:pPr>
            <w:r>
              <w:rPr>
                <w:rFonts w:ascii="Arial" w:cs="Arial" w:eastAsia="Arial" w:hAnsi="Arial"/>
                <w:sz w:val="20"/>
                <w:szCs w:val="20"/>
                <w:color w:val="auto"/>
              </w:rPr>
              <w:t>By:</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23"/>
        </w:trPr>
        <w:tc>
          <w:tcPr>
            <w:tcW w:w="7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54"/>
        </w:trPr>
        <w:tc>
          <w:tcPr>
            <w:tcW w:w="700" w:type="dxa"/>
            <w:vAlign w:val="bottom"/>
          </w:tcPr>
          <w:p>
            <w:pPr>
              <w:spacing w:after="0"/>
              <w:rPr>
                <w:sz w:val="22"/>
                <w:szCs w:val="22"/>
                <w:color w:val="auto"/>
              </w:rPr>
            </w:pPr>
          </w:p>
        </w:tc>
        <w:tc>
          <w:tcPr>
            <w:tcW w:w="4560" w:type="dxa"/>
            <w:vAlign w:val="bottom"/>
          </w:tcPr>
          <w:p>
            <w:pPr>
              <w:ind w:left="1540"/>
              <w:spacing w:after="0"/>
              <w:rPr>
                <w:sz w:val="20"/>
                <w:szCs w:val="20"/>
                <w:color w:val="auto"/>
              </w:rPr>
            </w:pPr>
            <w:r>
              <w:rPr>
                <w:rFonts w:ascii="Arial" w:cs="Arial" w:eastAsia="Arial" w:hAnsi="Arial"/>
                <w:sz w:val="20"/>
                <w:szCs w:val="20"/>
                <w:color w:val="auto"/>
              </w:rPr>
              <w:t>Signature</w:t>
            </w:r>
          </w:p>
        </w:tc>
        <w:tc>
          <w:tcPr>
            <w:tcW w:w="6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540" w:type="dxa"/>
            <w:vAlign w:val="bottom"/>
          </w:tcPr>
          <w:p>
            <w:pPr>
              <w:ind w:left="1520"/>
              <w:spacing w:after="0"/>
              <w:rPr>
                <w:sz w:val="20"/>
                <w:szCs w:val="20"/>
                <w:color w:val="auto"/>
              </w:rPr>
            </w:pPr>
            <w:r>
              <w:rPr>
                <w:rFonts w:ascii="Arial" w:cs="Arial" w:eastAsia="Arial" w:hAnsi="Arial"/>
                <w:sz w:val="20"/>
                <w:szCs w:val="20"/>
                <w:color w:val="auto"/>
              </w:rPr>
              <w:t>Signature</w:t>
            </w:r>
          </w:p>
        </w:tc>
      </w:tr>
      <w:tr>
        <w:trPr>
          <w:trHeight w:val="283"/>
        </w:trPr>
        <w:tc>
          <w:tcPr>
            <w:tcW w:w="5260" w:type="dxa"/>
            <w:vAlign w:val="bottom"/>
            <w:gridSpan w:val="2"/>
          </w:tcPr>
          <w:p>
            <w:pPr>
              <w:spacing w:after="0"/>
              <w:rPr>
                <w:sz w:val="20"/>
                <w:szCs w:val="20"/>
                <w:color w:val="auto"/>
              </w:rPr>
            </w:pPr>
            <w:r>
              <w:rPr>
                <w:rFonts w:ascii="Arial" w:cs="Arial" w:eastAsia="Arial" w:hAnsi="Arial"/>
                <w:sz w:val="20"/>
                <w:szCs w:val="20"/>
                <w:color w:val="auto"/>
              </w:rPr>
              <w:t>Title:</w:t>
            </w:r>
          </w:p>
        </w:tc>
        <w:tc>
          <w:tcPr>
            <w:tcW w:w="680" w:type="dxa"/>
            <w:vAlign w:val="bottom"/>
          </w:tcPr>
          <w:p>
            <w:pPr>
              <w:spacing w:after="0"/>
              <w:rPr>
                <w:sz w:val="24"/>
                <w:szCs w:val="24"/>
                <w:color w:val="auto"/>
              </w:rPr>
            </w:pPr>
          </w:p>
        </w:tc>
        <w:tc>
          <w:tcPr>
            <w:tcW w:w="5280" w:type="dxa"/>
            <w:vAlign w:val="bottom"/>
            <w:gridSpan w:val="2"/>
          </w:tcPr>
          <w:p>
            <w:pPr>
              <w:ind w:left="20"/>
              <w:spacing w:after="0"/>
              <w:rPr>
                <w:sz w:val="20"/>
                <w:szCs w:val="20"/>
                <w:color w:val="auto"/>
              </w:rPr>
            </w:pPr>
            <w:r>
              <w:rPr>
                <w:rFonts w:ascii="Arial" w:cs="Arial" w:eastAsia="Arial" w:hAnsi="Arial"/>
                <w:sz w:val="20"/>
                <w:szCs w:val="20"/>
                <w:color w:val="auto"/>
              </w:rPr>
              <w:t>Date:</w:t>
            </w:r>
          </w:p>
        </w:tc>
      </w:tr>
      <w:tr>
        <w:trPr>
          <w:trHeight w:val="23"/>
        </w:trPr>
        <w:tc>
          <w:tcPr>
            <w:tcW w:w="7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403"/>
        </w:trPr>
        <w:tc>
          <w:tcPr>
            <w:tcW w:w="5260" w:type="dxa"/>
            <w:vAlign w:val="bottom"/>
            <w:gridSpan w:val="2"/>
          </w:tcPr>
          <w:p>
            <w:pPr>
              <w:spacing w:after="0"/>
              <w:rPr>
                <w:sz w:val="20"/>
                <w:szCs w:val="20"/>
                <w:color w:val="auto"/>
              </w:rPr>
            </w:pPr>
            <w:r>
              <w:rPr>
                <w:rFonts w:ascii="Arial" w:cs="Arial" w:eastAsia="Arial" w:hAnsi="Arial"/>
                <w:sz w:val="20"/>
                <w:szCs w:val="20"/>
                <w:color w:val="auto"/>
              </w:rPr>
              <w:t>Date:</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23"/>
        </w:trPr>
        <w:tc>
          <w:tcPr>
            <w:tcW w:w="7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540" w:type="dxa"/>
            <w:vAlign w:val="bottom"/>
          </w:tcPr>
          <w:p>
            <w:pPr>
              <w:spacing w:after="0"/>
              <w:rPr>
                <w:sz w:val="2"/>
                <w:szCs w:val="2"/>
                <w:color w:val="auto"/>
              </w:rPr>
            </w:pPr>
          </w:p>
        </w:tc>
      </w:tr>
      <w:tr>
        <w:trPr>
          <w:trHeight w:val="524"/>
        </w:trPr>
        <w:tc>
          <w:tcPr>
            <w:tcW w:w="5260" w:type="dxa"/>
            <w:vAlign w:val="bottom"/>
            <w:gridSpan w:val="2"/>
          </w:tcPr>
          <w:p>
            <w:pPr>
              <w:ind w:left="140"/>
              <w:spacing w:after="0"/>
              <w:rPr>
                <w:sz w:val="20"/>
                <w:szCs w:val="20"/>
                <w:color w:val="auto"/>
              </w:rPr>
            </w:pPr>
            <w:r>
              <w:rPr>
                <w:rFonts w:ascii="Arial" w:cs="Arial" w:eastAsia="Arial" w:hAnsi="Arial"/>
                <w:sz w:val="20"/>
                <w:szCs w:val="20"/>
                <w:color w:val="auto"/>
              </w:rPr>
              <w:t>Award Agreement and 2012 Equity Incentive Plan</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5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2</w:t>
      </w:r>
    </w:p>
    <w:p>
      <w:pPr>
        <w:sectPr>
          <w:pgSz w:w="11900" w:h="16838" w:orient="portrait"/>
          <w:cols w:equalWidth="0" w:num="1">
            <w:col w:w="11240"/>
          </w:cols>
          <w:pgMar w:left="320" w:top="1440" w:right="339" w:bottom="1440" w:gutter="0" w:footer="0" w:header="0"/>
        </w:sectPr>
      </w:pPr>
    </w:p>
    <w:bookmarkStart w:id="353" w:name="page354"/>
    <w:bookmarkEnd w:id="353"/>
    <w:p>
      <w:pPr>
        <w:jc w:val="center"/>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6"/>
          <w:szCs w:val="16"/>
          <w:b w:val="1"/>
          <w:bCs w:val="1"/>
          <w:color w:val="auto"/>
        </w:rPr>
        <w:t>TTACHMENT</w:t>
      </w:r>
      <w:r>
        <w:rPr>
          <w:rFonts w:ascii="Arial" w:cs="Arial" w:eastAsia="Arial" w:hAnsi="Arial"/>
          <w:sz w:val="20"/>
          <w:szCs w:val="20"/>
          <w:b w:val="1"/>
          <w:bCs w:val="1"/>
          <w:color w:val="auto"/>
        </w:rPr>
        <w:t xml:space="preserv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w:t>
      </w:r>
      <w:r>
        <w:rPr>
          <w:rFonts w:ascii="Arial" w:cs="Arial" w:eastAsia="Arial" w:hAnsi="Arial"/>
          <w:sz w:val="16"/>
          <w:szCs w:val="16"/>
          <w:b w:val="1"/>
          <w:bCs w:val="1"/>
          <w:color w:val="auto"/>
        </w:rPr>
        <w:t>ERD</w:t>
      </w:r>
      <w:r>
        <w:rPr>
          <w:rFonts w:ascii="Arial" w:cs="Arial" w:eastAsia="Arial" w:hAnsi="Arial"/>
          <w:sz w:val="20"/>
          <w:szCs w:val="20"/>
          <w:b w:val="1"/>
          <w:bCs w:val="1"/>
          <w:color w:val="auto"/>
        </w:rPr>
        <w:t>W</w:t>
      </w:r>
      <w:r>
        <w:rPr>
          <w:rFonts w:ascii="Arial" w:cs="Arial" w:eastAsia="Arial" w:hAnsi="Arial"/>
          <w:sz w:val="16"/>
          <w:szCs w:val="16"/>
          <w:b w:val="1"/>
          <w:bCs w:val="1"/>
          <w:color w:val="auto"/>
        </w:rPr>
        <w:t>ALLET</w:t>
      </w:r>
      <w:r>
        <w:rPr>
          <w:rFonts w:ascii="Arial" w:cs="Arial" w:eastAsia="Arial" w:hAnsi="Arial"/>
          <w:sz w:val="20"/>
          <w:szCs w:val="20"/>
          <w:b w:val="1"/>
          <w:bCs w:val="1"/>
          <w:color w:val="auto"/>
        </w:rPr>
        <w:t>, I</w:t>
      </w:r>
      <w:r>
        <w:rPr>
          <w:rFonts w:ascii="Arial" w:cs="Arial" w:eastAsia="Arial" w:hAnsi="Arial"/>
          <w:sz w:val="16"/>
          <w:szCs w:val="16"/>
          <w:b w:val="1"/>
          <w:bCs w:val="1"/>
          <w:color w:val="auto"/>
        </w:rPr>
        <w:t>NC</w:t>
      </w:r>
      <w:r>
        <w:rPr>
          <w:rFonts w:ascii="Arial" w:cs="Arial" w:eastAsia="Arial" w:hAnsi="Arial"/>
          <w:sz w:val="20"/>
          <w:szCs w:val="20"/>
          <w:b w:val="1"/>
          <w:bCs w:val="1"/>
          <w:color w:val="auto"/>
        </w:rPr>
        <w: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2012 E</w:t>
      </w:r>
      <w:r>
        <w:rPr>
          <w:rFonts w:ascii="Arial" w:cs="Arial" w:eastAsia="Arial" w:hAnsi="Arial"/>
          <w:sz w:val="16"/>
          <w:szCs w:val="16"/>
          <w:b w:val="1"/>
          <w:bCs w:val="1"/>
          <w:color w:val="auto"/>
        </w:rPr>
        <w:t>QUITY</w:t>
      </w:r>
      <w:r>
        <w:rPr>
          <w:rFonts w:ascii="Arial" w:cs="Arial" w:eastAsia="Arial" w:hAnsi="Arial"/>
          <w:sz w:val="20"/>
          <w:szCs w:val="20"/>
          <w:b w:val="1"/>
          <w:bCs w:val="1"/>
          <w:color w:val="auto"/>
        </w:rPr>
        <w:t xml:space="preserve"> I</w:t>
      </w:r>
      <w:r>
        <w:rPr>
          <w:rFonts w:ascii="Arial" w:cs="Arial" w:eastAsia="Arial" w:hAnsi="Arial"/>
          <w:sz w:val="16"/>
          <w:szCs w:val="16"/>
          <w:b w:val="1"/>
          <w:bCs w:val="1"/>
          <w:color w:val="auto"/>
        </w:rPr>
        <w:t>NCENTIVE</w:t>
      </w:r>
      <w:r>
        <w:rPr>
          <w:rFonts w:ascii="Arial" w:cs="Arial" w:eastAsia="Arial" w:hAnsi="Arial"/>
          <w:sz w:val="20"/>
          <w:szCs w:val="20"/>
          <w:b w:val="1"/>
          <w:bCs w:val="1"/>
          <w:color w:val="auto"/>
        </w:rPr>
        <w:t xml:space="preserve"> P</w:t>
      </w:r>
      <w:r>
        <w:rPr>
          <w:rFonts w:ascii="Arial" w:cs="Arial" w:eastAsia="Arial" w:hAnsi="Arial"/>
          <w:sz w:val="16"/>
          <w:szCs w:val="16"/>
          <w:b w:val="1"/>
          <w:bCs w:val="1"/>
          <w:color w:val="auto"/>
        </w:rPr>
        <w:t>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w:t>
      </w:r>
      <w:r>
        <w:rPr>
          <w:rFonts w:ascii="Arial" w:cs="Arial" w:eastAsia="Arial" w:hAnsi="Arial"/>
          <w:sz w:val="16"/>
          <w:szCs w:val="16"/>
          <w:b w:val="1"/>
          <w:bCs w:val="1"/>
          <w:color w:val="auto"/>
        </w:rPr>
        <w:t>ESTRICTED</w:t>
      </w:r>
      <w:r>
        <w:rPr>
          <w:rFonts w:ascii="Arial" w:cs="Arial" w:eastAsia="Arial" w:hAnsi="Arial"/>
          <w:sz w:val="20"/>
          <w:szCs w:val="20"/>
          <w:b w:val="1"/>
          <w:bCs w:val="1"/>
          <w:color w:val="auto"/>
        </w:rPr>
        <w:t xml:space="preserve"> S</w:t>
      </w:r>
      <w:r>
        <w:rPr>
          <w:rFonts w:ascii="Arial" w:cs="Arial" w:eastAsia="Arial" w:hAnsi="Arial"/>
          <w:sz w:val="16"/>
          <w:szCs w:val="16"/>
          <w:b w:val="1"/>
          <w:bCs w:val="1"/>
          <w:color w:val="auto"/>
        </w:rPr>
        <w:t>TOCK</w:t>
      </w:r>
      <w:r>
        <w:rPr>
          <w:rFonts w:ascii="Arial" w:cs="Arial" w:eastAsia="Arial" w:hAnsi="Arial"/>
          <w:sz w:val="20"/>
          <w:szCs w:val="20"/>
          <w:b w:val="1"/>
          <w:bCs w:val="1"/>
          <w:color w:val="auto"/>
        </w:rPr>
        <w:t xml:space="preserve"> U</w:t>
      </w:r>
      <w:r>
        <w:rPr>
          <w:rFonts w:ascii="Arial" w:cs="Arial" w:eastAsia="Arial" w:hAnsi="Arial"/>
          <w:sz w:val="16"/>
          <w:szCs w:val="16"/>
          <w:b w:val="1"/>
          <w:bCs w:val="1"/>
          <w:color w:val="auto"/>
        </w:rPr>
        <w:t>NIT</w:t>
      </w:r>
      <w:r>
        <w:rPr>
          <w:rFonts w:ascii="Arial" w:cs="Arial" w:eastAsia="Arial" w:hAnsi="Arial"/>
          <w:sz w:val="20"/>
          <w:szCs w:val="20"/>
          <w:b w:val="1"/>
          <w:bCs w:val="1"/>
          <w:color w:val="auto"/>
        </w:rPr>
        <w:t xml:space="preserve"> A</w:t>
      </w:r>
      <w:r>
        <w:rPr>
          <w:rFonts w:ascii="Arial" w:cs="Arial" w:eastAsia="Arial" w:hAnsi="Arial"/>
          <w:sz w:val="16"/>
          <w:szCs w:val="16"/>
          <w:b w:val="1"/>
          <w:bCs w:val="1"/>
          <w:color w:val="auto"/>
        </w:rPr>
        <w:t>WARD</w:t>
      </w:r>
      <w:r>
        <w:rPr>
          <w:rFonts w:ascii="Arial" w:cs="Arial" w:eastAsia="Arial" w:hAnsi="Arial"/>
          <w:sz w:val="20"/>
          <w:szCs w:val="20"/>
          <w:b w:val="1"/>
          <w:bCs w:val="1"/>
          <w:color w:val="auto"/>
        </w:rPr>
        <w:t xml:space="preserve"> A</w:t>
      </w:r>
      <w:r>
        <w:rPr>
          <w:rFonts w:ascii="Arial" w:cs="Arial" w:eastAsia="Arial" w:hAnsi="Arial"/>
          <w:sz w:val="16"/>
          <w:szCs w:val="16"/>
          <w:b w:val="1"/>
          <w:bCs w:val="1"/>
          <w:color w:val="auto"/>
        </w:rPr>
        <w:t>GREEMENT</w:t>
      </w:r>
    </w:p>
    <w:p>
      <w:pPr>
        <w:spacing w:after="0" w:line="14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Pursuant to the Restricted Stock Unit Grant Notice (the “</w:t>
      </w:r>
      <w:r>
        <w:rPr>
          <w:rFonts w:ascii="Arial" w:cs="Arial" w:eastAsia="Arial" w:hAnsi="Arial"/>
          <w:sz w:val="19"/>
          <w:szCs w:val="19"/>
          <w:b w:val="1"/>
          <w:bCs w:val="1"/>
          <w:i w:val="1"/>
          <w:iCs w:val="1"/>
          <w:color w:val="auto"/>
        </w:rPr>
        <w:t>Grant Notice</w:t>
      </w:r>
      <w:r>
        <w:rPr>
          <w:rFonts w:ascii="Arial" w:cs="Arial" w:eastAsia="Arial" w:hAnsi="Arial"/>
          <w:sz w:val="19"/>
          <w:szCs w:val="19"/>
          <w:color w:val="auto"/>
        </w:rPr>
        <w:t>”) and this Restricted Stock Unit Award Agreement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NerdWallet,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has awarded you (“</w:t>
      </w:r>
      <w:r>
        <w:rPr>
          <w:rFonts w:ascii="Arial" w:cs="Arial" w:eastAsia="Arial" w:hAnsi="Arial"/>
          <w:sz w:val="19"/>
          <w:szCs w:val="19"/>
          <w:b w:val="1"/>
          <w:bCs w:val="1"/>
          <w:i w:val="1"/>
          <w:iCs w:val="1"/>
          <w:color w:val="auto"/>
        </w:rPr>
        <w:t>Participant</w:t>
      </w:r>
      <w:r>
        <w:rPr>
          <w:rFonts w:ascii="Arial" w:cs="Arial" w:eastAsia="Arial" w:hAnsi="Arial"/>
          <w:sz w:val="19"/>
          <w:szCs w:val="19"/>
          <w:color w:val="auto"/>
        </w:rPr>
        <w:t>”) a Restricted Stock Unit Award (the “</w:t>
      </w:r>
      <w:r>
        <w:rPr>
          <w:rFonts w:ascii="Arial" w:cs="Arial" w:eastAsia="Arial" w:hAnsi="Arial"/>
          <w:sz w:val="19"/>
          <w:szCs w:val="19"/>
          <w:b w:val="1"/>
          <w:bCs w:val="1"/>
          <w:i w:val="1"/>
          <w:iCs w:val="1"/>
          <w:color w:val="auto"/>
        </w:rPr>
        <w:t>Award</w:t>
      </w:r>
      <w:r>
        <w:rPr>
          <w:rFonts w:ascii="Arial" w:cs="Arial" w:eastAsia="Arial" w:hAnsi="Arial"/>
          <w:sz w:val="19"/>
          <w:szCs w:val="19"/>
          <w:color w:val="auto"/>
        </w:rPr>
        <w:t>”) pursuant to the Company’s 2012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for the number of Restricted Stock Units/Shares indicated in the Grant Notice. Capitalized terms not explicitly defined in this Agreement or the Grant Notice shall have the same meanings given to them in the Plan. The terms of Participant’s Award, in addition to those set forth in the Grant Notice, are as follows.</w:t>
      </w:r>
    </w:p>
    <w:p>
      <w:pPr>
        <w:spacing w:after="0" w:line="120" w:lineRule="exact"/>
        <w:rPr>
          <w:sz w:val="20"/>
          <w:szCs w:val="20"/>
          <w:color w:val="auto"/>
        </w:rPr>
      </w:pPr>
    </w:p>
    <w:p>
      <w:pPr>
        <w:jc w:val="both"/>
        <w:ind w:firstLine="656"/>
        <w:spacing w:after="0" w:line="253" w:lineRule="auto"/>
        <w:tabs>
          <w:tab w:leader="none" w:pos="1035" w:val="left"/>
        </w:tabs>
        <w:numPr>
          <w:ilvl w:val="0"/>
          <w:numId w:val="288"/>
        </w:numPr>
        <w:rPr>
          <w:rFonts w:ascii="Arial" w:cs="Arial" w:eastAsia="Arial" w:hAnsi="Arial"/>
          <w:sz w:val="20"/>
          <w:szCs w:val="20"/>
          <w:b w:val="1"/>
          <w:bCs w:val="1"/>
          <w:color w:val="auto"/>
        </w:rPr>
      </w:pPr>
      <w:r>
        <w:rPr>
          <w:rFonts w:ascii="Arial" w:cs="Arial" w:eastAsia="Arial" w:hAnsi="Arial"/>
          <w:sz w:val="20"/>
          <w:szCs w:val="20"/>
          <w:b w:val="1"/>
          <w:bCs w:val="1"/>
          <w:color w:val="auto"/>
        </w:rPr>
        <w:t>G</w:t>
      </w:r>
      <w:r>
        <w:rPr>
          <w:rFonts w:ascii="Arial" w:cs="Arial" w:eastAsia="Arial" w:hAnsi="Arial"/>
          <w:sz w:val="16"/>
          <w:szCs w:val="16"/>
          <w:b w:val="1"/>
          <w:bCs w:val="1"/>
          <w:color w:val="auto"/>
        </w:rPr>
        <w:t>RANT OF THE</w:t>
      </w:r>
      <w:r>
        <w:rPr>
          <w:rFonts w:ascii="Arial" w:cs="Arial" w:eastAsia="Arial" w:hAnsi="Arial"/>
          <w:sz w:val="20"/>
          <w:szCs w:val="20"/>
          <w:b w:val="1"/>
          <w:bCs w:val="1"/>
          <w:color w:val="auto"/>
        </w:rPr>
        <w:t xml:space="preserve"> A</w:t>
      </w:r>
      <w:r>
        <w:rPr>
          <w:rFonts w:ascii="Arial" w:cs="Arial" w:eastAsia="Arial" w:hAnsi="Arial"/>
          <w:sz w:val="16"/>
          <w:szCs w:val="16"/>
          <w:b w:val="1"/>
          <w:bCs w:val="1"/>
          <w:color w:val="auto"/>
        </w:rPr>
        <w:t>WARD</w:t>
      </w:r>
      <w:r>
        <w:rPr>
          <w:rFonts w:ascii="Arial" w:cs="Arial" w:eastAsia="Arial" w:hAnsi="Arial"/>
          <w:sz w:val="20"/>
          <w:szCs w:val="20"/>
          <w:b w:val="1"/>
          <w:bCs w:val="1"/>
          <w:color w:val="auto"/>
        </w:rPr>
        <w:t xml:space="preserve">. </w:t>
      </w:r>
      <w:r>
        <w:rPr>
          <w:rFonts w:ascii="Arial" w:cs="Arial" w:eastAsia="Arial" w:hAnsi="Arial"/>
          <w:sz w:val="20"/>
          <w:szCs w:val="20"/>
          <w:color w:val="auto"/>
        </w:rPr>
        <w:t>This Award represents the right to be issued on a future date one (1) Share for each Restricted Stock</w:t>
      </w:r>
      <w:r>
        <w:rPr>
          <w:rFonts w:ascii="Arial" w:cs="Arial" w:eastAsia="Arial" w:hAnsi="Arial"/>
          <w:sz w:val="20"/>
          <w:szCs w:val="20"/>
          <w:b w:val="1"/>
          <w:bCs w:val="1"/>
          <w:color w:val="auto"/>
        </w:rPr>
        <w:t xml:space="preserve"> </w:t>
      </w:r>
      <w:r>
        <w:rPr>
          <w:rFonts w:ascii="Arial" w:cs="Arial" w:eastAsia="Arial" w:hAnsi="Arial"/>
          <w:sz w:val="20"/>
          <w:szCs w:val="20"/>
          <w:color w:val="auto"/>
        </w:rPr>
        <w:t>Unit that vests on the applicable vesting date(s) (subject to any adjustment under Section 3 below) as indicated in the Grant Notice. This Award was granted in consideration of Participant’s services to the Company.</w:t>
      </w:r>
    </w:p>
    <w:p>
      <w:pPr>
        <w:spacing w:after="0" w:line="123" w:lineRule="exact"/>
        <w:rPr>
          <w:rFonts w:ascii="Arial" w:cs="Arial" w:eastAsia="Arial" w:hAnsi="Arial"/>
          <w:sz w:val="20"/>
          <w:szCs w:val="20"/>
          <w:b w:val="1"/>
          <w:bCs w:val="1"/>
          <w:color w:val="auto"/>
        </w:rPr>
      </w:pPr>
    </w:p>
    <w:p>
      <w:pPr>
        <w:jc w:val="both"/>
        <w:ind w:firstLine="656"/>
        <w:spacing w:after="0" w:line="265" w:lineRule="auto"/>
        <w:tabs>
          <w:tab w:leader="none" w:pos="1072" w:val="left"/>
        </w:tabs>
        <w:numPr>
          <w:ilvl w:val="0"/>
          <w:numId w:val="288"/>
        </w:numPr>
        <w:rPr>
          <w:rFonts w:ascii="Arial" w:cs="Arial" w:eastAsia="Arial" w:hAnsi="Arial"/>
          <w:sz w:val="19"/>
          <w:szCs w:val="19"/>
          <w:b w:val="1"/>
          <w:bCs w:val="1"/>
          <w:color w:val="auto"/>
        </w:rPr>
      </w:pPr>
      <w:r>
        <w:rPr>
          <w:rFonts w:ascii="Arial" w:cs="Arial" w:eastAsia="Arial" w:hAnsi="Arial"/>
          <w:sz w:val="19"/>
          <w:szCs w:val="19"/>
          <w:b w:val="1"/>
          <w:bCs w:val="1"/>
          <w:color w:val="auto"/>
        </w:rPr>
        <w:t>V</w:t>
      </w:r>
      <w:r>
        <w:rPr>
          <w:rFonts w:ascii="Arial" w:cs="Arial" w:eastAsia="Arial" w:hAnsi="Arial"/>
          <w:sz w:val="15"/>
          <w:szCs w:val="15"/>
          <w:b w:val="1"/>
          <w:bCs w:val="1"/>
          <w:color w:val="auto"/>
        </w:rPr>
        <w:t>ESTING</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the limitations contained herein, Participant’s Award will vest, if at all, in accordance with the vesting</w:t>
      </w:r>
      <w:r>
        <w:rPr>
          <w:rFonts w:ascii="Arial" w:cs="Arial" w:eastAsia="Arial" w:hAnsi="Arial"/>
          <w:sz w:val="19"/>
          <w:szCs w:val="19"/>
          <w:b w:val="1"/>
          <w:bCs w:val="1"/>
          <w:color w:val="auto"/>
        </w:rPr>
        <w:t xml:space="preserve"> </w:t>
      </w:r>
      <w:r>
        <w:rPr>
          <w:rFonts w:ascii="Arial" w:cs="Arial" w:eastAsia="Arial" w:hAnsi="Arial"/>
          <w:sz w:val="19"/>
          <w:szCs w:val="19"/>
          <w:color w:val="auto"/>
        </w:rPr>
        <w:t>schedule provided in the Grant Notice. Vesting will cease upon Participant no longer continuously being a Service Provider. Any then unvested Restricted Stock Units will be automatically forfeited by Participant without consideration and at no cost to the Company, and Participant will have no further right, title or interest in or to such Award or the Shares subject to the Award.</w:t>
      </w:r>
    </w:p>
    <w:p>
      <w:pPr>
        <w:spacing w:after="0" w:line="115" w:lineRule="exact"/>
        <w:rPr>
          <w:rFonts w:ascii="Arial" w:cs="Arial" w:eastAsia="Arial" w:hAnsi="Arial"/>
          <w:sz w:val="19"/>
          <w:szCs w:val="19"/>
          <w:b w:val="1"/>
          <w:bCs w:val="1"/>
          <w:color w:val="auto"/>
        </w:rPr>
      </w:pPr>
    </w:p>
    <w:p>
      <w:pPr>
        <w:jc w:val="both"/>
        <w:ind w:firstLine="656"/>
        <w:spacing w:after="0" w:line="277" w:lineRule="auto"/>
        <w:tabs>
          <w:tab w:leader="none" w:pos="1021"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UMBER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of Restricted Stock Units subject to Participant’s Award may be adjusted from time to time</w:t>
      </w:r>
      <w:r>
        <w:rPr>
          <w:rFonts w:ascii="Arial" w:cs="Arial" w:eastAsia="Arial" w:hAnsi="Arial"/>
          <w:sz w:val="18"/>
          <w:szCs w:val="18"/>
          <w:b w:val="1"/>
          <w:bCs w:val="1"/>
          <w:color w:val="auto"/>
        </w:rPr>
        <w:t xml:space="preserve"> </w:t>
      </w:r>
      <w:r>
        <w:rPr>
          <w:rFonts w:ascii="Arial" w:cs="Arial" w:eastAsia="Arial" w:hAnsi="Arial"/>
          <w:sz w:val="18"/>
          <w:szCs w:val="18"/>
          <w:color w:val="auto"/>
        </w:rPr>
        <w:t>for capital adjustments, as provided in Section 13(a) of the Plan. Any additional Restricted Stock Units, Shares, cash or other property that becomes subject to the Award pursuant to this Section 3, if any, shall be subject, in a manner determined by the Board, to the same forfeiture restrictions, restrictions on transferability, and time and manner of delivery as applicable to the other Restricted Stock Units and Shares covered by Participant’s Award. Notwithstanding the provisions of this Section 3, no fractional Shares or rights for fractional Shares shall be created pursuant to this Section 3. Any fraction of a Share will be rounded down to the nearest whole Share.</w:t>
      </w:r>
    </w:p>
    <w:p>
      <w:pPr>
        <w:spacing w:after="0" w:line="105" w:lineRule="exact"/>
        <w:rPr>
          <w:rFonts w:ascii="Arial" w:cs="Arial" w:eastAsia="Arial" w:hAnsi="Arial"/>
          <w:sz w:val="18"/>
          <w:szCs w:val="18"/>
          <w:b w:val="1"/>
          <w:bCs w:val="1"/>
          <w:color w:val="auto"/>
        </w:rPr>
      </w:pPr>
    </w:p>
    <w:p>
      <w:pPr>
        <w:jc w:val="both"/>
        <w:ind w:firstLine="656"/>
        <w:spacing w:after="0" w:line="256" w:lineRule="auto"/>
        <w:tabs>
          <w:tab w:leader="none" w:pos="1048" w:val="left"/>
        </w:tabs>
        <w:numPr>
          <w:ilvl w:val="0"/>
          <w:numId w:val="288"/>
        </w:numPr>
        <w:rPr>
          <w:rFonts w:ascii="Arial" w:cs="Arial" w:eastAsia="Arial" w:hAnsi="Arial"/>
          <w:sz w:val="19"/>
          <w:szCs w:val="19"/>
          <w:b w:val="1"/>
          <w:bCs w:val="1"/>
          <w:color w:val="auto"/>
        </w:rPr>
      </w:pPr>
      <w:r>
        <w:rPr>
          <w:rFonts w:ascii="Arial" w:cs="Arial" w:eastAsia="Arial" w:hAnsi="Arial"/>
          <w:sz w:val="19"/>
          <w:szCs w:val="19"/>
          <w:b w:val="1"/>
          <w:bCs w:val="1"/>
          <w:color w:val="auto"/>
        </w:rPr>
        <w:t>C</w:t>
      </w:r>
      <w:r>
        <w:rPr>
          <w:rFonts w:ascii="Arial" w:cs="Arial" w:eastAsia="Arial" w:hAnsi="Arial"/>
          <w:sz w:val="15"/>
          <w:szCs w:val="15"/>
          <w:b w:val="1"/>
          <w:bCs w:val="1"/>
          <w:color w:val="auto"/>
        </w:rPr>
        <w:t>OMPLIANCE WITH</w:t>
      </w:r>
      <w:r>
        <w:rPr>
          <w:rFonts w:ascii="Arial" w:cs="Arial" w:eastAsia="Arial" w:hAnsi="Arial"/>
          <w:sz w:val="19"/>
          <w:szCs w:val="19"/>
          <w:b w:val="1"/>
          <w:bCs w:val="1"/>
          <w:color w:val="auto"/>
        </w:rPr>
        <w:t xml:space="preserve"> L</w:t>
      </w:r>
      <w:r>
        <w:rPr>
          <w:rFonts w:ascii="Arial" w:cs="Arial" w:eastAsia="Arial" w:hAnsi="Arial"/>
          <w:sz w:val="15"/>
          <w:szCs w:val="15"/>
          <w:b w:val="1"/>
          <w:bCs w:val="1"/>
          <w:color w:val="auto"/>
        </w:rPr>
        <w:t>AWS</w:t>
      </w:r>
      <w:r>
        <w:rPr>
          <w:rFonts w:ascii="Arial" w:cs="Arial" w:eastAsia="Arial" w:hAnsi="Arial"/>
          <w:sz w:val="19"/>
          <w:szCs w:val="19"/>
          <w:color w:val="auto"/>
        </w:rPr>
        <w:t>. Participant may not be issued any Shares under Participant’s Award unless the Shares underlying</w:t>
      </w:r>
      <w:r>
        <w:rPr>
          <w:rFonts w:ascii="Arial" w:cs="Arial" w:eastAsia="Arial" w:hAnsi="Arial"/>
          <w:sz w:val="19"/>
          <w:szCs w:val="19"/>
          <w:b w:val="1"/>
          <w:bCs w:val="1"/>
          <w:color w:val="auto"/>
        </w:rPr>
        <w:t xml:space="preserve"> </w:t>
      </w:r>
      <w:r>
        <w:rPr>
          <w:rFonts w:ascii="Arial" w:cs="Arial" w:eastAsia="Arial" w:hAnsi="Arial"/>
          <w:sz w:val="19"/>
          <w:szCs w:val="19"/>
          <w:color w:val="auto"/>
        </w:rPr>
        <w:t>the Restricted Stock Units are either (i) then registered under the Securities Act and/or under any applicable foreign, federal, state and local securities laws, or (ii) the Company has determined that such issuance would be exempt from the registration requirements of the Securities Act and/or under any applicable foreign, federal, state and local securities laws. Participant’s Award must also comply with other applicable laws and regulations governing the Award, and Participant shall not receive Shares if the Company determines that such receipt would not be in compliance with such laws and regulations. The inability of the Company to obtain from any regulatory body having jurisdiction the authority, if any, deemed by the Company’s legal counsel to be necessary to the lawful issuance and sale of any Shares shall relieve the Company of any liability in respect of the failure to issue or sell such Shares. Participant understands that the Company is under no obligation to register or qualify the Shares with the Securities and Exchange Commission, any state or foreign securities commission or any stock exchange to effect such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I - 1</w:t>
      </w:r>
    </w:p>
    <w:p>
      <w:pPr>
        <w:sectPr>
          <w:pgSz w:w="11900" w:h="16838" w:orient="portrait"/>
          <w:cols w:equalWidth="0" w:num="1">
            <w:col w:w="11240"/>
          </w:cols>
          <w:pgMar w:left="320" w:top="1413" w:right="339" w:bottom="1440" w:gutter="0" w:footer="0" w:header="0"/>
        </w:sectPr>
      </w:pPr>
    </w:p>
    <w:bookmarkStart w:id="354" w:name="page355"/>
    <w:bookmarkEnd w:id="354"/>
    <w:p>
      <w:pPr>
        <w:spacing w:after="0" w:line="135" w:lineRule="exact"/>
        <w:rPr>
          <w:sz w:val="20"/>
          <w:szCs w:val="20"/>
          <w:color w:val="auto"/>
        </w:rPr>
      </w:pPr>
    </w:p>
    <w:p>
      <w:pPr>
        <w:ind w:left="1000" w:hanging="344"/>
        <w:spacing w:after="0"/>
        <w:tabs>
          <w:tab w:leader="none" w:pos="1000" w:val="left"/>
        </w:tabs>
        <w:numPr>
          <w:ilvl w:val="0"/>
          <w:numId w:val="289"/>
        </w:numPr>
        <w:rPr>
          <w:rFonts w:ascii="Arial" w:cs="Arial" w:eastAsia="Arial" w:hAnsi="Arial"/>
          <w:sz w:val="20"/>
          <w:szCs w:val="20"/>
          <w:b w:val="1"/>
          <w:bCs w:val="1"/>
          <w:color w:val="auto"/>
        </w:rPr>
      </w:pPr>
      <w:r>
        <w:rPr>
          <w:rFonts w:ascii="Arial" w:cs="Arial" w:eastAsia="Arial" w:hAnsi="Arial"/>
          <w:sz w:val="20"/>
          <w:szCs w:val="20"/>
          <w:b w:val="1"/>
          <w:bCs w:val="1"/>
          <w:color w:val="auto"/>
        </w:rPr>
        <w:t>D</w:t>
      </w:r>
      <w:r>
        <w:rPr>
          <w:rFonts w:ascii="Arial" w:cs="Arial" w:eastAsia="Arial" w:hAnsi="Arial"/>
          <w:sz w:val="16"/>
          <w:szCs w:val="16"/>
          <w:b w:val="1"/>
          <w:bCs w:val="1"/>
          <w:color w:val="auto"/>
        </w:rPr>
        <w:t>ATE OF</w:t>
      </w:r>
      <w:r>
        <w:rPr>
          <w:rFonts w:ascii="Arial" w:cs="Arial" w:eastAsia="Arial" w:hAnsi="Arial"/>
          <w:sz w:val="20"/>
          <w:szCs w:val="20"/>
          <w:b w:val="1"/>
          <w:bCs w:val="1"/>
          <w:color w:val="auto"/>
        </w:rPr>
        <w:t xml:space="preserve"> I</w:t>
      </w:r>
      <w:r>
        <w:rPr>
          <w:rFonts w:ascii="Arial" w:cs="Arial" w:eastAsia="Arial" w:hAnsi="Arial"/>
          <w:sz w:val="16"/>
          <w:szCs w:val="16"/>
          <w:b w:val="1"/>
          <w:bCs w:val="1"/>
          <w:color w:val="auto"/>
        </w:rPr>
        <w:t>SSUANCE</w:t>
      </w:r>
      <w:r>
        <w:rPr>
          <w:rFonts w:ascii="Arial" w:cs="Arial" w:eastAsia="Arial" w:hAnsi="Arial"/>
          <w:sz w:val="20"/>
          <w:szCs w:val="20"/>
          <w:b w:val="1"/>
          <w:bCs w:val="1"/>
          <w:color w:val="auto"/>
        </w:rPr>
        <w:t xml:space="preserve">. </w:t>
      </w:r>
      <w:r>
        <w:rPr>
          <w:rFonts w:ascii="Arial" w:cs="Arial" w:eastAsia="Arial" w:hAnsi="Arial"/>
          <w:sz w:val="20"/>
          <w:szCs w:val="20"/>
          <w:color w:val="auto"/>
        </w:rPr>
        <w:t>Each issuance date determined by this Section 5 is referred to as an “</w:t>
      </w:r>
      <w:r>
        <w:rPr>
          <w:rFonts w:ascii="Arial" w:cs="Arial" w:eastAsia="Arial" w:hAnsi="Arial"/>
          <w:sz w:val="20"/>
          <w:szCs w:val="20"/>
          <w:b w:val="1"/>
          <w:bCs w:val="1"/>
          <w:i w:val="1"/>
          <w:iCs w:val="1"/>
          <w:color w:val="auto"/>
        </w:rPr>
        <w:t>Original Issuance Date</w:t>
      </w:r>
      <w:r>
        <w:rPr>
          <w:rFonts w:ascii="Arial" w:cs="Arial" w:eastAsia="Arial" w:hAnsi="Arial"/>
          <w:sz w:val="20"/>
          <w:szCs w:val="20"/>
          <w:color w:val="auto"/>
        </w:rPr>
        <w:t>”.</w:t>
      </w:r>
    </w:p>
    <w:p>
      <w:pPr>
        <w:spacing w:after="0" w:line="161" w:lineRule="exact"/>
        <w:rPr>
          <w:rFonts w:ascii="Arial" w:cs="Arial" w:eastAsia="Arial" w:hAnsi="Arial"/>
          <w:sz w:val="20"/>
          <w:szCs w:val="20"/>
          <w:b w:val="1"/>
          <w:bCs w:val="1"/>
          <w:color w:val="auto"/>
        </w:rPr>
      </w:pPr>
    </w:p>
    <w:p>
      <w:pPr>
        <w:jc w:val="both"/>
        <w:ind w:firstLine="1304"/>
        <w:spacing w:after="0" w:line="245" w:lineRule="auto"/>
        <w:tabs>
          <w:tab w:leader="none" w:pos="1786" w:val="left"/>
        </w:tabs>
        <w:numPr>
          <w:ilvl w:val="1"/>
          <w:numId w:val="289"/>
        </w:numPr>
        <w:rPr>
          <w:rFonts w:ascii="Arial" w:cs="Arial" w:eastAsia="Arial" w:hAnsi="Arial"/>
          <w:sz w:val="20"/>
          <w:szCs w:val="20"/>
          <w:b w:val="1"/>
          <w:bCs w:val="1"/>
          <w:color w:val="auto"/>
        </w:rPr>
      </w:pPr>
      <w:r>
        <w:rPr>
          <w:rFonts w:ascii="Arial" w:cs="Arial" w:eastAsia="Arial" w:hAnsi="Arial"/>
          <w:sz w:val="20"/>
          <w:szCs w:val="20"/>
          <w:b w:val="1"/>
          <w:bCs w:val="1"/>
          <w:color w:val="auto"/>
        </w:rPr>
        <w:t>Shares Not Publicly Traded</w:t>
      </w:r>
      <w:r>
        <w:rPr>
          <w:rFonts w:ascii="Arial" w:cs="Arial" w:eastAsia="Arial" w:hAnsi="Arial"/>
          <w:sz w:val="20"/>
          <w:szCs w:val="20"/>
          <w:color w:val="auto"/>
        </w:rPr>
        <w:t>. Subject to the satisfaction of the Withholding Obligation set forth in Section 7 of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in the event one or more Restricted Stock Units vests during any period in which the Company’s Common Stock is not publicly traded, as determined by the Administrator in its sole discretion, the Company shall issue to Participant one (1) Share for each Restricted Stock Unit that vests on the applicable vesting date(s) (subject to any adjustment under Section 3 above, and subject to any different provisions in the Grant Notice) no later than the date that is the 15th day of the third calendar month of the applicable year following the year in which such Restricted Stock Units vest.</w:t>
      </w:r>
    </w:p>
    <w:p>
      <w:pPr>
        <w:spacing w:after="0" w:line="130" w:lineRule="exact"/>
        <w:rPr>
          <w:rFonts w:ascii="Arial" w:cs="Arial" w:eastAsia="Arial" w:hAnsi="Arial"/>
          <w:sz w:val="20"/>
          <w:szCs w:val="20"/>
          <w:b w:val="1"/>
          <w:bCs w:val="1"/>
          <w:color w:val="auto"/>
        </w:rPr>
      </w:pPr>
    </w:p>
    <w:p>
      <w:pPr>
        <w:jc w:val="both"/>
        <w:ind w:firstLine="1304"/>
        <w:spacing w:after="0" w:line="245" w:lineRule="auto"/>
        <w:tabs>
          <w:tab w:leader="none" w:pos="1862" w:val="left"/>
        </w:tabs>
        <w:numPr>
          <w:ilvl w:val="1"/>
          <w:numId w:val="289"/>
        </w:numPr>
        <w:rPr>
          <w:rFonts w:ascii="Arial" w:cs="Arial" w:eastAsia="Arial" w:hAnsi="Arial"/>
          <w:sz w:val="20"/>
          <w:szCs w:val="20"/>
          <w:b w:val="1"/>
          <w:bCs w:val="1"/>
          <w:color w:val="auto"/>
        </w:rPr>
      </w:pPr>
      <w:r>
        <w:rPr>
          <w:rFonts w:ascii="Arial" w:cs="Arial" w:eastAsia="Arial" w:hAnsi="Arial"/>
          <w:sz w:val="20"/>
          <w:szCs w:val="20"/>
          <w:b w:val="1"/>
          <w:bCs w:val="1"/>
          <w:color w:val="auto"/>
        </w:rPr>
        <w:t>Shares Publicly Traded</w:t>
      </w:r>
      <w:r>
        <w:rPr>
          <w:rFonts w:ascii="Arial" w:cs="Arial" w:eastAsia="Arial" w:hAnsi="Arial"/>
          <w:sz w:val="20"/>
          <w:szCs w:val="20"/>
          <w:color w:val="auto"/>
        </w:rPr>
        <w:t>. Subject to the satisfaction of the Withholding Obligation set forth in Section 7 of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in the event one or more Restricted Stock Units vests during any period in which the Company’s Common Stock is publicly traded, as determined by the Administrator in its sole discretion, the Company shall issue to Participant one (1) Share for each Restricted Stock Unit that vests on the applicable vesting date(s) (subject to any adjustment under Section 3 above, and subject to any different provisions in the Grant Notice). If the Original Issuance Date falls on a date that is not a business day, delivery shall instead occur on the next following business day. In addition, if:</w:t>
      </w:r>
    </w:p>
    <w:p>
      <w:pPr>
        <w:spacing w:after="0" w:line="136" w:lineRule="exact"/>
        <w:rPr>
          <w:rFonts w:ascii="Arial" w:cs="Arial" w:eastAsia="Arial" w:hAnsi="Arial"/>
          <w:sz w:val="20"/>
          <w:szCs w:val="20"/>
          <w:b w:val="1"/>
          <w:bCs w:val="1"/>
          <w:color w:val="auto"/>
        </w:rPr>
      </w:pPr>
    </w:p>
    <w:p>
      <w:pPr>
        <w:jc w:val="both"/>
        <w:ind w:firstLine="1952"/>
        <w:spacing w:after="0" w:line="260" w:lineRule="auto"/>
        <w:tabs>
          <w:tab w:leader="none" w:pos="2410" w:val="left"/>
        </w:tabs>
        <w:numPr>
          <w:ilvl w:val="2"/>
          <w:numId w:val="289"/>
        </w:numPr>
        <w:rPr>
          <w:rFonts w:ascii="Arial" w:cs="Arial" w:eastAsia="Arial" w:hAnsi="Arial"/>
          <w:sz w:val="19"/>
          <w:szCs w:val="19"/>
          <w:b w:val="1"/>
          <w:bCs w:val="1"/>
          <w:color w:val="auto"/>
        </w:rPr>
      </w:pPr>
      <w:r>
        <w:rPr>
          <w:rFonts w:ascii="Arial" w:cs="Arial" w:eastAsia="Arial" w:hAnsi="Arial"/>
          <w:sz w:val="19"/>
          <w:szCs w:val="19"/>
          <w:color w:val="auto"/>
        </w:rPr>
        <w:t>the Original Issuance Date does not occur (1) during, if applicable, an “open window period” applicable to Participant, as determined by the Company in accordance with the Company’s then-effective policy on trading in Company securities, or (2) on a date when Participant is otherwise permitted to sell Shares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Arial" w:cs="Arial" w:eastAsia="Arial" w:hAnsi="Arial"/>
          <w:sz w:val="19"/>
          <w:szCs w:val="19"/>
          <w:b w:val="1"/>
          <w:bCs w:val="1"/>
          <w:i w:val="1"/>
          <w:iCs w:val="1"/>
          <w:color w:val="auto"/>
        </w:rPr>
        <w:t>10b5-1 Arrangement</w:t>
      </w:r>
      <w:r>
        <w:rPr>
          <w:rFonts w:ascii="Arial" w:cs="Arial" w:eastAsia="Arial" w:hAnsi="Arial"/>
          <w:sz w:val="19"/>
          <w:szCs w:val="19"/>
          <w:color w:val="auto"/>
        </w:rPr>
        <w:t xml:space="preserve">”)), </w:t>
      </w:r>
      <w:r>
        <w:rPr>
          <w:rFonts w:ascii="Arial" w:cs="Arial" w:eastAsia="Arial" w:hAnsi="Arial"/>
          <w:sz w:val="19"/>
          <w:szCs w:val="19"/>
          <w:i w:val="1"/>
          <w:iCs w:val="1"/>
          <w:color w:val="auto"/>
        </w:rPr>
        <w:t>and</w:t>
      </w:r>
    </w:p>
    <w:p>
      <w:pPr>
        <w:spacing w:after="0" w:line="126" w:lineRule="exact"/>
        <w:rPr>
          <w:rFonts w:ascii="Arial" w:cs="Arial" w:eastAsia="Arial" w:hAnsi="Arial"/>
          <w:sz w:val="19"/>
          <w:szCs w:val="19"/>
          <w:b w:val="1"/>
          <w:bCs w:val="1"/>
          <w:color w:val="auto"/>
        </w:rPr>
      </w:pPr>
    </w:p>
    <w:p>
      <w:pPr>
        <w:jc w:val="both"/>
        <w:ind w:firstLine="1952"/>
        <w:spacing w:after="0" w:line="271" w:lineRule="auto"/>
        <w:tabs>
          <w:tab w:leader="none" w:pos="2409" w:val="left"/>
        </w:tabs>
        <w:numPr>
          <w:ilvl w:val="2"/>
          <w:numId w:val="289"/>
        </w:numPr>
        <w:rPr>
          <w:rFonts w:ascii="Arial" w:cs="Arial" w:eastAsia="Arial" w:hAnsi="Arial"/>
          <w:sz w:val="18"/>
          <w:szCs w:val="18"/>
          <w:b w:val="1"/>
          <w:bCs w:val="1"/>
          <w:color w:val="auto"/>
        </w:rPr>
      </w:pPr>
      <w:r>
        <w:rPr>
          <w:rFonts w:ascii="Arial" w:cs="Arial" w:eastAsia="Arial" w:hAnsi="Arial"/>
          <w:sz w:val="18"/>
          <w:szCs w:val="18"/>
          <w:color w:val="auto"/>
        </w:rPr>
        <w:t xml:space="preserve">either (1) a Withholding Obligation does not apply, or (2) the Company decides, prior to the Original Issuance Date, (A) not to satisfy the Withholding Obligation by withholding Shares from the Shares otherwise due, on the Original Issuance Date, to Participant under this Award, and (B) not to permit Participant to enter into a “same day sale” commitment with a broker-dealer pursuant to Section 7 of this Agreement (including but not limited to a commitment under a 10b5-1 Arrangement) and (C) not permit Participant to pay Participant’s Withholding Obligation in cash, </w:t>
      </w:r>
      <w:r>
        <w:rPr>
          <w:rFonts w:ascii="Arial" w:cs="Arial" w:eastAsia="Arial" w:hAnsi="Arial"/>
          <w:sz w:val="18"/>
          <w:szCs w:val="18"/>
          <w:u w:val="single" w:color="auto"/>
          <w:color w:val="auto"/>
        </w:rPr>
        <w:t>then</w:t>
      </w:r>
      <w:r>
        <w:rPr>
          <w:rFonts w:ascii="Arial" w:cs="Arial" w:eastAsia="Arial" w:hAnsi="Arial"/>
          <w:sz w:val="18"/>
          <w:szCs w:val="18"/>
          <w:color w:val="auto"/>
        </w:rPr>
        <w:t xml:space="preserve"> the Shares that would otherwise be issued to Participant on the Original Issuance Date will not be delivered on such Original Issuance Date and will instead be delivered on the first business day when Participant is not prohibited from selling Shares in the open public market, but in no event later than December 31 of the calendar year in which the Original Issuance Date occurs (that is, the last day of Participant’s taxable year in which the Original Issuance Date occurs), or, </w:t>
      </w:r>
      <w:r>
        <w:rPr>
          <w:rFonts w:ascii="Arial" w:cs="Arial" w:eastAsia="Arial" w:hAnsi="Arial"/>
          <w:sz w:val="18"/>
          <w:szCs w:val="18"/>
          <w:u w:val="single" w:color="auto"/>
          <w:color w:val="auto"/>
        </w:rPr>
        <w:t>if and only if</w:t>
      </w:r>
      <w:r>
        <w:rPr>
          <w:rFonts w:ascii="Arial" w:cs="Arial" w:eastAsia="Arial" w:hAnsi="Arial"/>
          <w:sz w:val="18"/>
          <w:szCs w:val="18"/>
          <w:color w:val="auto"/>
        </w:rPr>
        <w:t xml:space="preserve"> permitted in a manner that complies with Treasury Regulations Section 1.409A-1(b)(4), no later than the date that is the 15th day of the third calendar month of the applicable year following the year in which the Restricted Stock Units are no longer subject to a “substantial risk of forfeiture” within the meaning of Treasury Regulations Section 1.409A-1(d).</w:t>
      </w:r>
    </w:p>
    <w:p>
      <w:pPr>
        <w:spacing w:after="0" w:line="115" w:lineRule="exact"/>
        <w:rPr>
          <w:rFonts w:ascii="Arial" w:cs="Arial" w:eastAsia="Arial" w:hAnsi="Arial"/>
          <w:sz w:val="18"/>
          <w:szCs w:val="18"/>
          <w:b w:val="1"/>
          <w:bCs w:val="1"/>
          <w:color w:val="auto"/>
        </w:rPr>
      </w:pPr>
    </w:p>
    <w:p>
      <w:pPr>
        <w:ind w:left="1780" w:hanging="476"/>
        <w:spacing w:after="0"/>
        <w:tabs>
          <w:tab w:leader="none" w:pos="1780" w:val="left"/>
        </w:tabs>
        <w:numPr>
          <w:ilvl w:val="1"/>
          <w:numId w:val="289"/>
        </w:numPr>
        <w:rPr>
          <w:rFonts w:ascii="Arial" w:cs="Arial" w:eastAsia="Arial" w:hAnsi="Arial"/>
          <w:sz w:val="18"/>
          <w:szCs w:val="18"/>
          <w:b w:val="1"/>
          <w:bCs w:val="1"/>
          <w:color w:val="auto"/>
        </w:rPr>
      </w:pPr>
      <w:r>
        <w:rPr>
          <w:rFonts w:ascii="Arial" w:cs="Arial" w:eastAsia="Arial" w:hAnsi="Arial"/>
          <w:sz w:val="18"/>
          <w:szCs w:val="18"/>
          <w:color w:val="auto"/>
        </w:rPr>
        <w:t>The form of delivery (</w:t>
      </w:r>
      <w:r>
        <w:rPr>
          <w:rFonts w:ascii="Arial" w:cs="Arial" w:eastAsia="Arial" w:hAnsi="Arial"/>
          <w:sz w:val="18"/>
          <w:szCs w:val="18"/>
          <w:i w:val="1"/>
          <w:iCs w:val="1"/>
          <w:color w:val="auto"/>
        </w:rPr>
        <w:t>e.g.</w:t>
      </w:r>
      <w:r>
        <w:rPr>
          <w:rFonts w:ascii="Arial" w:cs="Arial" w:eastAsia="Arial" w:hAnsi="Arial"/>
          <w:sz w:val="18"/>
          <w:szCs w:val="18"/>
          <w:color w:val="auto"/>
        </w:rPr>
        <w:t>, a stock certificate or electronic entry evidencing such Shares) shall be determined by the</w:t>
      </w:r>
    </w:p>
    <w:p>
      <w:pPr>
        <w:spacing w:after="0" w:line="3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Company.</w:t>
      </w:r>
    </w:p>
    <w:p>
      <w:pPr>
        <w:spacing w:after="0" w:line="139" w:lineRule="exact"/>
        <w:rPr>
          <w:rFonts w:ascii="Arial" w:cs="Arial" w:eastAsia="Arial" w:hAnsi="Arial"/>
          <w:sz w:val="18"/>
          <w:szCs w:val="18"/>
          <w:b w:val="1"/>
          <w:bCs w:val="1"/>
          <w:color w:val="auto"/>
        </w:rPr>
      </w:pPr>
    </w:p>
    <w:p>
      <w:pPr>
        <w:jc w:val="both"/>
        <w:ind w:firstLine="656"/>
        <w:spacing w:after="0" w:line="253" w:lineRule="auto"/>
        <w:tabs>
          <w:tab w:leader="none" w:pos="1048" w:val="left"/>
        </w:tabs>
        <w:numPr>
          <w:ilvl w:val="0"/>
          <w:numId w:val="289"/>
        </w:numPr>
        <w:rPr>
          <w:rFonts w:ascii="Arial" w:cs="Arial" w:eastAsia="Arial" w:hAnsi="Arial"/>
          <w:sz w:val="20"/>
          <w:szCs w:val="20"/>
          <w:b w:val="1"/>
          <w:bCs w:val="1"/>
          <w:color w:val="auto"/>
        </w:rPr>
      </w:pPr>
      <w:r>
        <w:rPr>
          <w:rFonts w:ascii="Arial" w:cs="Arial" w:eastAsia="Arial" w:hAnsi="Arial"/>
          <w:sz w:val="20"/>
          <w:szCs w:val="20"/>
          <w:b w:val="1"/>
          <w:bCs w:val="1"/>
          <w:color w:val="auto"/>
        </w:rPr>
        <w:t>D</w:t>
      </w:r>
      <w:r>
        <w:rPr>
          <w:rFonts w:ascii="Arial" w:cs="Arial" w:eastAsia="Arial" w:hAnsi="Arial"/>
          <w:sz w:val="16"/>
          <w:szCs w:val="16"/>
          <w:b w:val="1"/>
          <w:bCs w:val="1"/>
          <w:color w:val="auto"/>
        </w:rPr>
        <w:t>IVIDENDS</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 shall receive no benefit or adjustment to Participant’s Award with respect to any cash dividend, stock</w:t>
      </w:r>
      <w:r>
        <w:rPr>
          <w:rFonts w:ascii="Arial" w:cs="Arial" w:eastAsia="Arial" w:hAnsi="Arial"/>
          <w:sz w:val="20"/>
          <w:szCs w:val="20"/>
          <w:b w:val="1"/>
          <w:bCs w:val="1"/>
          <w:color w:val="auto"/>
        </w:rPr>
        <w:t xml:space="preserve"> </w:t>
      </w:r>
      <w:r>
        <w:rPr>
          <w:rFonts w:ascii="Arial" w:cs="Arial" w:eastAsia="Arial" w:hAnsi="Arial"/>
          <w:sz w:val="20"/>
          <w:szCs w:val="20"/>
          <w:color w:val="auto"/>
        </w:rPr>
        <w:t>dividend or other distribution that does not result from an adjustment as provided for in Section 13(a) of the Plan; provided, however, that this sentence will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I - 2</w:t>
      </w:r>
    </w:p>
    <w:p>
      <w:pPr>
        <w:sectPr>
          <w:pgSz w:w="11900" w:h="16838" w:orient="portrait"/>
          <w:cols w:equalWidth="0" w:num="1">
            <w:col w:w="11240"/>
          </w:cols>
          <w:pgMar w:left="320" w:top="1440" w:right="339" w:bottom="1440" w:gutter="0" w:footer="0" w:header="0"/>
        </w:sectPr>
      </w:pPr>
    </w:p>
    <w:bookmarkStart w:id="355" w:name="page356"/>
    <w:bookmarkEnd w:id="355"/>
    <w:p>
      <w:pPr>
        <w:spacing w:after="0" w:line="141"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apply with respect to any Shares that are delivered to Participant in connection with Participant’s Award after such Shares have been delivered to Participant.</w:t>
      </w:r>
    </w:p>
    <w:p>
      <w:pPr>
        <w:spacing w:after="0" w:line="117" w:lineRule="exact"/>
        <w:rPr>
          <w:sz w:val="20"/>
          <w:szCs w:val="20"/>
          <w:color w:val="auto"/>
        </w:rPr>
      </w:pPr>
    </w:p>
    <w:p>
      <w:pPr>
        <w:ind w:left="1000" w:hanging="344"/>
        <w:spacing w:after="0"/>
        <w:tabs>
          <w:tab w:leader="none" w:pos="1000" w:val="left"/>
        </w:tabs>
        <w:numPr>
          <w:ilvl w:val="0"/>
          <w:numId w:val="290"/>
        </w:numPr>
        <w:rPr>
          <w:rFonts w:ascii="Arial" w:cs="Arial" w:eastAsia="Arial" w:hAnsi="Arial"/>
          <w:sz w:val="20"/>
          <w:szCs w:val="20"/>
          <w:b w:val="1"/>
          <w:bCs w:val="1"/>
          <w:color w:val="auto"/>
        </w:rPr>
      </w:pPr>
      <w:r>
        <w:rPr>
          <w:rFonts w:ascii="Arial" w:cs="Arial" w:eastAsia="Arial" w:hAnsi="Arial"/>
          <w:sz w:val="20"/>
          <w:szCs w:val="20"/>
          <w:b w:val="1"/>
          <w:bCs w:val="1"/>
          <w:color w:val="auto"/>
        </w:rPr>
        <w:t>W</w:t>
      </w:r>
      <w:r>
        <w:rPr>
          <w:rFonts w:ascii="Arial" w:cs="Arial" w:eastAsia="Arial" w:hAnsi="Arial"/>
          <w:sz w:val="16"/>
          <w:szCs w:val="16"/>
          <w:b w:val="1"/>
          <w:bCs w:val="1"/>
          <w:color w:val="auto"/>
        </w:rPr>
        <w:t>ITHHOLDING</w:t>
      </w:r>
      <w:r>
        <w:rPr>
          <w:rFonts w:ascii="Arial" w:cs="Arial" w:eastAsia="Arial" w:hAnsi="Arial"/>
          <w:sz w:val="20"/>
          <w:szCs w:val="20"/>
          <w:b w:val="1"/>
          <w:bCs w:val="1"/>
          <w:color w:val="auto"/>
        </w:rPr>
        <w:t xml:space="preserve"> O</w:t>
      </w:r>
      <w:r>
        <w:rPr>
          <w:rFonts w:ascii="Arial" w:cs="Arial" w:eastAsia="Arial" w:hAnsi="Arial"/>
          <w:sz w:val="16"/>
          <w:szCs w:val="16"/>
          <w:b w:val="1"/>
          <w:bCs w:val="1"/>
          <w:color w:val="auto"/>
        </w:rPr>
        <w:t>BLIGATION</w:t>
      </w:r>
      <w:r>
        <w:rPr>
          <w:rFonts w:ascii="Arial" w:cs="Arial" w:eastAsia="Arial" w:hAnsi="Arial"/>
          <w:sz w:val="20"/>
          <w:szCs w:val="20"/>
          <w:b w:val="1"/>
          <w:bCs w:val="1"/>
          <w:color w:val="auto"/>
        </w:rPr>
        <w:t>.</w:t>
      </w:r>
    </w:p>
    <w:p>
      <w:pPr>
        <w:spacing w:after="0" w:line="167" w:lineRule="exact"/>
        <w:rPr>
          <w:rFonts w:ascii="Arial" w:cs="Arial" w:eastAsia="Arial" w:hAnsi="Arial"/>
          <w:sz w:val="20"/>
          <w:szCs w:val="20"/>
          <w:b w:val="1"/>
          <w:bCs w:val="1"/>
          <w:color w:val="auto"/>
        </w:rPr>
      </w:pPr>
    </w:p>
    <w:p>
      <w:pPr>
        <w:jc w:val="both"/>
        <w:ind w:firstLine="1304"/>
        <w:spacing w:after="0" w:line="278" w:lineRule="auto"/>
        <w:tabs>
          <w:tab w:leader="none" w:pos="1757" w:val="left"/>
        </w:tabs>
        <w:numPr>
          <w:ilvl w:val="1"/>
          <w:numId w:val="290"/>
        </w:numPr>
        <w:rPr>
          <w:rFonts w:ascii="Arial" w:cs="Arial" w:eastAsia="Arial" w:hAnsi="Arial"/>
          <w:sz w:val="18"/>
          <w:szCs w:val="18"/>
          <w:b w:val="1"/>
          <w:bCs w:val="1"/>
          <w:color w:val="auto"/>
        </w:rPr>
      </w:pPr>
      <w:r>
        <w:rPr>
          <w:rFonts w:ascii="Arial" w:cs="Arial" w:eastAsia="Arial" w:hAnsi="Arial"/>
          <w:sz w:val="18"/>
          <w:szCs w:val="18"/>
          <w:color w:val="auto"/>
        </w:rPr>
        <w:t>On each vesting date, and on or before the time Participant receives a distribution of the Shares or other consideration in respect of Participant’s Restricted Stock Units, and at any other time as reasonably requested by the Company in accordance with applicable tax laws, Participant hereby authorizes any required withholding from the Shares issuable to Participant and/or otherwise agrees to make adequate provision, including in cash, for any sums required to satisfy the federal, state, local and foreign tax withholding obligations of the Company or any Affiliate that arise in connection with Participant’s Award (the “</w:t>
      </w:r>
      <w:r>
        <w:rPr>
          <w:rFonts w:ascii="Arial" w:cs="Arial" w:eastAsia="Arial" w:hAnsi="Arial"/>
          <w:sz w:val="18"/>
          <w:szCs w:val="18"/>
          <w:b w:val="1"/>
          <w:bCs w:val="1"/>
          <w:i w:val="1"/>
          <w:iCs w:val="1"/>
          <w:color w:val="auto"/>
        </w:rPr>
        <w:t>Withholding Obligation</w:t>
      </w:r>
      <w:r>
        <w:rPr>
          <w:rFonts w:ascii="Arial" w:cs="Arial" w:eastAsia="Arial" w:hAnsi="Arial"/>
          <w:sz w:val="18"/>
          <w:szCs w:val="18"/>
          <w:color w:val="auto"/>
        </w:rPr>
        <w:t>”).</w:t>
      </w:r>
    </w:p>
    <w:p>
      <w:pPr>
        <w:spacing w:after="0" w:line="110" w:lineRule="exact"/>
        <w:rPr>
          <w:rFonts w:ascii="Arial" w:cs="Arial" w:eastAsia="Arial" w:hAnsi="Arial"/>
          <w:sz w:val="18"/>
          <w:szCs w:val="18"/>
          <w:b w:val="1"/>
          <w:bCs w:val="1"/>
          <w:color w:val="auto"/>
        </w:rPr>
      </w:pPr>
    </w:p>
    <w:p>
      <w:pPr>
        <w:jc w:val="both"/>
        <w:ind w:firstLine="1304"/>
        <w:spacing w:after="0" w:line="268" w:lineRule="auto"/>
        <w:tabs>
          <w:tab w:leader="none" w:pos="1846" w:val="left"/>
        </w:tabs>
        <w:numPr>
          <w:ilvl w:val="1"/>
          <w:numId w:val="290"/>
        </w:numPr>
        <w:rPr>
          <w:rFonts w:ascii="Arial" w:cs="Arial" w:eastAsia="Arial" w:hAnsi="Arial"/>
          <w:sz w:val="18"/>
          <w:szCs w:val="18"/>
          <w:b w:val="1"/>
          <w:bCs w:val="1"/>
          <w:color w:val="auto"/>
        </w:rPr>
      </w:pPr>
      <w:r>
        <w:rPr>
          <w:rFonts w:ascii="Arial" w:cs="Arial" w:eastAsia="Arial" w:hAnsi="Arial"/>
          <w:sz w:val="18"/>
          <w:szCs w:val="18"/>
          <w:color w:val="auto"/>
        </w:rPr>
        <w:t>By accepting this Award, Participant acknowledges and agrees that the Company or any Affiliate may, in its sole discretion, satisfy all or any portion of the Withholding Obligation relating to Participant’s Restricted Stock Units by any of the following means or by a combination of such means pursuant to a written policy adopted by the Administrator, as may be terminated and/or amended from time to time by the Administrator in its sole discretion (the “</w:t>
      </w:r>
      <w:r>
        <w:rPr>
          <w:rFonts w:ascii="Arial" w:cs="Arial" w:eastAsia="Arial" w:hAnsi="Arial"/>
          <w:sz w:val="18"/>
          <w:szCs w:val="18"/>
          <w:b w:val="1"/>
          <w:bCs w:val="1"/>
          <w:i w:val="1"/>
          <w:iCs w:val="1"/>
          <w:color w:val="auto"/>
        </w:rPr>
        <w:t>Withholding Policy</w:t>
      </w:r>
      <w:r>
        <w:rPr>
          <w:rFonts w:ascii="Arial" w:cs="Arial" w:eastAsia="Arial" w:hAnsi="Arial"/>
          <w:sz w:val="18"/>
          <w:szCs w:val="18"/>
          <w:color w:val="auto"/>
        </w:rPr>
        <w:t>”): (i) causing Participant to pay any portion of the Withholding Obligation in cash (the “</w:t>
      </w:r>
      <w:r>
        <w:rPr>
          <w:rFonts w:ascii="Arial" w:cs="Arial" w:eastAsia="Arial" w:hAnsi="Arial"/>
          <w:sz w:val="18"/>
          <w:szCs w:val="18"/>
          <w:b w:val="1"/>
          <w:bCs w:val="1"/>
          <w:i w:val="1"/>
          <w:iCs w:val="1"/>
          <w:color w:val="auto"/>
        </w:rPr>
        <w:t>Cash Withholding Method</w:t>
      </w:r>
      <w:r>
        <w:rPr>
          <w:rFonts w:ascii="Arial" w:cs="Arial" w:eastAsia="Arial" w:hAnsi="Arial"/>
          <w:sz w:val="18"/>
          <w:szCs w:val="18"/>
          <w:color w:val="auto"/>
        </w:rPr>
        <w:t>”); (ii) withholding from any compensation otherwise payable to Participant by the Company (the “</w:t>
      </w:r>
      <w:r>
        <w:rPr>
          <w:rFonts w:ascii="Arial" w:cs="Arial" w:eastAsia="Arial" w:hAnsi="Arial"/>
          <w:sz w:val="18"/>
          <w:szCs w:val="18"/>
          <w:b w:val="1"/>
          <w:bCs w:val="1"/>
          <w:i w:val="1"/>
          <w:iCs w:val="1"/>
          <w:color w:val="auto"/>
        </w:rPr>
        <w:t>Pay Withholding Method</w:t>
      </w:r>
      <w:r>
        <w:rPr>
          <w:rFonts w:ascii="Arial" w:cs="Arial" w:eastAsia="Arial" w:hAnsi="Arial"/>
          <w:sz w:val="18"/>
          <w:szCs w:val="18"/>
          <w:color w:val="auto"/>
        </w:rPr>
        <w:t>”); (iii) withholding Shares from the Shares issued or otherwise issuable to Participant in connection with the Award with a Fair Market Value (measured as of the date the Restricted Stock Unit vests or the Shares are issued pursuant to Section 5, as applicable) equal to the amount of such Withholding Obligation (the “</w:t>
      </w:r>
      <w:r>
        <w:rPr>
          <w:rFonts w:ascii="Arial" w:cs="Arial" w:eastAsia="Arial" w:hAnsi="Arial"/>
          <w:sz w:val="18"/>
          <w:szCs w:val="18"/>
          <w:b w:val="1"/>
          <w:bCs w:val="1"/>
          <w:i w:val="1"/>
          <w:iCs w:val="1"/>
          <w:color w:val="auto"/>
        </w:rPr>
        <w:t>Share Withholding Method</w:t>
      </w:r>
      <w:r>
        <w:rPr>
          <w:rFonts w:ascii="Arial" w:cs="Arial" w:eastAsia="Arial" w:hAnsi="Arial"/>
          <w:sz w:val="18"/>
          <w:szCs w:val="18"/>
          <w:color w:val="auto"/>
        </w:rPr>
        <w:t xml:space="preserve">”); provided, however, that the number of such Shares so withheld will not exceed the amount necessary to satisfy the Withholding Obligation using up to (but not in excess of) the maximum statutory withholding rates for federal, state, local and foreign tax purposes, including payroll taxes, that are applicable to supplemental taxable income; and </w:t>
      </w:r>
      <w:r>
        <w:rPr>
          <w:rFonts w:ascii="Arial" w:cs="Arial" w:eastAsia="Arial" w:hAnsi="Arial"/>
          <w:sz w:val="18"/>
          <w:szCs w:val="18"/>
          <w:i w:val="1"/>
          <w:iCs w:val="1"/>
          <w:color w:val="auto"/>
        </w:rPr>
        <w:t>provided</w:t>
      </w:r>
      <w:r>
        <w:rPr>
          <w:rFonts w:ascii="Arial" w:cs="Arial" w:eastAsia="Arial" w:hAnsi="Arial"/>
          <w:sz w:val="18"/>
          <w:szCs w:val="18"/>
          <w:color w:val="auto"/>
        </w:rPr>
        <w:t>, further, that to the extent necessary to qualify for an exemption from application of Section 16(b) of the Exchange Act, if applicable, such share withholding procedure will be subject to the express prior approval of the Administrator; and/or (iv) during any period in which the Company’s Common Stock is publicly traded, as determined by the Administrator in its sole discretion, permitting or requiring Participant to enter into a “same day sale” commitment, if applicable, with a broker-dealer that is a member of the Financial Industry Regulatory Authority (a “</w:t>
      </w:r>
      <w:r>
        <w:rPr>
          <w:rFonts w:ascii="Arial" w:cs="Arial" w:eastAsia="Arial" w:hAnsi="Arial"/>
          <w:sz w:val="18"/>
          <w:szCs w:val="18"/>
          <w:b w:val="1"/>
          <w:bCs w:val="1"/>
          <w:i w:val="1"/>
          <w:iCs w:val="1"/>
          <w:color w:val="auto"/>
        </w:rPr>
        <w:t>FINRA Dealer</w:t>
      </w:r>
      <w:r>
        <w:rPr>
          <w:rFonts w:ascii="Arial" w:cs="Arial" w:eastAsia="Arial" w:hAnsi="Arial"/>
          <w:sz w:val="18"/>
          <w:szCs w:val="18"/>
          <w:color w:val="auto"/>
        </w:rPr>
        <w:t>”), pursuant to this authorization and without further consent, whereby Participant irrevocably elects to sell a portion of the Shares to be delivered in connection with Participant’s Restricted Stock Units to satisfy the Withholding Obligation and whereby the FINRA Dealer irrevocably commits to forwarding the proceeds necessary to satisfy the Withholding Obligation directly to the Company and/or its affiliates. Unless the Withholding Obligation is satisfied, the Company shall have no obligation to deliver to Participant any Shares or any other consideration pursuant to this Award.</w:t>
      </w:r>
    </w:p>
    <w:p>
      <w:pPr>
        <w:spacing w:after="0" w:line="124" w:lineRule="exact"/>
        <w:rPr>
          <w:rFonts w:ascii="Arial" w:cs="Arial" w:eastAsia="Arial" w:hAnsi="Arial"/>
          <w:sz w:val="18"/>
          <w:szCs w:val="18"/>
          <w:b w:val="1"/>
          <w:bCs w:val="1"/>
          <w:color w:val="auto"/>
        </w:rPr>
      </w:pPr>
    </w:p>
    <w:p>
      <w:pPr>
        <w:jc w:val="both"/>
        <w:ind w:firstLine="1304"/>
        <w:spacing w:after="0" w:line="243" w:lineRule="auto"/>
        <w:tabs>
          <w:tab w:leader="none" w:pos="1767" w:val="left"/>
        </w:tabs>
        <w:numPr>
          <w:ilvl w:val="1"/>
          <w:numId w:val="290"/>
        </w:numPr>
        <w:rPr>
          <w:rFonts w:ascii="Arial" w:cs="Arial" w:eastAsia="Arial" w:hAnsi="Arial"/>
          <w:sz w:val="20"/>
          <w:szCs w:val="20"/>
          <w:b w:val="1"/>
          <w:bCs w:val="1"/>
          <w:color w:val="auto"/>
        </w:rPr>
      </w:pPr>
      <w:r>
        <w:rPr>
          <w:rFonts w:ascii="Arial" w:cs="Arial" w:eastAsia="Arial" w:hAnsi="Arial"/>
          <w:sz w:val="20"/>
          <w:szCs w:val="20"/>
          <w:b w:val="1"/>
          <w:bCs w:val="1"/>
          <w:color w:val="auto"/>
        </w:rPr>
        <w:t>IN THE EVENT PARTICIPANT FAILS TO SATISFY THE WITHHOLDING METHOD FOR ANY GIVEN INDIVIDUAL VESTING INSTALLMENT IN ACCORDANCE WITH THE TERMS OF THIS AGREEMENT (INCLUDING ANY WITHHOLDING POLICY AS IN EFFECT FROM TIME TO TIME), THEN (I) ANY SHARES OR OTHER CONSIDERATION THAT WOULD OTHERWISE HAVE BEEN DISTRIBUTED TO PARTICIPANT IN RESPECT OF SUCH INDIVIDUAL VESTING INSTALLMENT SHALL BE AUTOMATICALLY FORFEITED TO THE COMPANY AT NO COST TO THE COMPANY, AND (II) PARTICIPANT WILL HAVE NO FURTHER RIGHT, TITLE OR INTEREST IN OR TO THE RESTRICTED STOCK UNITS APPLICABLE TO SUCH INDIVIDUAL VESTING INSTALLMENT OR THE SHARES OR OTHER CONSIDERATION ATTRIBUTABLE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I - 3</w:t>
      </w:r>
    </w:p>
    <w:p>
      <w:pPr>
        <w:sectPr>
          <w:pgSz w:w="11900" w:h="16838" w:orient="portrait"/>
          <w:cols w:equalWidth="0" w:num="1">
            <w:col w:w="11240"/>
          </w:cols>
          <w:pgMar w:left="320" w:top="1440" w:right="339" w:bottom="1440" w:gutter="0" w:footer="0" w:header="0"/>
        </w:sectPr>
      </w:pPr>
    </w:p>
    <w:bookmarkStart w:id="356" w:name="page357"/>
    <w:bookmarkEnd w:id="356"/>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SUCH RESTRICTED STOCK UNITS SUBJECT TO SUCH INDIVIDUAL VESTING INSTALLMENT.</w:t>
      </w:r>
    </w:p>
    <w:p>
      <w:pPr>
        <w:spacing w:after="0" w:line="168" w:lineRule="exact"/>
        <w:rPr>
          <w:sz w:val="20"/>
          <w:szCs w:val="20"/>
          <w:color w:val="auto"/>
        </w:rPr>
      </w:pPr>
    </w:p>
    <w:p>
      <w:pPr>
        <w:jc w:val="both"/>
        <w:ind w:firstLine="1304"/>
        <w:spacing w:after="0" w:line="246" w:lineRule="auto"/>
        <w:tabs>
          <w:tab w:leader="none" w:pos="1749" w:val="left"/>
        </w:tabs>
        <w:numPr>
          <w:ilvl w:val="1"/>
          <w:numId w:val="291"/>
        </w:numPr>
        <w:rPr>
          <w:rFonts w:ascii="Arial" w:cs="Arial" w:eastAsia="Arial" w:hAnsi="Arial"/>
          <w:sz w:val="20"/>
          <w:szCs w:val="20"/>
          <w:b w:val="1"/>
          <w:bCs w:val="1"/>
          <w:color w:val="auto"/>
        </w:rPr>
      </w:pPr>
      <w:r>
        <w:rPr>
          <w:rFonts w:ascii="Arial" w:cs="Arial" w:eastAsia="Arial" w:hAnsi="Arial"/>
          <w:sz w:val="20"/>
          <w:szCs w:val="20"/>
          <w:color w:val="auto"/>
        </w:rPr>
        <w:t>In the event the Withholding Obligation arises prior to the delivery to Participant of Common Stock or it is determined after the delivery of Common Stock to Participant that the amount of the Withholding Obligation was greater than the amount withheld by the Company, Participant agrees to indemnify and hold the Company harmless from any failure by the Company to withhold the proper amount.</w:t>
      </w:r>
    </w:p>
    <w:p>
      <w:pPr>
        <w:spacing w:after="0" w:line="131" w:lineRule="exact"/>
        <w:rPr>
          <w:rFonts w:ascii="Arial" w:cs="Arial" w:eastAsia="Arial" w:hAnsi="Arial"/>
          <w:sz w:val="20"/>
          <w:szCs w:val="20"/>
          <w:b w:val="1"/>
          <w:bCs w:val="1"/>
          <w:color w:val="auto"/>
        </w:rPr>
      </w:pPr>
    </w:p>
    <w:p>
      <w:pPr>
        <w:jc w:val="both"/>
        <w:ind w:firstLine="656"/>
        <w:spacing w:after="0" w:line="245" w:lineRule="auto"/>
        <w:tabs>
          <w:tab w:leader="none" w:pos="1031" w:val="left"/>
        </w:tabs>
        <w:numPr>
          <w:ilvl w:val="0"/>
          <w:numId w:val="292"/>
        </w:numPr>
        <w:rPr>
          <w:rFonts w:ascii="Arial" w:cs="Arial" w:eastAsia="Arial" w:hAnsi="Arial"/>
          <w:sz w:val="20"/>
          <w:szCs w:val="20"/>
          <w:b w:val="1"/>
          <w:bCs w:val="1"/>
          <w:color w:val="auto"/>
        </w:rPr>
      </w:pPr>
      <w:r>
        <w:rPr>
          <w:rFonts w:ascii="Arial" w:cs="Arial" w:eastAsia="Arial" w:hAnsi="Arial"/>
          <w:sz w:val="20"/>
          <w:szCs w:val="20"/>
          <w:b w:val="1"/>
          <w:bCs w:val="1"/>
          <w:color w:val="auto"/>
        </w:rPr>
        <w:t>T</w:t>
      </w:r>
      <w:r>
        <w:rPr>
          <w:rFonts w:ascii="Arial" w:cs="Arial" w:eastAsia="Arial" w:hAnsi="Arial"/>
          <w:sz w:val="16"/>
          <w:szCs w:val="16"/>
          <w:b w:val="1"/>
          <w:bCs w:val="1"/>
          <w:color w:val="auto"/>
        </w:rPr>
        <w:t>AX</w:t>
      </w:r>
      <w:r>
        <w:rPr>
          <w:rFonts w:ascii="Arial" w:cs="Arial" w:eastAsia="Arial" w:hAnsi="Arial"/>
          <w:sz w:val="20"/>
          <w:szCs w:val="20"/>
          <w:b w:val="1"/>
          <w:bCs w:val="1"/>
          <w:color w:val="auto"/>
        </w:rPr>
        <w:t xml:space="preserve"> C</w:t>
      </w:r>
      <w:r>
        <w:rPr>
          <w:rFonts w:ascii="Arial" w:cs="Arial" w:eastAsia="Arial" w:hAnsi="Arial"/>
          <w:sz w:val="16"/>
          <w:szCs w:val="16"/>
          <w:b w:val="1"/>
          <w:bCs w:val="1"/>
          <w:color w:val="auto"/>
        </w:rPr>
        <w:t>ONSEQUENCES</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has no duty or obligation to minimize the tax consequences to Participant of this Award</w:t>
      </w:r>
      <w:r>
        <w:rPr>
          <w:rFonts w:ascii="Arial" w:cs="Arial" w:eastAsia="Arial" w:hAnsi="Arial"/>
          <w:sz w:val="20"/>
          <w:szCs w:val="20"/>
          <w:b w:val="1"/>
          <w:bCs w:val="1"/>
          <w:color w:val="auto"/>
        </w:rPr>
        <w:t xml:space="preserve"> </w:t>
      </w:r>
      <w:r>
        <w:rPr>
          <w:rFonts w:ascii="Arial" w:cs="Arial" w:eastAsia="Arial" w:hAnsi="Arial"/>
          <w:sz w:val="20"/>
          <w:szCs w:val="20"/>
          <w:color w:val="auto"/>
        </w:rPr>
        <w:t>and shall not be liable to Participant for any adverse tax consequences to Participant arising in connection with this Award. Participant is hereby advised to consult with Participant’s own personal tax, financial and/or legal advisors regarding the tax consequences of this Award and by signing the Grant Notice, Participant has agreed that Participant has done so or knowingly and voluntarily declined to do so. Participant understands that Participant (and not the Company) shall be responsible for Participant’s own tax liability that may arise as a result of the transactions contemplated by this Agreement.</w:t>
      </w:r>
    </w:p>
    <w:p>
      <w:pPr>
        <w:spacing w:after="0" w:line="130" w:lineRule="exact"/>
        <w:rPr>
          <w:rFonts w:ascii="Arial" w:cs="Arial" w:eastAsia="Arial" w:hAnsi="Arial"/>
          <w:sz w:val="20"/>
          <w:szCs w:val="20"/>
          <w:b w:val="1"/>
          <w:bCs w:val="1"/>
          <w:color w:val="auto"/>
        </w:rPr>
      </w:pPr>
    </w:p>
    <w:p>
      <w:pPr>
        <w:ind w:left="1000" w:hanging="344"/>
        <w:spacing w:after="0"/>
        <w:tabs>
          <w:tab w:leader="none" w:pos="1000" w:val="left"/>
        </w:tabs>
        <w:numPr>
          <w:ilvl w:val="0"/>
          <w:numId w:val="292"/>
        </w:numPr>
        <w:rPr>
          <w:rFonts w:ascii="Arial" w:cs="Arial" w:eastAsia="Arial" w:hAnsi="Arial"/>
          <w:sz w:val="20"/>
          <w:szCs w:val="20"/>
          <w:b w:val="1"/>
          <w:bCs w:val="1"/>
          <w:color w:val="auto"/>
        </w:rPr>
      </w:pPr>
      <w:r>
        <w:rPr>
          <w:rFonts w:ascii="Arial" w:cs="Arial" w:eastAsia="Arial" w:hAnsi="Arial"/>
          <w:sz w:val="20"/>
          <w:szCs w:val="20"/>
          <w:b w:val="1"/>
          <w:bCs w:val="1"/>
          <w:color w:val="auto"/>
        </w:rPr>
        <w:t>T</w:t>
      </w:r>
      <w:r>
        <w:rPr>
          <w:rFonts w:ascii="Arial" w:cs="Arial" w:eastAsia="Arial" w:hAnsi="Arial"/>
          <w:sz w:val="16"/>
          <w:szCs w:val="16"/>
          <w:b w:val="1"/>
          <w:bCs w:val="1"/>
          <w:color w:val="auto"/>
        </w:rPr>
        <w:t>RANSFER</w:t>
      </w:r>
      <w:r>
        <w:rPr>
          <w:rFonts w:ascii="Arial" w:cs="Arial" w:eastAsia="Arial" w:hAnsi="Arial"/>
          <w:sz w:val="20"/>
          <w:szCs w:val="20"/>
          <w:b w:val="1"/>
          <w:bCs w:val="1"/>
          <w:color w:val="auto"/>
        </w:rPr>
        <w:t xml:space="preserve"> R</w:t>
      </w:r>
      <w:r>
        <w:rPr>
          <w:rFonts w:ascii="Arial" w:cs="Arial" w:eastAsia="Arial" w:hAnsi="Arial"/>
          <w:sz w:val="16"/>
          <w:szCs w:val="16"/>
          <w:b w:val="1"/>
          <w:bCs w:val="1"/>
          <w:color w:val="auto"/>
        </w:rPr>
        <w:t>ESTRICTIONS</w:t>
      </w:r>
      <w:r>
        <w:rPr>
          <w:rFonts w:ascii="Arial" w:cs="Arial" w:eastAsia="Arial" w:hAnsi="Arial"/>
          <w:sz w:val="20"/>
          <w:szCs w:val="20"/>
          <w:b w:val="1"/>
          <w:bCs w:val="1"/>
          <w:color w:val="auto"/>
        </w:rPr>
        <w:t>: C</w:t>
      </w:r>
      <w:r>
        <w:rPr>
          <w:rFonts w:ascii="Arial" w:cs="Arial" w:eastAsia="Arial" w:hAnsi="Arial"/>
          <w:sz w:val="16"/>
          <w:szCs w:val="16"/>
          <w:b w:val="1"/>
          <w:bCs w:val="1"/>
          <w:color w:val="auto"/>
        </w:rPr>
        <w:t>OMPANY</w:t>
      </w:r>
      <w:r>
        <w:rPr>
          <w:rFonts w:ascii="Arial" w:cs="Arial" w:eastAsia="Arial" w:hAnsi="Arial"/>
          <w:sz w:val="20"/>
          <w:szCs w:val="20"/>
          <w:b w:val="1"/>
          <w:bCs w:val="1"/>
          <w:color w:val="auto"/>
        </w:rPr>
        <w:t>’</w:t>
      </w:r>
      <w:r>
        <w:rPr>
          <w:rFonts w:ascii="Arial" w:cs="Arial" w:eastAsia="Arial" w:hAnsi="Arial"/>
          <w:sz w:val="16"/>
          <w:szCs w:val="16"/>
          <w:b w:val="1"/>
          <w:bCs w:val="1"/>
          <w:color w:val="auto"/>
        </w:rPr>
        <w:t>S</w:t>
      </w:r>
      <w:r>
        <w:rPr>
          <w:rFonts w:ascii="Arial" w:cs="Arial" w:eastAsia="Arial" w:hAnsi="Arial"/>
          <w:sz w:val="20"/>
          <w:szCs w:val="20"/>
          <w:b w:val="1"/>
          <w:bCs w:val="1"/>
          <w:color w:val="auto"/>
        </w:rPr>
        <w:t xml:space="preserve"> R</w:t>
      </w:r>
      <w:r>
        <w:rPr>
          <w:rFonts w:ascii="Arial" w:cs="Arial" w:eastAsia="Arial" w:hAnsi="Arial"/>
          <w:sz w:val="16"/>
          <w:szCs w:val="16"/>
          <w:b w:val="1"/>
          <w:bCs w:val="1"/>
          <w:color w:val="auto"/>
        </w:rPr>
        <w:t>IGHT OF</w:t>
      </w:r>
      <w:r>
        <w:rPr>
          <w:rFonts w:ascii="Arial" w:cs="Arial" w:eastAsia="Arial" w:hAnsi="Arial"/>
          <w:sz w:val="20"/>
          <w:szCs w:val="20"/>
          <w:b w:val="1"/>
          <w:bCs w:val="1"/>
          <w:color w:val="auto"/>
        </w:rPr>
        <w:t xml:space="preserve"> F</w:t>
      </w:r>
      <w:r>
        <w:rPr>
          <w:rFonts w:ascii="Arial" w:cs="Arial" w:eastAsia="Arial" w:hAnsi="Arial"/>
          <w:sz w:val="16"/>
          <w:szCs w:val="16"/>
          <w:b w:val="1"/>
          <w:bCs w:val="1"/>
          <w:color w:val="auto"/>
        </w:rPr>
        <w:t>IRST</w:t>
      </w:r>
      <w:r>
        <w:rPr>
          <w:rFonts w:ascii="Arial" w:cs="Arial" w:eastAsia="Arial" w:hAnsi="Arial"/>
          <w:sz w:val="20"/>
          <w:szCs w:val="20"/>
          <w:b w:val="1"/>
          <w:bCs w:val="1"/>
          <w:color w:val="auto"/>
        </w:rPr>
        <w:t xml:space="preserve"> R</w:t>
      </w:r>
      <w:r>
        <w:rPr>
          <w:rFonts w:ascii="Arial" w:cs="Arial" w:eastAsia="Arial" w:hAnsi="Arial"/>
          <w:sz w:val="16"/>
          <w:szCs w:val="16"/>
          <w:b w:val="1"/>
          <w:bCs w:val="1"/>
          <w:color w:val="auto"/>
        </w:rPr>
        <w:t>EFUSAL</w:t>
      </w:r>
      <w:r>
        <w:rPr>
          <w:rFonts w:ascii="Arial" w:cs="Arial" w:eastAsia="Arial" w:hAnsi="Arial"/>
          <w:sz w:val="20"/>
          <w:szCs w:val="20"/>
          <w:b w:val="1"/>
          <w:bCs w:val="1"/>
          <w:color w:val="auto"/>
        </w:rPr>
        <w:t>.</w:t>
      </w:r>
    </w:p>
    <w:p>
      <w:pPr>
        <w:spacing w:after="0" w:line="161" w:lineRule="exact"/>
        <w:rPr>
          <w:rFonts w:ascii="Arial" w:cs="Arial" w:eastAsia="Arial" w:hAnsi="Arial"/>
          <w:sz w:val="20"/>
          <w:szCs w:val="20"/>
          <w:b w:val="1"/>
          <w:bCs w:val="1"/>
          <w:color w:val="auto"/>
        </w:rPr>
      </w:pPr>
    </w:p>
    <w:p>
      <w:pPr>
        <w:jc w:val="both"/>
        <w:ind w:firstLine="1304"/>
        <w:spacing w:after="0" w:line="262" w:lineRule="auto"/>
        <w:tabs>
          <w:tab w:leader="none" w:pos="1802" w:val="left"/>
        </w:tabs>
        <w:numPr>
          <w:ilvl w:val="1"/>
          <w:numId w:val="29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Transfer Restrictions on Restricted Stock Units. </w:t>
      </w:r>
      <w:r>
        <w:rPr>
          <w:rFonts w:ascii="Arial" w:cs="Arial" w:eastAsia="Arial" w:hAnsi="Arial"/>
          <w:sz w:val="19"/>
          <w:szCs w:val="19"/>
          <w:color w:val="auto"/>
        </w:rPr>
        <w:t>Prior to the time that Shares have been delivered to Participant,</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may not transfer, pledge, sell or otherwise dispose of this Award or the Shares issuable in respect of Participant’s Award, except as expressly provided in this Section 9(a). For example, Participant may not use Shares that may be issued in respect of Participant’s Restricted Stock Units as security for a loan. The restrictions on transfer of the Restricted Stock Units set forth herein will lapse upon delivery to Participant of Shares in respect of Participant’s vested Restricted Stock Units.</w:t>
      </w:r>
    </w:p>
    <w:p>
      <w:pPr>
        <w:spacing w:after="0" w:line="116" w:lineRule="exact"/>
        <w:rPr>
          <w:rFonts w:ascii="Arial" w:cs="Arial" w:eastAsia="Arial" w:hAnsi="Arial"/>
          <w:sz w:val="19"/>
          <w:szCs w:val="19"/>
          <w:b w:val="1"/>
          <w:bCs w:val="1"/>
          <w:color w:val="auto"/>
        </w:rPr>
      </w:pPr>
    </w:p>
    <w:p>
      <w:pPr>
        <w:jc w:val="both"/>
        <w:ind w:firstLine="1952"/>
        <w:spacing w:after="0" w:line="294" w:lineRule="auto"/>
        <w:tabs>
          <w:tab w:leader="none" w:pos="2356" w:val="left"/>
        </w:tabs>
        <w:numPr>
          <w:ilvl w:val="2"/>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Death</w:t>
      </w:r>
      <w:r>
        <w:rPr>
          <w:rFonts w:ascii="Arial" w:cs="Arial" w:eastAsia="Arial" w:hAnsi="Arial"/>
          <w:sz w:val="18"/>
          <w:szCs w:val="18"/>
          <w:color w:val="auto"/>
        </w:rPr>
        <w:t>. Participant’s Award is transferable by will and by the laws of descent and distribution. At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death, vesting of Participant’s Award will cease and Participant’s executor or administrator of Participant’s estate shall be entitled to receive, on behalf of Participant’s estate, any Shares or other consideration that vested but was not issued before Participant’s death.</w:t>
      </w:r>
    </w:p>
    <w:p>
      <w:pPr>
        <w:spacing w:after="0" w:line="89" w:lineRule="exact"/>
        <w:rPr>
          <w:rFonts w:ascii="Arial" w:cs="Arial" w:eastAsia="Arial" w:hAnsi="Arial"/>
          <w:sz w:val="18"/>
          <w:szCs w:val="18"/>
          <w:b w:val="1"/>
          <w:bCs w:val="1"/>
          <w:color w:val="auto"/>
        </w:rPr>
      </w:pPr>
    </w:p>
    <w:p>
      <w:pPr>
        <w:jc w:val="both"/>
        <w:ind w:firstLine="1952"/>
        <w:spacing w:after="0" w:line="243" w:lineRule="auto"/>
        <w:tabs>
          <w:tab w:leader="none" w:pos="2555" w:val="left"/>
        </w:tabs>
        <w:numPr>
          <w:ilvl w:val="2"/>
          <w:numId w:val="29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Domestic Relations Orders. </w:t>
      </w:r>
      <w:r>
        <w:rPr>
          <w:rFonts w:ascii="Arial" w:cs="Arial" w:eastAsia="Arial" w:hAnsi="Arial"/>
          <w:sz w:val="20"/>
          <w:szCs w:val="20"/>
          <w:color w:val="auto"/>
        </w:rPr>
        <w:t>Upon receiving written permission from the Board or its duly authorized</w:t>
      </w:r>
      <w:r>
        <w:rPr>
          <w:rFonts w:ascii="Arial" w:cs="Arial" w:eastAsia="Arial" w:hAnsi="Arial"/>
          <w:sz w:val="20"/>
          <w:szCs w:val="20"/>
          <w:b w:val="1"/>
          <w:bCs w:val="1"/>
          <w:color w:val="auto"/>
        </w:rPr>
        <w:t xml:space="preserve"> </w:t>
      </w:r>
      <w:r>
        <w:rPr>
          <w:rFonts w:ascii="Arial" w:cs="Arial" w:eastAsia="Arial" w:hAnsi="Arial"/>
          <w:sz w:val="20"/>
          <w:szCs w:val="20"/>
          <w:color w:val="auto"/>
        </w:rPr>
        <w:t>designee, and provided that Participant and the designated transferee enter into transfer and other agreements required by the Company, Participant may transfer Participant’s right to receive the distribution of Shares or other consideration hereunder, pursuant to a domestic relations order, marital settlement agreement or other divorce or separation instrument as permitted by applicable law that contains the information required by the Company to effectuate the transfer. Participant is encouraged to discuss the proposed terms of any division of this Award with the Company’s General Counsel prior to finalizing the domestic relations order or marital settlement agreement to verify that Participant may make such transfer, and if so, to help ensure the required information is contained within the domestic relations order or marital settlement agreement.</w:t>
      </w:r>
    </w:p>
    <w:p>
      <w:pPr>
        <w:spacing w:after="0" w:line="135" w:lineRule="exact"/>
        <w:rPr>
          <w:rFonts w:ascii="Arial" w:cs="Arial" w:eastAsia="Arial" w:hAnsi="Arial"/>
          <w:sz w:val="20"/>
          <w:szCs w:val="20"/>
          <w:b w:val="1"/>
          <w:bCs w:val="1"/>
          <w:color w:val="auto"/>
        </w:rPr>
      </w:pPr>
    </w:p>
    <w:p>
      <w:pPr>
        <w:ind w:left="1740" w:hanging="436"/>
        <w:spacing w:after="0"/>
        <w:tabs>
          <w:tab w:leader="none" w:pos="1740" w:val="left"/>
        </w:tabs>
        <w:numPr>
          <w:ilvl w:val="1"/>
          <w:numId w:val="292"/>
        </w:numPr>
        <w:rPr>
          <w:rFonts w:ascii="Arial" w:cs="Arial" w:eastAsia="Arial" w:hAnsi="Arial"/>
          <w:sz w:val="20"/>
          <w:szCs w:val="20"/>
          <w:b w:val="1"/>
          <w:bCs w:val="1"/>
          <w:color w:val="auto"/>
        </w:rPr>
      </w:pPr>
      <w:r>
        <w:rPr>
          <w:rFonts w:ascii="Arial" w:cs="Arial" w:eastAsia="Arial" w:hAnsi="Arial"/>
          <w:sz w:val="20"/>
          <w:szCs w:val="20"/>
          <w:b w:val="1"/>
          <w:bCs w:val="1"/>
          <w:color w:val="auto"/>
        </w:rPr>
        <w:t>Transfer Restrictions on Shares.</w:t>
      </w:r>
    </w:p>
    <w:p>
      <w:pPr>
        <w:spacing w:after="0" w:line="161" w:lineRule="exact"/>
        <w:rPr>
          <w:rFonts w:ascii="Arial" w:cs="Arial" w:eastAsia="Arial" w:hAnsi="Arial"/>
          <w:sz w:val="20"/>
          <w:szCs w:val="20"/>
          <w:b w:val="1"/>
          <w:bCs w:val="1"/>
          <w:color w:val="auto"/>
        </w:rPr>
      </w:pPr>
    </w:p>
    <w:p>
      <w:pPr>
        <w:jc w:val="both"/>
        <w:ind w:firstLine="1952"/>
        <w:spacing w:after="0" w:line="253" w:lineRule="auto"/>
        <w:tabs>
          <w:tab w:leader="none" w:pos="2450" w:val="left"/>
        </w:tabs>
        <w:numPr>
          <w:ilvl w:val="2"/>
          <w:numId w:val="29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Restriction on Transfer</w:t>
      </w:r>
      <w:r>
        <w:rPr>
          <w:rFonts w:ascii="Arial" w:cs="Arial" w:eastAsia="Arial" w:hAnsi="Arial"/>
          <w:sz w:val="20"/>
          <w:szCs w:val="20"/>
          <w:color w:val="auto"/>
        </w:rPr>
        <w:t>. Participant shall not transfer, assign, grant a lien or security interest in, pledge,</w:t>
      </w:r>
      <w:r>
        <w:rPr>
          <w:rFonts w:ascii="Arial" w:cs="Arial" w:eastAsia="Arial" w:hAnsi="Arial"/>
          <w:sz w:val="20"/>
          <w:szCs w:val="20"/>
          <w:b w:val="1"/>
          <w:bCs w:val="1"/>
          <w:color w:val="auto"/>
        </w:rPr>
        <w:t xml:space="preserve"> </w:t>
      </w:r>
      <w:r>
        <w:rPr>
          <w:rFonts w:ascii="Arial" w:cs="Arial" w:eastAsia="Arial" w:hAnsi="Arial"/>
          <w:sz w:val="20"/>
          <w:szCs w:val="20"/>
          <w:color w:val="auto"/>
        </w:rPr>
        <w:t>hypothecate, encumber or otherwise dispose of the Shares or any interest in the Shares issued pursuant to this Agreement (including, without limitation, a transfer by gift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I - 4</w:t>
      </w:r>
    </w:p>
    <w:p>
      <w:pPr>
        <w:sectPr>
          <w:pgSz w:w="11900" w:h="16838" w:orient="portrait"/>
          <w:cols w:equalWidth="0" w:num="1">
            <w:col w:w="11240"/>
          </w:cols>
          <w:pgMar w:left="320" w:top="1440" w:right="339" w:bottom="1440" w:gutter="0" w:footer="0" w:header="0"/>
        </w:sectPr>
      </w:pPr>
    </w:p>
    <w:bookmarkStart w:id="357" w:name="page358"/>
    <w:bookmarkEnd w:id="357"/>
    <w:p>
      <w:pPr>
        <w:spacing w:after="0" w:line="141"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operation of law) except in compliance with the provisions of the Plan, this Agreement, the Company’s Bylaws, the Company’s then current Insider Trading Policy, and applicable securities and other laws.</w:t>
      </w:r>
    </w:p>
    <w:p>
      <w:pPr>
        <w:spacing w:after="0" w:line="117" w:lineRule="exact"/>
        <w:rPr>
          <w:sz w:val="20"/>
          <w:szCs w:val="20"/>
          <w:color w:val="auto"/>
        </w:rPr>
      </w:pPr>
    </w:p>
    <w:p>
      <w:pPr>
        <w:jc w:val="both"/>
        <w:ind w:firstLine="1952"/>
        <w:spacing w:after="0" w:line="270" w:lineRule="auto"/>
        <w:tabs>
          <w:tab w:leader="none" w:pos="2410" w:val="left"/>
        </w:tabs>
        <w:numPr>
          <w:ilvl w:val="1"/>
          <w:numId w:val="2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 of Shares</w:t>
      </w:r>
      <w:r>
        <w:rPr>
          <w:rFonts w:ascii="Arial" w:cs="Arial" w:eastAsia="Arial" w:hAnsi="Arial"/>
          <w:sz w:val="18"/>
          <w:szCs w:val="18"/>
          <w:color w:val="auto"/>
        </w:rPr>
        <w:t>. Participant or any transferee of the Shares (each, a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seeking to transfer of some</w:t>
      </w:r>
      <w:r>
        <w:rPr>
          <w:rFonts w:ascii="Arial" w:cs="Arial" w:eastAsia="Arial" w:hAnsi="Arial"/>
          <w:sz w:val="18"/>
          <w:szCs w:val="18"/>
          <w:b w:val="1"/>
          <w:bCs w:val="1"/>
          <w:color w:val="auto"/>
        </w:rPr>
        <w:t xml:space="preserve"> </w:t>
      </w:r>
      <w:r>
        <w:rPr>
          <w:rFonts w:ascii="Arial" w:cs="Arial" w:eastAsia="Arial" w:hAnsi="Arial"/>
          <w:sz w:val="18"/>
          <w:szCs w:val="18"/>
          <w:color w:val="auto"/>
        </w:rPr>
        <w:t>or all of its Shares shall give written notice thereof to the Secretary of the Company that shall include: (i) the name of the Holder; (ii) the proposed transferee; (iii) the number of Shares of the transfer of which approval is thereby requested; (iv) the purchase price (if any) of the shares proposed for transfer; (v) written assurances, in form and substance satisfactory to counsel for the Company, that (a) the proposed disposition does not require registration of the Shares under the Securities Act or under any applicable foreign, federal, state and local securities or other laws or (b) all appropriate actions necessary for compliance with the registration requirements of the Securities Act or of any exemption from registration available under the Securities Act (including Rule 144) or applicable foreign, federal, state and local securities and other laws have been taken; and (vi) written assurances, in form and substance satisfactory to the Company, that the proposed disposition will not result in the contravention of any transfer restrictions applicable to the Shares pursuant to the provisions of the regulations promulgated under Section 25102(o), Rule 701 or under any other applicable securities or other laws or adversely affect the Company’s ability to rely on the exemption(s) from registration under the Securities Act or under any other applicable securities or other laws for the grant of the Restricted Stock Units, the issuance of Shares upon settlement thereof or any other issuance of securities under the Plan. The Company may require the Holder to supplement its notice with such additional information as the Company may request.</w:t>
      </w:r>
    </w:p>
    <w:p>
      <w:pPr>
        <w:spacing w:after="0" w:line="118" w:lineRule="exact"/>
        <w:rPr>
          <w:rFonts w:ascii="Arial" w:cs="Arial" w:eastAsia="Arial" w:hAnsi="Arial"/>
          <w:sz w:val="18"/>
          <w:szCs w:val="18"/>
          <w:b w:val="1"/>
          <w:bCs w:val="1"/>
          <w:color w:val="auto"/>
        </w:rPr>
      </w:pPr>
    </w:p>
    <w:p>
      <w:pPr>
        <w:jc w:val="both"/>
        <w:ind w:firstLine="1952"/>
        <w:spacing w:after="0" w:line="260" w:lineRule="auto"/>
        <w:tabs>
          <w:tab w:leader="none" w:pos="2438" w:val="left"/>
        </w:tabs>
        <w:numPr>
          <w:ilvl w:val="1"/>
          <w:numId w:val="29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Transferee Obligations</w:t>
      </w:r>
      <w:r>
        <w:rPr>
          <w:rFonts w:ascii="Arial" w:cs="Arial" w:eastAsia="Arial" w:hAnsi="Arial"/>
          <w:sz w:val="19"/>
          <w:szCs w:val="19"/>
          <w:color w:val="auto"/>
        </w:rPr>
        <w:t>. Each person (other than the Company) to whom the Shares or any interest therein are</w:t>
      </w:r>
      <w:r>
        <w:rPr>
          <w:rFonts w:ascii="Arial" w:cs="Arial" w:eastAsia="Arial" w:hAnsi="Arial"/>
          <w:sz w:val="19"/>
          <w:szCs w:val="19"/>
          <w:b w:val="1"/>
          <w:bCs w:val="1"/>
          <w:color w:val="auto"/>
        </w:rPr>
        <w:t xml:space="preserve"> </w:t>
      </w:r>
      <w:r>
        <w:rPr>
          <w:rFonts w:ascii="Arial" w:cs="Arial" w:eastAsia="Arial" w:hAnsi="Arial"/>
          <w:sz w:val="19"/>
          <w:szCs w:val="19"/>
          <w:color w:val="auto"/>
        </w:rPr>
        <w:t>transferred by means of one of the permitted transfers specified in this Agreement must, as a condition precedent to the validity of such transfer, acknowledge in writing to the Company that such person is bound by the provisions of this Agreement and that the transferred Shares are subject to (i) the Company’s Bylaws, (ii) the Company’s Right of First Refusal granted hereunder, (iii) the market stand-off provisions of Section 11 of this Agreement and (iv) the other restrictions on transferability contained herein and in the Plan, to the same extent such Shares would be so subject if retained by Participant.</w:t>
      </w:r>
    </w:p>
    <w:p>
      <w:pPr>
        <w:spacing w:after="0" w:line="118" w:lineRule="exact"/>
        <w:rPr>
          <w:rFonts w:ascii="Arial" w:cs="Arial" w:eastAsia="Arial" w:hAnsi="Arial"/>
          <w:sz w:val="19"/>
          <w:szCs w:val="19"/>
          <w:b w:val="1"/>
          <w:bCs w:val="1"/>
          <w:color w:val="auto"/>
        </w:rPr>
      </w:pPr>
    </w:p>
    <w:p>
      <w:pPr>
        <w:jc w:val="both"/>
        <w:ind w:firstLine="1952"/>
        <w:spacing w:after="0" w:line="253" w:lineRule="auto"/>
        <w:tabs>
          <w:tab w:leader="none" w:pos="2468" w:val="left"/>
        </w:tabs>
        <w:numPr>
          <w:ilvl w:val="1"/>
          <w:numId w:val="29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Purported Transfers</w:t>
      </w:r>
      <w:r>
        <w:rPr>
          <w:rFonts w:ascii="Arial" w:cs="Arial" w:eastAsia="Arial" w:hAnsi="Arial"/>
          <w:sz w:val="20"/>
          <w:szCs w:val="20"/>
          <w:u w:val="single" w:color="auto"/>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Any purported transfer of any Shares of the Company’s stock effected in violation of</w:t>
      </w:r>
      <w:r>
        <w:rPr>
          <w:rFonts w:ascii="Arial" w:cs="Arial" w:eastAsia="Arial" w:hAnsi="Arial"/>
          <w:sz w:val="20"/>
          <w:szCs w:val="20"/>
          <w:b w:val="1"/>
          <w:bCs w:val="1"/>
          <w:color w:val="auto"/>
        </w:rPr>
        <w:t xml:space="preserve"> </w:t>
      </w:r>
      <w:r>
        <w:rPr>
          <w:rFonts w:ascii="Arial" w:cs="Arial" w:eastAsia="Arial" w:hAnsi="Arial"/>
          <w:sz w:val="20"/>
          <w:szCs w:val="20"/>
          <w:color w:val="auto"/>
        </w:rPr>
        <w:t>this Section 9(b) or otherwise in the Plan or this Agreement shall be null and void and shall have no force or effect and the Company shall not register any such purported transfer.</w:t>
      </w:r>
    </w:p>
    <w:p>
      <w:pPr>
        <w:spacing w:after="0" w:line="123" w:lineRule="exact"/>
        <w:rPr>
          <w:rFonts w:ascii="Arial" w:cs="Arial" w:eastAsia="Arial" w:hAnsi="Arial"/>
          <w:sz w:val="20"/>
          <w:szCs w:val="20"/>
          <w:b w:val="1"/>
          <w:bCs w:val="1"/>
          <w:color w:val="auto"/>
        </w:rPr>
      </w:pPr>
    </w:p>
    <w:p>
      <w:pPr>
        <w:jc w:val="both"/>
        <w:ind w:firstLine="1304"/>
        <w:spacing w:after="0" w:line="253" w:lineRule="auto"/>
        <w:tabs>
          <w:tab w:leader="none" w:pos="1842" w:val="left"/>
        </w:tabs>
        <w:numPr>
          <w:ilvl w:val="0"/>
          <w:numId w:val="29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Company’s Right of First Refusal. </w:t>
      </w:r>
      <w:r>
        <w:rPr>
          <w:rFonts w:ascii="Arial" w:cs="Arial" w:eastAsia="Arial" w:hAnsi="Arial"/>
          <w:sz w:val="20"/>
          <w:szCs w:val="20"/>
          <w:color w:val="auto"/>
        </w:rPr>
        <w:t>Before any Shares issued pursuant to this Award may be sold or otherwise</w:t>
      </w:r>
      <w:r>
        <w:rPr>
          <w:rFonts w:ascii="Arial" w:cs="Arial" w:eastAsia="Arial" w:hAnsi="Arial"/>
          <w:sz w:val="20"/>
          <w:szCs w:val="20"/>
          <w:b w:val="1"/>
          <w:bCs w:val="1"/>
          <w:color w:val="auto"/>
        </w:rPr>
        <w:t xml:space="preserve"> </w:t>
      </w:r>
      <w:r>
        <w:rPr>
          <w:rFonts w:ascii="Arial" w:cs="Arial" w:eastAsia="Arial" w:hAnsi="Arial"/>
          <w:sz w:val="20"/>
          <w:szCs w:val="20"/>
          <w:color w:val="auto"/>
        </w:rPr>
        <w:t>transferred (including transfer by gift or operation of law), the Company or its assignee(s) shall have a right of first refusal to purchase the Shares on the terms and conditions set forth in this Section 9(c) (the “</w:t>
      </w:r>
      <w:r>
        <w:rPr>
          <w:rFonts w:ascii="Arial" w:cs="Arial" w:eastAsia="Arial" w:hAnsi="Arial"/>
          <w:sz w:val="20"/>
          <w:szCs w:val="20"/>
          <w:b w:val="1"/>
          <w:bCs w:val="1"/>
          <w:i w:val="1"/>
          <w:iCs w:val="1"/>
          <w:color w:val="auto"/>
        </w:rPr>
        <w:t>Right of First Refusal</w:t>
      </w:r>
      <w:r>
        <w:rPr>
          <w:rFonts w:ascii="Arial" w:cs="Arial" w:eastAsia="Arial" w:hAnsi="Arial"/>
          <w:sz w:val="20"/>
          <w:szCs w:val="20"/>
          <w:color w:val="auto"/>
        </w:rPr>
        <w:t>”).</w:t>
      </w:r>
    </w:p>
    <w:p>
      <w:pPr>
        <w:spacing w:after="0" w:line="123" w:lineRule="exact"/>
        <w:rPr>
          <w:rFonts w:ascii="Arial" w:cs="Arial" w:eastAsia="Arial" w:hAnsi="Arial"/>
          <w:sz w:val="20"/>
          <w:szCs w:val="20"/>
          <w:b w:val="1"/>
          <w:bCs w:val="1"/>
          <w:color w:val="auto"/>
        </w:rPr>
      </w:pPr>
    </w:p>
    <w:p>
      <w:pPr>
        <w:jc w:val="both"/>
        <w:ind w:firstLine="1952"/>
        <w:spacing w:after="0" w:line="246" w:lineRule="auto"/>
        <w:tabs>
          <w:tab w:leader="none" w:pos="2410" w:val="left"/>
        </w:tabs>
        <w:numPr>
          <w:ilvl w:val="1"/>
          <w:numId w:val="29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Notice of Proposed Transfer.</w:t>
      </w:r>
      <w:r>
        <w:rPr>
          <w:rFonts w:ascii="Arial" w:cs="Arial" w:eastAsia="Arial" w:hAnsi="Arial"/>
          <w:sz w:val="20"/>
          <w:szCs w:val="20"/>
          <w:b w:val="1"/>
          <w:bCs w:val="1"/>
          <w:color w:val="auto"/>
        </w:rPr>
        <w:t xml:space="preserve"> </w:t>
      </w:r>
      <w:r>
        <w:rPr>
          <w:rFonts w:ascii="Arial" w:cs="Arial" w:eastAsia="Arial" w:hAnsi="Arial"/>
          <w:sz w:val="20"/>
          <w:szCs w:val="20"/>
          <w:color w:val="auto"/>
        </w:rPr>
        <w:t>The Holder of the Shares shall deliver to the Company a written notice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i w:val="1"/>
          <w:iCs w:val="1"/>
          <w:color w:val="auto"/>
        </w:rPr>
        <w:t>Notice</w:t>
      </w:r>
      <w:r>
        <w:rPr>
          <w:rFonts w:ascii="Arial" w:cs="Arial" w:eastAsia="Arial" w:hAnsi="Arial"/>
          <w:sz w:val="20"/>
          <w:szCs w:val="20"/>
          <w:color w:val="auto"/>
        </w:rPr>
        <w:t>”) stating: (i) the Holder’s bona fide intention to sell or otherwise transfer such Shares; (ii) the name of each proposed purchaser or other transferee (“</w:t>
      </w:r>
      <w:r>
        <w:rPr>
          <w:rFonts w:ascii="Arial" w:cs="Arial" w:eastAsia="Arial" w:hAnsi="Arial"/>
          <w:sz w:val="20"/>
          <w:szCs w:val="20"/>
          <w:b w:val="1"/>
          <w:bCs w:val="1"/>
          <w:i w:val="1"/>
          <w:iCs w:val="1"/>
          <w:color w:val="auto"/>
        </w:rPr>
        <w:t>Proposed Transferee</w:t>
      </w:r>
      <w:r>
        <w:rPr>
          <w:rFonts w:ascii="Arial" w:cs="Arial" w:eastAsia="Arial" w:hAnsi="Arial"/>
          <w:sz w:val="20"/>
          <w:szCs w:val="20"/>
          <w:color w:val="auto"/>
        </w:rPr>
        <w:t>”); (iii) the number of Shares to be transferred to each Proposed Transferee; and (iv) the bona fide cash price or other consideration for which the Holder proposes to transfer the Shares (the “</w:t>
      </w:r>
      <w:r>
        <w:rPr>
          <w:rFonts w:ascii="Arial" w:cs="Arial" w:eastAsia="Arial" w:hAnsi="Arial"/>
          <w:sz w:val="20"/>
          <w:szCs w:val="20"/>
          <w:b w:val="1"/>
          <w:bCs w:val="1"/>
          <w:i w:val="1"/>
          <w:iCs w:val="1"/>
          <w:color w:val="auto"/>
        </w:rPr>
        <w:t>Offered Price</w:t>
      </w:r>
      <w:r>
        <w:rPr>
          <w:rFonts w:ascii="Arial" w:cs="Arial" w:eastAsia="Arial" w:hAnsi="Arial"/>
          <w:sz w:val="20"/>
          <w:szCs w:val="20"/>
          <w:color w:val="auto"/>
        </w:rPr>
        <w:t>”), and the Holder shall offer the Shares at the Offered Price to the Company or its assignee(s).</w:t>
      </w:r>
    </w:p>
    <w:p>
      <w:pPr>
        <w:spacing w:after="0" w:line="130" w:lineRule="exact"/>
        <w:rPr>
          <w:rFonts w:ascii="Arial" w:cs="Arial" w:eastAsia="Arial" w:hAnsi="Arial"/>
          <w:sz w:val="20"/>
          <w:szCs w:val="20"/>
          <w:b w:val="1"/>
          <w:bCs w:val="1"/>
          <w:color w:val="auto"/>
        </w:rPr>
      </w:pPr>
    </w:p>
    <w:p>
      <w:pPr>
        <w:jc w:val="both"/>
        <w:ind w:firstLine="1952"/>
        <w:spacing w:after="0" w:line="253" w:lineRule="auto"/>
        <w:tabs>
          <w:tab w:leader="none" w:pos="2518" w:val="left"/>
        </w:tabs>
        <w:numPr>
          <w:ilvl w:val="1"/>
          <w:numId w:val="29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Exercise of Right of First Refusal.</w:t>
      </w:r>
      <w:r>
        <w:rPr>
          <w:rFonts w:ascii="Arial" w:cs="Arial" w:eastAsia="Arial" w:hAnsi="Arial"/>
          <w:sz w:val="20"/>
          <w:szCs w:val="20"/>
          <w:b w:val="1"/>
          <w:bCs w:val="1"/>
          <w:color w:val="auto"/>
        </w:rPr>
        <w:t xml:space="preserve"> </w:t>
      </w:r>
      <w:r>
        <w:rPr>
          <w:rFonts w:ascii="Arial" w:cs="Arial" w:eastAsia="Arial" w:hAnsi="Arial"/>
          <w:sz w:val="20"/>
          <w:szCs w:val="20"/>
          <w:color w:val="auto"/>
        </w:rPr>
        <w:t>At any time within thirty (30) days after receipt of the Notice,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and/or its assignee(s) may, by giving written notice to the Holder, elect to purchase all, but not less than all, of the Shares proposed to be transferred to any one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I - 5</w:t>
      </w:r>
    </w:p>
    <w:p>
      <w:pPr>
        <w:sectPr>
          <w:pgSz w:w="11900" w:h="16838" w:orient="portrait"/>
          <w:cols w:equalWidth="0" w:num="1">
            <w:col w:w="11240"/>
          </w:cols>
          <w:pgMar w:left="320" w:top="1440" w:right="339" w:bottom="1440" w:gutter="0" w:footer="0" w:header="0"/>
        </w:sectPr>
      </w:pPr>
    </w:p>
    <w:bookmarkStart w:id="358" w:name="page359"/>
    <w:bookmarkEnd w:id="358"/>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more of the Proposed Transferees, at the purchase price determined in accordance with subsection (iii) below.</w:t>
      </w:r>
    </w:p>
    <w:p>
      <w:pPr>
        <w:spacing w:after="0" w:line="156" w:lineRule="exact"/>
        <w:rPr>
          <w:sz w:val="20"/>
          <w:szCs w:val="20"/>
          <w:color w:val="auto"/>
        </w:rPr>
      </w:pPr>
    </w:p>
    <w:p>
      <w:pPr>
        <w:jc w:val="both"/>
        <w:ind w:firstLine="1952"/>
        <w:spacing w:after="0" w:line="253" w:lineRule="auto"/>
        <w:tabs>
          <w:tab w:leader="none" w:pos="2533" w:val="left"/>
        </w:tabs>
        <w:numPr>
          <w:ilvl w:val="1"/>
          <w:numId w:val="29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Purchase Price.</w:t>
      </w:r>
      <w:r>
        <w:rPr>
          <w:rFonts w:ascii="Arial" w:cs="Arial" w:eastAsia="Arial" w:hAnsi="Arial"/>
          <w:sz w:val="20"/>
          <w:szCs w:val="20"/>
          <w:b w:val="1"/>
          <w:bCs w:val="1"/>
          <w:color w:val="auto"/>
        </w:rPr>
        <w:t xml:space="preserve"> </w:t>
      </w:r>
      <w:r>
        <w:rPr>
          <w:rFonts w:ascii="Arial" w:cs="Arial" w:eastAsia="Arial" w:hAnsi="Arial"/>
          <w:sz w:val="20"/>
          <w:szCs w:val="20"/>
          <w:color w:val="auto"/>
        </w:rPr>
        <w:t>The purchase price (“</w:t>
      </w:r>
      <w:r>
        <w:rPr>
          <w:rFonts w:ascii="Arial" w:cs="Arial" w:eastAsia="Arial" w:hAnsi="Arial"/>
          <w:sz w:val="20"/>
          <w:szCs w:val="20"/>
          <w:b w:val="1"/>
          <w:bCs w:val="1"/>
          <w:i w:val="1"/>
          <w:iCs w:val="1"/>
          <w:color w:val="auto"/>
        </w:rPr>
        <w:t>Purchase Price</w:t>
      </w:r>
      <w:r>
        <w:rPr>
          <w:rFonts w:ascii="Arial" w:cs="Arial" w:eastAsia="Arial" w:hAnsi="Arial"/>
          <w:sz w:val="20"/>
          <w:szCs w:val="20"/>
          <w:color w:val="auto"/>
        </w:rPr>
        <w:t>”) for the Shares purchased by the Company or its</w:t>
      </w:r>
      <w:r>
        <w:rPr>
          <w:rFonts w:ascii="Arial" w:cs="Arial" w:eastAsia="Arial" w:hAnsi="Arial"/>
          <w:sz w:val="20"/>
          <w:szCs w:val="20"/>
          <w:b w:val="1"/>
          <w:bCs w:val="1"/>
          <w:color w:val="auto"/>
        </w:rPr>
        <w:t xml:space="preserve"> </w:t>
      </w:r>
      <w:r>
        <w:rPr>
          <w:rFonts w:ascii="Arial" w:cs="Arial" w:eastAsia="Arial" w:hAnsi="Arial"/>
          <w:sz w:val="20"/>
          <w:szCs w:val="20"/>
          <w:color w:val="auto"/>
        </w:rPr>
        <w:t>assignee(s) under this Section 9(c) shall be the Offered Price. If the Offered Price includes consideration other than cash, the cash equivalent value of the non-cash consideration shall be determined by the Board in good faith.</w:t>
      </w:r>
    </w:p>
    <w:p>
      <w:pPr>
        <w:spacing w:after="0" w:line="123" w:lineRule="exact"/>
        <w:rPr>
          <w:rFonts w:ascii="Arial" w:cs="Arial" w:eastAsia="Arial" w:hAnsi="Arial"/>
          <w:sz w:val="20"/>
          <w:szCs w:val="20"/>
          <w:b w:val="1"/>
          <w:bCs w:val="1"/>
          <w:color w:val="auto"/>
        </w:rPr>
      </w:pPr>
    </w:p>
    <w:p>
      <w:pPr>
        <w:jc w:val="both"/>
        <w:ind w:firstLine="1952"/>
        <w:spacing w:after="0" w:line="248" w:lineRule="auto"/>
        <w:tabs>
          <w:tab w:leader="none" w:pos="2481" w:val="left"/>
        </w:tabs>
        <w:numPr>
          <w:ilvl w:val="1"/>
          <w:numId w:val="29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Payment.</w:t>
      </w:r>
      <w:r>
        <w:rPr>
          <w:rFonts w:ascii="Arial" w:cs="Arial" w:eastAsia="Arial" w:hAnsi="Arial"/>
          <w:sz w:val="20"/>
          <w:szCs w:val="20"/>
          <w:b w:val="1"/>
          <w:bCs w:val="1"/>
          <w:color w:val="auto"/>
        </w:rPr>
        <w:t xml:space="preserve"> </w:t>
      </w:r>
      <w:r>
        <w:rPr>
          <w:rFonts w:ascii="Arial" w:cs="Arial" w:eastAsia="Arial" w:hAnsi="Arial"/>
          <w:sz w:val="20"/>
          <w:szCs w:val="20"/>
          <w:color w:val="auto"/>
        </w:rPr>
        <w:t>Payment of the Purchase Price shall be made, at the option of the Company or its assignee(s), in</w:t>
      </w:r>
      <w:r>
        <w:rPr>
          <w:rFonts w:ascii="Arial" w:cs="Arial" w:eastAsia="Arial" w:hAnsi="Arial"/>
          <w:sz w:val="20"/>
          <w:szCs w:val="20"/>
          <w:b w:val="1"/>
          <w:bCs w:val="1"/>
          <w:color w:val="auto"/>
        </w:rPr>
        <w:t xml:space="preserve"> </w:t>
      </w:r>
      <w:r>
        <w:rPr>
          <w:rFonts w:ascii="Arial" w:cs="Arial" w:eastAsia="Arial" w:hAnsi="Arial"/>
          <w:sz w:val="20"/>
          <w:szCs w:val="20"/>
          <w:color w:val="auto"/>
        </w:rPr>
        <w:t>cash (by check), by cancellation of all or a portion of any outstanding indebtedness of the Holder to the Company (or, in the case of repurchase by an assignee, to the assignee), or by any combination thereof within thirty (30) days after receipt of the Notice or in the manner and at the times set forth in the Notice.</w:t>
      </w:r>
    </w:p>
    <w:p>
      <w:pPr>
        <w:spacing w:after="0" w:line="129" w:lineRule="exact"/>
        <w:rPr>
          <w:rFonts w:ascii="Arial" w:cs="Arial" w:eastAsia="Arial" w:hAnsi="Arial"/>
          <w:sz w:val="20"/>
          <w:szCs w:val="20"/>
          <w:b w:val="1"/>
          <w:bCs w:val="1"/>
          <w:color w:val="auto"/>
        </w:rPr>
      </w:pPr>
    </w:p>
    <w:p>
      <w:pPr>
        <w:jc w:val="both"/>
        <w:ind w:firstLine="1952"/>
        <w:spacing w:after="0" w:line="274" w:lineRule="auto"/>
        <w:tabs>
          <w:tab w:leader="none" w:pos="2413" w:val="left"/>
        </w:tabs>
        <w:numPr>
          <w:ilvl w:val="1"/>
          <w:numId w:val="2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Holder’s Right to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If all of the Shares proposed in the Notice to be transferred to a given Proposed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Transferee are not purchased by the Company and/or its assignee(s) as provided in this Section 9(c), then the Holder may sell or otherwise transfer such Shares to that Proposed Transferee at the Offered Price or at a higher price,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sale or other transfer is consummated within one hundred and twenty (120) days after the date of the Notice, that any such sale or other transfer is effected in accordance with any applicable securities laws and that the Proposed Transferee agrees in writing that the provisions of this Section 9(c) shall continue to apply to the Shares in the hands of such Proposed Transferee. If the Shares described in the Notice are not transferred to the Proposed Transferee within such period, a new Notice shall be given to the Company, and the Company and/or its assignees shall again be offered the Right of First Refusal before any Shares held by the Holder may be sold or otherwise transferred.</w:t>
      </w:r>
    </w:p>
    <w:p>
      <w:pPr>
        <w:spacing w:after="0" w:line="107" w:lineRule="exact"/>
        <w:rPr>
          <w:rFonts w:ascii="Arial" w:cs="Arial" w:eastAsia="Arial" w:hAnsi="Arial"/>
          <w:sz w:val="18"/>
          <w:szCs w:val="18"/>
          <w:b w:val="1"/>
          <w:bCs w:val="1"/>
          <w:color w:val="auto"/>
        </w:rPr>
      </w:pPr>
    </w:p>
    <w:p>
      <w:pPr>
        <w:jc w:val="both"/>
        <w:ind w:firstLine="1952"/>
        <w:spacing w:after="0" w:line="277" w:lineRule="auto"/>
        <w:tabs>
          <w:tab w:leader="none" w:pos="2670" w:val="left"/>
        </w:tabs>
        <w:numPr>
          <w:ilvl w:val="1"/>
          <w:numId w:val="2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Exception for Certain Family Transfers.</w:t>
      </w:r>
      <w:r>
        <w:rPr>
          <w:rFonts w:ascii="Arial" w:cs="Arial" w:eastAsia="Arial" w:hAnsi="Arial"/>
          <w:sz w:val="18"/>
          <w:szCs w:val="18"/>
          <w:b w:val="1"/>
          <w:bCs w:val="1"/>
          <w:color w:val="auto"/>
        </w:rPr>
        <w:t xml:space="preserve"> </w:t>
      </w:r>
      <w:r>
        <w:rPr>
          <w:rFonts w:ascii="Arial" w:cs="Arial" w:eastAsia="Arial" w:hAnsi="Arial"/>
          <w:sz w:val="18"/>
          <w:szCs w:val="18"/>
          <w:color w:val="auto"/>
        </w:rPr>
        <w:t>Anything to the contrary contained in this Section 9(c)</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the transfer of any or all of the Shares during the Participant’s lifetime or on the Participant’s death by will or intestacy to the Participant’s immediate family or a trust for the benefit of the Participant’s immediate family shall be exempt from the provisions of this Section 9(c). “</w:t>
      </w:r>
      <w:r>
        <w:rPr>
          <w:rFonts w:ascii="Arial" w:cs="Arial" w:eastAsia="Arial" w:hAnsi="Arial"/>
          <w:sz w:val="18"/>
          <w:szCs w:val="18"/>
          <w:b w:val="1"/>
          <w:bCs w:val="1"/>
          <w:i w:val="1"/>
          <w:iCs w:val="1"/>
          <w:color w:val="auto"/>
        </w:rPr>
        <w:t>Immediate Family</w:t>
      </w:r>
      <w:r>
        <w:rPr>
          <w:rFonts w:ascii="Arial" w:cs="Arial" w:eastAsia="Arial" w:hAnsi="Arial"/>
          <w:sz w:val="18"/>
          <w:szCs w:val="18"/>
          <w:color w:val="auto"/>
        </w:rPr>
        <w:t>” as used herein shall mean spouse, lineal descendant or antecedent, father, mother, brother or sister. In such case, the transferee or other recipient shall receive and hold the Shares so transferred subject to the provisions of this Section 9(c), and there shall be no further transfer of such Shares except in accordance with the terms of this Section 9(c).</w:t>
      </w:r>
    </w:p>
    <w:p>
      <w:pPr>
        <w:spacing w:after="0" w:line="105" w:lineRule="exact"/>
        <w:rPr>
          <w:rFonts w:ascii="Arial" w:cs="Arial" w:eastAsia="Arial" w:hAnsi="Arial"/>
          <w:sz w:val="18"/>
          <w:szCs w:val="18"/>
          <w:b w:val="1"/>
          <w:bCs w:val="1"/>
          <w:color w:val="auto"/>
        </w:rPr>
      </w:pPr>
    </w:p>
    <w:p>
      <w:pPr>
        <w:jc w:val="both"/>
        <w:ind w:right="20" w:firstLine="1952"/>
        <w:spacing w:after="0" w:line="253" w:lineRule="auto"/>
        <w:tabs>
          <w:tab w:leader="none" w:pos="2496" w:val="left"/>
        </w:tabs>
        <w:numPr>
          <w:ilvl w:val="1"/>
          <w:numId w:val="29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Termination of Right of First Refusal.</w:t>
      </w:r>
      <w:r>
        <w:rPr>
          <w:rFonts w:ascii="Arial" w:cs="Arial" w:eastAsia="Arial" w:hAnsi="Arial"/>
          <w:sz w:val="20"/>
          <w:szCs w:val="20"/>
          <w:b w:val="1"/>
          <w:bCs w:val="1"/>
          <w:color w:val="auto"/>
        </w:rPr>
        <w:t xml:space="preserve"> </w:t>
      </w:r>
      <w:r>
        <w:rPr>
          <w:rFonts w:ascii="Arial" w:cs="Arial" w:eastAsia="Arial" w:hAnsi="Arial"/>
          <w:sz w:val="20"/>
          <w:szCs w:val="20"/>
          <w:color w:val="auto"/>
        </w:rPr>
        <w:t>The Right of First Refusal shall terminate as to any Shares upon the</w:t>
      </w:r>
      <w:r>
        <w:rPr>
          <w:rFonts w:ascii="Arial" w:cs="Arial" w:eastAsia="Arial" w:hAnsi="Arial"/>
          <w:sz w:val="20"/>
          <w:szCs w:val="20"/>
          <w:b w:val="1"/>
          <w:bCs w:val="1"/>
          <w:color w:val="auto"/>
        </w:rPr>
        <w:t xml:space="preserve"> </w:t>
      </w:r>
      <w:r>
        <w:rPr>
          <w:rFonts w:ascii="Arial" w:cs="Arial" w:eastAsia="Arial" w:hAnsi="Arial"/>
          <w:sz w:val="20"/>
          <w:szCs w:val="20"/>
          <w:color w:val="auto"/>
        </w:rPr>
        <w:t>earlier of (i) the first sale of Common Stock of the Company to the general public, or (ii) a Change in Control in which the successor corporation has equity securities that are publicly traded.</w:t>
      </w:r>
    </w:p>
    <w:p>
      <w:pPr>
        <w:spacing w:after="0" w:line="123" w:lineRule="exact"/>
        <w:rPr>
          <w:rFonts w:ascii="Arial" w:cs="Arial" w:eastAsia="Arial" w:hAnsi="Arial"/>
          <w:sz w:val="20"/>
          <w:szCs w:val="20"/>
          <w:b w:val="1"/>
          <w:bCs w:val="1"/>
          <w:color w:val="auto"/>
        </w:rPr>
      </w:pPr>
    </w:p>
    <w:p>
      <w:pPr>
        <w:ind w:left="1100" w:hanging="444"/>
        <w:spacing w:after="0"/>
        <w:tabs>
          <w:tab w:leader="none" w:pos="1100" w:val="left"/>
        </w:tabs>
        <w:numPr>
          <w:ilvl w:val="0"/>
          <w:numId w:val="296"/>
        </w:numPr>
        <w:rPr>
          <w:rFonts w:ascii="Arial" w:cs="Arial" w:eastAsia="Arial" w:hAnsi="Arial"/>
          <w:sz w:val="20"/>
          <w:szCs w:val="20"/>
          <w:b w:val="1"/>
          <w:bCs w:val="1"/>
          <w:color w:val="auto"/>
        </w:rPr>
      </w:pPr>
      <w:r>
        <w:rPr>
          <w:rFonts w:ascii="Arial" w:cs="Arial" w:eastAsia="Arial" w:hAnsi="Arial"/>
          <w:sz w:val="20"/>
          <w:szCs w:val="20"/>
          <w:b w:val="1"/>
          <w:bCs w:val="1"/>
          <w:color w:val="auto"/>
        </w:rPr>
        <w:t>R</w:t>
      </w:r>
      <w:r>
        <w:rPr>
          <w:rFonts w:ascii="Arial" w:cs="Arial" w:eastAsia="Arial" w:hAnsi="Arial"/>
          <w:sz w:val="16"/>
          <w:szCs w:val="16"/>
          <w:b w:val="1"/>
          <w:bCs w:val="1"/>
          <w:color w:val="auto"/>
        </w:rPr>
        <w:t>ESTRICTIVE</w:t>
      </w:r>
      <w:r>
        <w:rPr>
          <w:rFonts w:ascii="Arial" w:cs="Arial" w:eastAsia="Arial" w:hAnsi="Arial"/>
          <w:sz w:val="20"/>
          <w:szCs w:val="20"/>
          <w:b w:val="1"/>
          <w:bCs w:val="1"/>
          <w:color w:val="auto"/>
        </w:rPr>
        <w:t xml:space="preserve"> L</w:t>
      </w:r>
      <w:r>
        <w:rPr>
          <w:rFonts w:ascii="Arial" w:cs="Arial" w:eastAsia="Arial" w:hAnsi="Arial"/>
          <w:sz w:val="16"/>
          <w:szCs w:val="16"/>
          <w:b w:val="1"/>
          <w:bCs w:val="1"/>
          <w:color w:val="auto"/>
        </w:rPr>
        <w:t>EGENDS</w:t>
      </w:r>
      <w:r>
        <w:rPr>
          <w:rFonts w:ascii="Arial" w:cs="Arial" w:eastAsia="Arial" w:hAnsi="Arial"/>
          <w:sz w:val="20"/>
          <w:szCs w:val="20"/>
          <w:b w:val="1"/>
          <w:bCs w:val="1"/>
          <w:color w:val="auto"/>
        </w:rPr>
        <w:t>.</w:t>
      </w:r>
    </w:p>
    <w:p>
      <w:pPr>
        <w:spacing w:after="0" w:line="162" w:lineRule="exact"/>
        <w:rPr>
          <w:sz w:val="20"/>
          <w:szCs w:val="20"/>
          <w:color w:val="auto"/>
        </w:rPr>
      </w:pPr>
    </w:p>
    <w:p>
      <w:pPr>
        <w:jc w:val="both"/>
        <w:ind w:firstLine="1304"/>
        <w:spacing w:after="0" w:line="253" w:lineRule="auto"/>
        <w:tabs>
          <w:tab w:leader="none" w:pos="1832" w:val="left"/>
        </w:tabs>
        <w:numPr>
          <w:ilvl w:val="0"/>
          <w:numId w:val="29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Legends</w:t>
      </w:r>
      <w:r>
        <w:rPr>
          <w:rFonts w:ascii="Arial" w:cs="Arial" w:eastAsia="Arial" w:hAnsi="Arial"/>
          <w:sz w:val="20"/>
          <w:szCs w:val="20"/>
          <w:u w:val="single" w:color="auto"/>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 understands and agrees that the Company shall cause the legends set forth below or legends</w:t>
      </w:r>
      <w:r>
        <w:rPr>
          <w:rFonts w:ascii="Arial" w:cs="Arial" w:eastAsia="Arial" w:hAnsi="Arial"/>
          <w:sz w:val="20"/>
          <w:szCs w:val="20"/>
          <w:b w:val="1"/>
          <w:bCs w:val="1"/>
          <w:color w:val="auto"/>
        </w:rPr>
        <w:t xml:space="preserve"> </w:t>
      </w:r>
      <w:r>
        <w:rPr>
          <w:rFonts w:ascii="Arial" w:cs="Arial" w:eastAsia="Arial" w:hAnsi="Arial"/>
          <w:sz w:val="20"/>
          <w:szCs w:val="20"/>
          <w:color w:val="auto"/>
        </w:rPr>
        <w:t>substantially equivalent thereto, to be placed upon any certificate(s) evidencing ownership of the Shares together with any other legends that may be required by the Company or by state or federal securities laws:</w:t>
      </w:r>
    </w:p>
    <w:p>
      <w:pPr>
        <w:spacing w:after="0" w:line="129" w:lineRule="exact"/>
        <w:rPr>
          <w:sz w:val="20"/>
          <w:szCs w:val="20"/>
          <w:color w:val="auto"/>
        </w:rPr>
      </w:pPr>
    </w:p>
    <w:p>
      <w:pPr>
        <w:jc w:val="both"/>
        <w:ind w:left="1300" w:right="660"/>
        <w:spacing w:after="0" w:line="250" w:lineRule="auto"/>
        <w:rPr>
          <w:sz w:val="20"/>
          <w:szCs w:val="20"/>
          <w:color w:val="auto"/>
        </w:rPr>
      </w:pPr>
      <w:r>
        <w:rPr>
          <w:rFonts w:ascii="Arial" w:cs="Arial" w:eastAsia="Arial" w:hAnsi="Arial"/>
          <w:sz w:val="20"/>
          <w:szCs w:val="20"/>
          <w:color w:val="auto"/>
        </w:rPr>
        <w:t>THE SECURITIES REPRESENTED HEREBY HAVE NOT BEEN REGISTERED UNDER THE SECURITIES ACT OF 1933 (THE “ACT”) AND MAY NOT BE OFFERED, SOLD OR OTHERWISE TRANSFERRED, PLEDGED OR HYPOTHECATED UNLESS AND UNTIL 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I - 6</w:t>
      </w:r>
    </w:p>
    <w:p>
      <w:pPr>
        <w:sectPr>
          <w:pgSz w:w="11900" w:h="16838" w:orient="portrait"/>
          <w:cols w:equalWidth="0" w:num="1">
            <w:col w:w="11240"/>
          </w:cols>
          <w:pgMar w:left="320" w:top="1440" w:right="339" w:bottom="1440" w:gutter="0" w:footer="0" w:header="0"/>
        </w:sectPr>
      </w:pPr>
    </w:p>
    <w:bookmarkStart w:id="359" w:name="page360"/>
    <w:bookmarkEnd w:id="359"/>
    <w:p>
      <w:pPr>
        <w:spacing w:after="0" w:line="141" w:lineRule="exact"/>
        <w:rPr>
          <w:sz w:val="20"/>
          <w:szCs w:val="20"/>
          <w:color w:val="auto"/>
        </w:rPr>
      </w:pPr>
    </w:p>
    <w:p>
      <w:pPr>
        <w:jc w:val="both"/>
        <w:ind w:left="1300" w:right="660"/>
        <w:spacing w:after="0" w:line="250" w:lineRule="auto"/>
        <w:rPr>
          <w:sz w:val="20"/>
          <w:szCs w:val="20"/>
          <w:color w:val="auto"/>
        </w:rPr>
      </w:pPr>
      <w:r>
        <w:rPr>
          <w:rFonts w:ascii="Arial" w:cs="Arial" w:eastAsia="Arial" w:hAnsi="Arial"/>
          <w:sz w:val="20"/>
          <w:szCs w:val="20"/>
          <w:color w:val="auto"/>
        </w:rPr>
        <w:t>UNDER THE ACT OR, IN THE OPINION OF COUNSEL SATISFACTORY TO THE ISSUER OF THESE SECURITIES, SUCH OFFER, SALE OR TRANSFER, PLEDGE OR HYPOTHECATION IS IN COMPLIANCE THEREWITH.</w:t>
      </w:r>
    </w:p>
    <w:p>
      <w:pPr>
        <w:spacing w:after="0" w:line="132" w:lineRule="exact"/>
        <w:rPr>
          <w:sz w:val="20"/>
          <w:szCs w:val="20"/>
          <w:color w:val="auto"/>
        </w:rPr>
      </w:pPr>
    </w:p>
    <w:p>
      <w:pPr>
        <w:jc w:val="both"/>
        <w:ind w:left="1300" w:right="660"/>
        <w:spacing w:after="0" w:line="278" w:lineRule="auto"/>
        <w:rPr>
          <w:sz w:val="20"/>
          <w:szCs w:val="20"/>
          <w:color w:val="auto"/>
        </w:rPr>
      </w:pPr>
      <w:r>
        <w:rPr>
          <w:rFonts w:ascii="Arial" w:cs="Arial" w:eastAsia="Arial" w:hAnsi="Arial"/>
          <w:sz w:val="18"/>
          <w:szCs w:val="18"/>
          <w:color w:val="auto"/>
        </w:rPr>
        <w:t>THE SHARES REPRESENTED BY THIS CERTIFICATE ARE SUBJECT TO CERTAIN RESTRICTIONS ON TRANSFER AND A RIGHT OF FIRST REFUSAL HELD BY THE ISSUER OR ITS ASSIGNEE(S) AS SET FORTH IN AN AGREEMENT BETWEEN THE ISSUER AND THE ORIGINAL HOLDER OF THESE SHARES, A COPY OF WHICH MAY BE OBTAINED AT THE PRINCIPAL OFFICE OF THE ISSUER. SUCH TRANSFER RESTRICTIONS AND RIGHT OF FIRST REFUSAL ARE BINDING ON TRANSFEREES OF THESE SHARES.</w:t>
      </w:r>
    </w:p>
    <w:p>
      <w:pPr>
        <w:spacing w:after="0" w:line="111" w:lineRule="exact"/>
        <w:rPr>
          <w:sz w:val="20"/>
          <w:szCs w:val="20"/>
          <w:color w:val="auto"/>
        </w:rPr>
      </w:pPr>
    </w:p>
    <w:p>
      <w:pPr>
        <w:jc w:val="both"/>
        <w:ind w:left="1300" w:right="640"/>
        <w:spacing w:after="0" w:line="259" w:lineRule="auto"/>
        <w:rPr>
          <w:sz w:val="20"/>
          <w:szCs w:val="20"/>
          <w:color w:val="auto"/>
        </w:rPr>
      </w:pPr>
      <w:r>
        <w:rPr>
          <w:rFonts w:ascii="Arial" w:cs="Arial" w:eastAsia="Arial" w:hAnsi="Arial"/>
          <w:sz w:val="19"/>
          <w:szCs w:val="19"/>
          <w:color w:val="auto"/>
        </w:rPr>
        <w:t>THE SHARES REPRESENTED BY THIS CERTIFICATE ARE SUBJECT TO RESTRICTIONS ON TRANSFER FOR A PERIOD OF TIME FOLLOWING THE EFFECTIVE DATE OF THE UNDERWRITTEN PUBLIC OFFERING OF THE COMPANY’S SECURITIES SET FORTH IN AN AGREEMENT BETWEEN THE ISSUER AND THE ORIGINAL HOLDER OF THESE SHARES AND MAY NOT BE SOLD OR OTHERWISE DISPOSED OF BY THE HOLDER PRIOR TO THE EXPIRATION OF SUCH PERIOD WITHOUT THE CONSENT OF THE COMPANY OR THE MANAGING UNDERWRITER.</w:t>
      </w:r>
    </w:p>
    <w:p>
      <w:pPr>
        <w:spacing w:after="0" w:line="118" w:lineRule="exact"/>
        <w:rPr>
          <w:sz w:val="20"/>
          <w:szCs w:val="20"/>
          <w:color w:val="auto"/>
        </w:rPr>
      </w:pPr>
    </w:p>
    <w:p>
      <w:pPr>
        <w:jc w:val="both"/>
        <w:ind w:firstLine="1304"/>
        <w:spacing w:after="0" w:line="253" w:lineRule="auto"/>
        <w:tabs>
          <w:tab w:leader="none" w:pos="1776" w:val="left"/>
        </w:tabs>
        <w:numPr>
          <w:ilvl w:val="1"/>
          <w:numId w:val="29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Stop-Transfer Notices</w:t>
      </w:r>
      <w:r>
        <w:rPr>
          <w:rFonts w:ascii="Arial" w:cs="Arial" w:eastAsia="Arial" w:hAnsi="Arial"/>
          <w:sz w:val="20"/>
          <w:szCs w:val="20"/>
          <w:color w:val="auto"/>
        </w:rPr>
        <w:t>. Participant agrees that, in order to ensure compliance with the restrictions referred to herein,</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may issue appropriate “stop transfer” instructions to its transfer agent, if any, and that, if the Company transfers its own securities, it may make appropriate notations to the same effect in its own records.</w:t>
      </w:r>
    </w:p>
    <w:p>
      <w:pPr>
        <w:spacing w:after="0" w:line="123" w:lineRule="exact"/>
        <w:rPr>
          <w:rFonts w:ascii="Arial" w:cs="Arial" w:eastAsia="Arial" w:hAnsi="Arial"/>
          <w:sz w:val="20"/>
          <w:szCs w:val="20"/>
          <w:b w:val="1"/>
          <w:bCs w:val="1"/>
          <w:color w:val="auto"/>
        </w:rPr>
      </w:pPr>
    </w:p>
    <w:p>
      <w:pPr>
        <w:jc w:val="both"/>
        <w:ind w:firstLine="1304"/>
        <w:spacing w:after="0" w:line="272" w:lineRule="auto"/>
        <w:tabs>
          <w:tab w:leader="none" w:pos="1740" w:val="left"/>
        </w:tabs>
        <w:numPr>
          <w:ilvl w:val="1"/>
          <w:numId w:val="29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Refusal to Transfer</w:t>
      </w:r>
      <w:r>
        <w:rPr>
          <w:rFonts w:ascii="Arial" w:cs="Arial" w:eastAsia="Arial" w:hAnsi="Arial"/>
          <w:sz w:val="19"/>
          <w:szCs w:val="19"/>
          <w:u w:val="single" w:color="auto"/>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shall not be required (i) to transfer on its books any Shares that have been sold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transferred in violation of any of the provisions of this Agreement or (ii) to treat as owner of such Shares or to accord the right to vote or pay dividends to any purchaser or other transferee to whom such Shares shall have been so transferred.</w:t>
      </w:r>
    </w:p>
    <w:p>
      <w:pPr>
        <w:spacing w:after="0" w:line="107" w:lineRule="exact"/>
        <w:rPr>
          <w:rFonts w:ascii="Arial" w:cs="Arial" w:eastAsia="Arial" w:hAnsi="Arial"/>
          <w:sz w:val="19"/>
          <w:szCs w:val="19"/>
          <w:b w:val="1"/>
          <w:bCs w:val="1"/>
          <w:color w:val="auto"/>
        </w:rPr>
      </w:pPr>
    </w:p>
    <w:p>
      <w:pPr>
        <w:jc w:val="both"/>
        <w:ind w:firstLine="1304"/>
        <w:spacing w:after="0" w:line="246" w:lineRule="auto"/>
        <w:tabs>
          <w:tab w:leader="none" w:pos="1830" w:val="left"/>
        </w:tabs>
        <w:numPr>
          <w:ilvl w:val="1"/>
          <w:numId w:val="29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Company Voting Agreement</w:t>
      </w:r>
      <w:r>
        <w:rPr>
          <w:rFonts w:ascii="Arial" w:cs="Arial" w:eastAsia="Arial" w:hAnsi="Arial"/>
          <w:sz w:val="20"/>
          <w:szCs w:val="20"/>
          <w:u w:val="single" w:color="auto"/>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 agrees that if Participant becomes a party to (A) the Company’s Voting</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dated as of January 30, 2015, among the Company and certain stockholders of the Company, as such may be amended and/or restated from time to time, and/or (B) any other voting agreement that is a successor to or replacement of such agreement (collectively, the “</w:t>
      </w:r>
      <w:r>
        <w:rPr>
          <w:rFonts w:ascii="Arial" w:cs="Arial" w:eastAsia="Arial" w:hAnsi="Arial"/>
          <w:sz w:val="20"/>
          <w:szCs w:val="20"/>
          <w:b w:val="1"/>
          <w:bCs w:val="1"/>
          <w:i w:val="1"/>
          <w:iCs w:val="1"/>
          <w:color w:val="auto"/>
        </w:rPr>
        <w:t>Company Voting Agreement</w:t>
      </w:r>
      <w:r>
        <w:rPr>
          <w:rFonts w:ascii="Arial" w:cs="Arial" w:eastAsia="Arial" w:hAnsi="Arial"/>
          <w:sz w:val="20"/>
          <w:szCs w:val="20"/>
          <w:color w:val="auto"/>
        </w:rPr>
        <w:t>”), then Participant agrees that the stock certificate(s) evidencing the Shares shall, in addition, bear any legends required under the Company Voting Agreement.</w:t>
      </w:r>
    </w:p>
    <w:p>
      <w:pPr>
        <w:spacing w:after="0" w:line="130" w:lineRule="exact"/>
        <w:rPr>
          <w:rFonts w:ascii="Arial" w:cs="Arial" w:eastAsia="Arial" w:hAnsi="Arial"/>
          <w:sz w:val="20"/>
          <w:szCs w:val="20"/>
          <w:b w:val="1"/>
          <w:bCs w:val="1"/>
          <w:color w:val="auto"/>
        </w:rPr>
      </w:pPr>
    </w:p>
    <w:p>
      <w:pPr>
        <w:ind w:left="1100" w:hanging="444"/>
        <w:spacing w:after="0"/>
        <w:tabs>
          <w:tab w:leader="none" w:pos="1100" w:val="left"/>
        </w:tabs>
        <w:numPr>
          <w:ilvl w:val="0"/>
          <w:numId w:val="299"/>
        </w:numPr>
        <w:rPr>
          <w:rFonts w:ascii="Arial" w:cs="Arial" w:eastAsia="Arial" w:hAnsi="Arial"/>
          <w:sz w:val="20"/>
          <w:szCs w:val="20"/>
          <w:b w:val="1"/>
          <w:bCs w:val="1"/>
          <w:color w:val="auto"/>
        </w:rPr>
      </w:pPr>
      <w:r>
        <w:rPr>
          <w:rFonts w:ascii="Arial" w:cs="Arial" w:eastAsia="Arial" w:hAnsi="Arial"/>
          <w:sz w:val="20"/>
          <w:szCs w:val="20"/>
          <w:b w:val="1"/>
          <w:bCs w:val="1"/>
          <w:color w:val="auto"/>
        </w:rPr>
        <w:t>M</w:t>
      </w:r>
      <w:r>
        <w:rPr>
          <w:rFonts w:ascii="Arial" w:cs="Arial" w:eastAsia="Arial" w:hAnsi="Arial"/>
          <w:sz w:val="16"/>
          <w:szCs w:val="16"/>
          <w:b w:val="1"/>
          <w:bCs w:val="1"/>
          <w:color w:val="auto"/>
        </w:rPr>
        <w:t>ARKET</w:t>
      </w:r>
      <w:r>
        <w:rPr>
          <w:rFonts w:ascii="Arial" w:cs="Arial" w:eastAsia="Arial" w:hAnsi="Arial"/>
          <w:sz w:val="20"/>
          <w:szCs w:val="20"/>
          <w:b w:val="1"/>
          <w:bCs w:val="1"/>
          <w:color w:val="auto"/>
        </w:rPr>
        <w:t xml:space="preserve"> S</w:t>
      </w:r>
      <w:r>
        <w:rPr>
          <w:rFonts w:ascii="Arial" w:cs="Arial" w:eastAsia="Arial" w:hAnsi="Arial"/>
          <w:sz w:val="16"/>
          <w:szCs w:val="16"/>
          <w:b w:val="1"/>
          <w:bCs w:val="1"/>
          <w:color w:val="auto"/>
        </w:rPr>
        <w:t>TAND</w:t>
      </w:r>
      <w:r>
        <w:rPr>
          <w:rFonts w:ascii="Arial" w:cs="Arial" w:eastAsia="Arial" w:hAnsi="Arial"/>
          <w:sz w:val="20"/>
          <w:szCs w:val="20"/>
          <w:b w:val="1"/>
          <w:bCs w:val="1"/>
          <w:color w:val="auto"/>
        </w:rPr>
        <w:t>-O</w:t>
      </w:r>
      <w:r>
        <w:rPr>
          <w:rFonts w:ascii="Arial" w:cs="Arial" w:eastAsia="Arial" w:hAnsi="Arial"/>
          <w:sz w:val="16"/>
          <w:szCs w:val="16"/>
          <w:b w:val="1"/>
          <w:bCs w:val="1"/>
          <w:color w:val="auto"/>
        </w:rPr>
        <w:t>FF</w:t>
      </w:r>
      <w:r>
        <w:rPr>
          <w:rFonts w:ascii="Arial" w:cs="Arial" w:eastAsia="Arial" w:hAnsi="Arial"/>
          <w:sz w:val="20"/>
          <w:szCs w:val="20"/>
          <w:b w:val="1"/>
          <w:bCs w:val="1"/>
          <w:color w:val="auto"/>
        </w:rPr>
        <w:t>.</w:t>
      </w:r>
    </w:p>
    <w:p>
      <w:pPr>
        <w:spacing w:after="0" w:line="167" w:lineRule="exact"/>
        <w:rPr>
          <w:rFonts w:ascii="Arial" w:cs="Arial" w:eastAsia="Arial" w:hAnsi="Arial"/>
          <w:sz w:val="20"/>
          <w:szCs w:val="20"/>
          <w:b w:val="1"/>
          <w:bCs w:val="1"/>
          <w:color w:val="auto"/>
        </w:rPr>
      </w:pPr>
    </w:p>
    <w:p>
      <w:pPr>
        <w:jc w:val="both"/>
        <w:ind w:firstLine="1304"/>
        <w:spacing w:after="0" w:line="276" w:lineRule="auto"/>
        <w:tabs>
          <w:tab w:leader="none" w:pos="1805" w:val="left"/>
        </w:tabs>
        <w:numPr>
          <w:ilvl w:val="1"/>
          <w:numId w:val="299"/>
        </w:numPr>
        <w:rPr>
          <w:rFonts w:ascii="Arial" w:cs="Arial" w:eastAsia="Arial" w:hAnsi="Arial"/>
          <w:sz w:val="18"/>
          <w:szCs w:val="18"/>
          <w:b w:val="1"/>
          <w:bCs w:val="1"/>
          <w:color w:val="auto"/>
        </w:rPr>
      </w:pPr>
      <w:r>
        <w:rPr>
          <w:rFonts w:ascii="Arial" w:cs="Arial" w:eastAsia="Arial" w:hAnsi="Arial"/>
          <w:sz w:val="18"/>
          <w:szCs w:val="18"/>
          <w:color w:val="auto"/>
        </w:rPr>
        <w:t>Participant hereby agrees that Participant shall not offer, pledge, sell, contract to sell, sell any option or contract to purchase, purchase any option or contract to sell, grant any option, right or warrant to purchase, lend, or otherwise transfer or dispose of, directly or indirectly, any Shares (or other securities) of the Company or enter into any swap, hedging or other arrangement that transfers to another, in whole or in part, any of the economic consequences of ownership of any Shares (or other securities) of the Company held by Participant (other than those included in the registration) for a period specified by the representative of the underwriters of Shares (or other securities) of the Company not to exceed one hundred and eighty (180) days following the effective date of any registration statement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I - 7</w:t>
      </w:r>
    </w:p>
    <w:p>
      <w:pPr>
        <w:sectPr>
          <w:pgSz w:w="11900" w:h="16838" w:orient="portrait"/>
          <w:cols w:equalWidth="0" w:num="1">
            <w:col w:w="11240"/>
          </w:cols>
          <w:pgMar w:left="320" w:top="1440" w:right="339" w:bottom="1440" w:gutter="0" w:footer="0" w:header="0"/>
        </w:sectPr>
      </w:pPr>
    </w:p>
    <w:bookmarkStart w:id="360" w:name="page361"/>
    <w:bookmarkEnd w:id="360"/>
    <w:p>
      <w:pPr>
        <w:spacing w:after="0" w:line="141"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Company filed under the Securities Act (or such other period as may be requested by the Company or the underwriters to accommodate regulatory restrictions on (i) the publication or other distribution of research reports and (ii) analyst recommendations and opinions, including, but not limited to, the restrictions contained in FINRA Rule 2241, or any successor provisions or amendments thereto).</w:t>
      </w:r>
    </w:p>
    <w:p>
      <w:pPr>
        <w:spacing w:after="0" w:line="98" w:lineRule="exact"/>
        <w:rPr>
          <w:sz w:val="20"/>
          <w:szCs w:val="20"/>
          <w:color w:val="auto"/>
        </w:rPr>
      </w:pPr>
    </w:p>
    <w:p>
      <w:pPr>
        <w:jc w:val="both"/>
        <w:ind w:firstLine="1304"/>
        <w:spacing w:after="0" w:line="271" w:lineRule="auto"/>
        <w:tabs>
          <w:tab w:leader="none" w:pos="1745" w:val="left"/>
        </w:tabs>
        <w:numPr>
          <w:ilvl w:val="1"/>
          <w:numId w:val="300"/>
        </w:numPr>
        <w:rPr>
          <w:rFonts w:ascii="Arial" w:cs="Arial" w:eastAsia="Arial" w:hAnsi="Arial"/>
          <w:sz w:val="18"/>
          <w:szCs w:val="18"/>
          <w:b w:val="1"/>
          <w:bCs w:val="1"/>
          <w:color w:val="auto"/>
        </w:rPr>
      </w:pPr>
      <w:r>
        <w:rPr>
          <w:rFonts w:ascii="Arial" w:cs="Arial" w:eastAsia="Arial" w:hAnsi="Arial"/>
          <w:sz w:val="18"/>
          <w:szCs w:val="18"/>
          <w:color w:val="auto"/>
        </w:rPr>
        <w:t>Participant agrees to execute and deliver such other agreements as may be reasonably requested by the Company or the underwriter which are consistent with the foregoing or which are necessary to give further effect thereto. In addition, if requested by the Company or the representative of the underwriters of Shares (or other securities) of the Company, Participant shall provide, within ten (10) days of such request, such information as may be required by the Company or such representative in connection with the completion of any public offering of the Company’s securities pursuant to a registration statement filed under the Securities Act. The obligations described in this Section 11 shall not apply to a registration relating solely to employee benefit plans on Form S-1 or Form S-8 or similar forms that may be promulgated in the future, or a registration relating solely to a Commission Rule 145 transaction on Form S-4 or similar forms that may be promulgated in the future. The Company may impose stop-transfer instructions with respect to the Shares (or other securities) subject to the foregoing restriction until the end of said one hundred and eighty (180) day (or other) period. Participant agrees that any transferee of the RSUs or Shares (or other securities) acquired pursuant to this Award shall be bound by this Section 11.</w:t>
      </w:r>
    </w:p>
    <w:p>
      <w:pPr>
        <w:spacing w:after="0" w:line="113" w:lineRule="exact"/>
        <w:rPr>
          <w:rFonts w:ascii="Arial" w:cs="Arial" w:eastAsia="Arial" w:hAnsi="Arial"/>
          <w:sz w:val="18"/>
          <w:szCs w:val="18"/>
          <w:b w:val="1"/>
          <w:bCs w:val="1"/>
          <w:color w:val="auto"/>
        </w:rPr>
      </w:pPr>
    </w:p>
    <w:p>
      <w:pPr>
        <w:jc w:val="both"/>
        <w:ind w:firstLine="656"/>
        <w:spacing w:after="0" w:line="274" w:lineRule="auto"/>
        <w:tabs>
          <w:tab w:leader="none" w:pos="1093"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XECUTION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hereby acknowledges and agrees that the manner selected by the Company by which</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indicates Participant’s consent to Participant’s Grant Notice is also deemed to be Participant’s execution and acceptance of Participant’s Grant Notice and of this Agreement. Participant further agrees that such manner of indicating consent may be relied upon as Participant’s signature for establishing Participant’s execution of any documents to be executed in the future in connection with Participant’s Award. In addition, if the Company so requests, Participant hereby agrees to enter into and execute the then-current Company Voting Agreement concurrently with the delivery of Shares pursuant to this Agreement or at any other time Participant is requested to do so by the Company. Participant acknowledges that by entering into the Company Voting Agreement, Participant will be subjected to voting and other obligations and covenants regarding all Company shares Participant owns, and all other provisions of the Company Voting Agreement.</w:t>
      </w:r>
    </w:p>
    <w:p>
      <w:pPr>
        <w:spacing w:after="0" w:line="107" w:lineRule="exact"/>
        <w:rPr>
          <w:rFonts w:ascii="Arial" w:cs="Arial" w:eastAsia="Arial" w:hAnsi="Arial"/>
          <w:sz w:val="18"/>
          <w:szCs w:val="18"/>
          <w:b w:val="1"/>
          <w:bCs w:val="1"/>
          <w:color w:val="auto"/>
        </w:rPr>
      </w:pPr>
    </w:p>
    <w:p>
      <w:pPr>
        <w:jc w:val="both"/>
        <w:ind w:firstLine="656"/>
        <w:spacing w:after="0" w:line="242" w:lineRule="auto"/>
        <w:tabs>
          <w:tab w:leader="none" w:pos="1120" w:val="left"/>
        </w:tabs>
        <w:numPr>
          <w:ilvl w:val="0"/>
          <w:numId w:val="301"/>
        </w:numPr>
        <w:rPr>
          <w:rFonts w:ascii="Arial" w:cs="Arial" w:eastAsia="Arial" w:hAnsi="Arial"/>
          <w:sz w:val="20"/>
          <w:szCs w:val="20"/>
          <w:b w:val="1"/>
          <w:bCs w:val="1"/>
          <w:color w:val="auto"/>
        </w:rPr>
      </w:pPr>
      <w:r>
        <w:rPr>
          <w:rFonts w:ascii="Arial" w:cs="Arial" w:eastAsia="Arial" w:hAnsi="Arial"/>
          <w:sz w:val="20"/>
          <w:szCs w:val="20"/>
          <w:b w:val="1"/>
          <w:bCs w:val="1"/>
          <w:color w:val="auto"/>
        </w:rPr>
        <w:t>N</w:t>
      </w:r>
      <w:r>
        <w:rPr>
          <w:rFonts w:ascii="Arial" w:cs="Arial" w:eastAsia="Arial" w:hAnsi="Arial"/>
          <w:sz w:val="16"/>
          <w:szCs w:val="16"/>
          <w:b w:val="1"/>
          <w:bCs w:val="1"/>
          <w:color w:val="auto"/>
        </w:rPr>
        <w:t>O</w:t>
      </w:r>
      <w:r>
        <w:rPr>
          <w:rFonts w:ascii="Arial" w:cs="Arial" w:eastAsia="Arial" w:hAnsi="Arial"/>
          <w:sz w:val="20"/>
          <w:szCs w:val="20"/>
          <w:b w:val="1"/>
          <w:bCs w:val="1"/>
          <w:color w:val="auto"/>
        </w:rPr>
        <w:t xml:space="preserve"> G</w:t>
      </w:r>
      <w:r>
        <w:rPr>
          <w:rFonts w:ascii="Arial" w:cs="Arial" w:eastAsia="Arial" w:hAnsi="Arial"/>
          <w:sz w:val="16"/>
          <w:szCs w:val="16"/>
          <w:b w:val="1"/>
          <w:bCs w:val="1"/>
          <w:color w:val="auto"/>
        </w:rPr>
        <w:t>UARANTEE OF</w:t>
      </w:r>
      <w:r>
        <w:rPr>
          <w:rFonts w:ascii="Arial" w:cs="Arial" w:eastAsia="Arial" w:hAnsi="Arial"/>
          <w:sz w:val="20"/>
          <w:szCs w:val="20"/>
          <w:b w:val="1"/>
          <w:bCs w:val="1"/>
          <w:color w:val="auto"/>
        </w:rPr>
        <w:t xml:space="preserve"> C</w:t>
      </w:r>
      <w:r>
        <w:rPr>
          <w:rFonts w:ascii="Arial" w:cs="Arial" w:eastAsia="Arial" w:hAnsi="Arial"/>
          <w:sz w:val="16"/>
          <w:szCs w:val="16"/>
          <w:b w:val="1"/>
          <w:bCs w:val="1"/>
          <w:color w:val="auto"/>
        </w:rPr>
        <w:t>ONTINUED</w:t>
      </w:r>
      <w:r>
        <w:rPr>
          <w:rFonts w:ascii="Arial" w:cs="Arial" w:eastAsia="Arial" w:hAnsi="Arial"/>
          <w:sz w:val="20"/>
          <w:szCs w:val="20"/>
          <w:b w:val="1"/>
          <w:bCs w:val="1"/>
          <w:color w:val="auto"/>
        </w:rPr>
        <w:t xml:space="preserve"> S</w:t>
      </w:r>
      <w:r>
        <w:rPr>
          <w:rFonts w:ascii="Arial" w:cs="Arial" w:eastAsia="Arial" w:hAnsi="Arial"/>
          <w:sz w:val="16"/>
          <w:szCs w:val="16"/>
          <w:b w:val="1"/>
          <w:bCs w:val="1"/>
          <w:color w:val="auto"/>
        </w:rPr>
        <w:t>ERVICE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 ACKNOWLEDGES AND AGREES THAT THE VESTING OF</w:t>
      </w:r>
      <w:r>
        <w:rPr>
          <w:rFonts w:ascii="Arial" w:cs="Arial" w:eastAsia="Arial" w:hAnsi="Arial"/>
          <w:sz w:val="20"/>
          <w:szCs w:val="20"/>
          <w:b w:val="1"/>
          <w:bCs w:val="1"/>
          <w:color w:val="auto"/>
        </w:rPr>
        <w:t xml:space="preserve"> </w:t>
      </w:r>
      <w:r>
        <w:rPr>
          <w:rFonts w:ascii="Arial" w:cs="Arial" w:eastAsia="Arial" w:hAnsi="Arial"/>
          <w:sz w:val="20"/>
          <w:szCs w:val="20"/>
          <w:color w:val="auto"/>
        </w:rPr>
        <w:t>THE RESTRICTED STOCK UNITS PURSUANT TO THE VESTING SCHEDULE SET FORTH IN THE GRANT NOTICE IS EARNED ONLY BY CONTINUING AS A SERVICE PROVIDER AT THE WILL OF THE COMPANY (OR THE PARENT OR SUBSIDIARY EMPLOYING OR RETAINING PARTICIPANT) AND NOT THROUGH THE ACT OF BEING HIRED, BEING GRANTED THIS AWARD OR ACQUIRING SHARES OR OTHER CONSIDERATION HEREUNDER. PARTICIPANT FURTHER ACKNOWLEDGES AND AGREES THAT THIS AGREEMENT, THE TRANSACTIONS CONTEMPLATED HEREUNDER AND THE VESTING SCHEDULE SET FORTH IN THE GRANT NOTICE DO NOT CONSTITUTE AN EXPRESS OR IMPLIED PROMISE OF CONTINUED ENGAGEMENT AS A SERVICE PROVIDER FOR THE VESTING PERIOD, FOR ANY PERIOD, OR AT ALL, AND SHALL NOT INTERFERE IN ANY WAY WITH PARTICIPANT’S RIGHT OR THE RIGHT OF THE COMPANY (OR THE PARENT OR SUBSIDIARY EMPLOYING OR RETAINING PARTICIPANT) TO TERMINATE PARTICIPANT’S RELATIONSHIP AS A SERVICE PROVIDER AT ANY TIME, WITH OR WITHOUT CAUSE.</w:t>
      </w:r>
    </w:p>
    <w:p>
      <w:pPr>
        <w:spacing w:after="0" w:line="135" w:lineRule="exact"/>
        <w:rPr>
          <w:rFonts w:ascii="Arial" w:cs="Arial" w:eastAsia="Arial" w:hAnsi="Arial"/>
          <w:sz w:val="20"/>
          <w:szCs w:val="20"/>
          <w:b w:val="1"/>
          <w:bCs w:val="1"/>
          <w:color w:val="auto"/>
        </w:rPr>
      </w:pPr>
    </w:p>
    <w:p>
      <w:pPr>
        <w:ind w:right="20" w:firstLine="656"/>
        <w:spacing w:after="0" w:line="267" w:lineRule="auto"/>
        <w:tabs>
          <w:tab w:leader="none" w:pos="1093" w:val="left"/>
        </w:tabs>
        <w:numPr>
          <w:ilvl w:val="0"/>
          <w:numId w:val="301"/>
        </w:numPr>
        <w:rPr>
          <w:rFonts w:ascii="Arial" w:cs="Arial" w:eastAsia="Arial" w:hAnsi="Arial"/>
          <w:sz w:val="20"/>
          <w:szCs w:val="20"/>
          <w:b w:val="1"/>
          <w:bCs w:val="1"/>
          <w:color w:val="auto"/>
        </w:rPr>
      </w:pPr>
      <w:r>
        <w:rPr>
          <w:rFonts w:ascii="Arial" w:cs="Arial" w:eastAsia="Arial" w:hAnsi="Arial"/>
          <w:sz w:val="20"/>
          <w:szCs w:val="20"/>
          <w:b w:val="1"/>
          <w:bCs w:val="1"/>
          <w:color w:val="auto"/>
        </w:rPr>
        <w:t>U</w:t>
      </w:r>
      <w:r>
        <w:rPr>
          <w:rFonts w:ascii="Arial" w:cs="Arial" w:eastAsia="Arial" w:hAnsi="Arial"/>
          <w:sz w:val="16"/>
          <w:szCs w:val="16"/>
          <w:b w:val="1"/>
          <w:bCs w:val="1"/>
          <w:color w:val="auto"/>
        </w:rPr>
        <w:t>NSECURED</w:t>
      </w:r>
      <w:r>
        <w:rPr>
          <w:rFonts w:ascii="Arial" w:cs="Arial" w:eastAsia="Arial" w:hAnsi="Arial"/>
          <w:sz w:val="20"/>
          <w:szCs w:val="20"/>
          <w:b w:val="1"/>
          <w:bCs w:val="1"/>
          <w:color w:val="auto"/>
        </w:rPr>
        <w:t xml:space="preserve"> O</w:t>
      </w:r>
      <w:r>
        <w:rPr>
          <w:rFonts w:ascii="Arial" w:cs="Arial" w:eastAsia="Arial" w:hAnsi="Arial"/>
          <w:sz w:val="16"/>
          <w:szCs w:val="16"/>
          <w:b w:val="1"/>
          <w:bCs w:val="1"/>
          <w:color w:val="auto"/>
        </w:rPr>
        <w:t>BLIGATION</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Participant’s Award is unfunded, and as a holder of a vested Award, Participant shall be considered</w:t>
      </w:r>
      <w:r>
        <w:rPr>
          <w:rFonts w:ascii="Arial" w:cs="Arial" w:eastAsia="Arial" w:hAnsi="Arial"/>
          <w:sz w:val="20"/>
          <w:szCs w:val="20"/>
          <w:b w:val="1"/>
          <w:bCs w:val="1"/>
          <w:color w:val="auto"/>
        </w:rPr>
        <w:t xml:space="preserve"> </w:t>
      </w:r>
      <w:r>
        <w:rPr>
          <w:rFonts w:ascii="Arial" w:cs="Arial" w:eastAsia="Arial" w:hAnsi="Arial"/>
          <w:sz w:val="20"/>
          <w:szCs w:val="20"/>
          <w:color w:val="auto"/>
        </w:rPr>
        <w:t>an unsecured creditor of the Company with respect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I - 8</w:t>
      </w:r>
    </w:p>
    <w:p>
      <w:pPr>
        <w:sectPr>
          <w:pgSz w:w="11900" w:h="16838" w:orient="portrait"/>
          <w:cols w:equalWidth="0" w:num="1">
            <w:col w:w="11240"/>
          </w:cols>
          <w:pgMar w:left="320" w:top="1440" w:right="339" w:bottom="1440" w:gutter="0" w:footer="0" w:header="0"/>
        </w:sectPr>
      </w:pPr>
    </w:p>
    <w:bookmarkStart w:id="361" w:name="page362"/>
    <w:bookmarkEnd w:id="361"/>
    <w:p>
      <w:pPr>
        <w:spacing w:after="0" w:line="14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Company’s obligation, if any, to issue Shares or other property pursuant to this Agreement. Participant shall not have voting or any other rights as a stockholder of the Company with respect to the Shares to be issued pursuant to this Agreement until such Shares are issued to Participant pursuant to Section 5 of this Agreement. Upon such issuance, Participant will obtain full voting and other rights as a stockholder of the Company. Nothing contained in this Agreement, and no action taken pursuant to its provisions, shall create or be construed to create a trust of any kind or a fiduciary relationship between Participant and the Company or any other person.</w:t>
      </w:r>
    </w:p>
    <w:p>
      <w:pPr>
        <w:spacing w:after="0" w:line="105" w:lineRule="exact"/>
        <w:rPr>
          <w:sz w:val="20"/>
          <w:szCs w:val="20"/>
          <w:color w:val="auto"/>
        </w:rPr>
      </w:pPr>
    </w:p>
    <w:p>
      <w:pPr>
        <w:jc w:val="both"/>
        <w:ind w:firstLine="656"/>
        <w:spacing w:after="0" w:line="259" w:lineRule="auto"/>
        <w:tabs>
          <w:tab w:leader="none" w:pos="1093" w:val="left"/>
        </w:tabs>
        <w:numPr>
          <w:ilvl w:val="0"/>
          <w:numId w:val="302"/>
        </w:numPr>
        <w:rPr>
          <w:rFonts w:ascii="Arial" w:cs="Arial" w:eastAsia="Arial" w:hAnsi="Arial"/>
          <w:sz w:val="19"/>
          <w:szCs w:val="19"/>
          <w:b w:val="1"/>
          <w:bCs w:val="1"/>
          <w:color w:val="auto"/>
        </w:rPr>
      </w:pPr>
      <w:r>
        <w:rPr>
          <w:rFonts w:ascii="Arial" w:cs="Arial" w:eastAsia="Arial" w:hAnsi="Arial"/>
          <w:sz w:val="19"/>
          <w:szCs w:val="19"/>
          <w:b w:val="1"/>
          <w:bCs w:val="1"/>
          <w:color w:val="auto"/>
        </w:rPr>
        <w:t>N</w:t>
      </w:r>
      <w:r>
        <w:rPr>
          <w:rFonts w:ascii="Arial" w:cs="Arial" w:eastAsia="Arial" w:hAnsi="Arial"/>
          <w:sz w:val="15"/>
          <w:szCs w:val="15"/>
          <w:b w:val="1"/>
          <w:bCs w:val="1"/>
          <w:color w:val="auto"/>
        </w:rPr>
        <w:t>OTICES</w:t>
      </w:r>
      <w:r>
        <w:rPr>
          <w:rFonts w:ascii="Arial" w:cs="Arial" w:eastAsia="Arial" w:hAnsi="Arial"/>
          <w:sz w:val="19"/>
          <w:szCs w:val="19"/>
          <w:color w:val="auto"/>
        </w:rPr>
        <w:t>. Any notice or request required or permitted hereunder shall be given in writing (including electronically) and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deemed effectively given upon receipt or, in the case of notices delivered by mail by the Company to Participant, five (5) days after deposit in the United States mail, postage prepaid, addressed to Participant at the last address Participant provided to the Company. The Company may, in its sole discretion, decide to deliver any documents related to participation in the Plan and this Award by electronic means or to request Participant’s consent to participate in the Plan by electronic means. By accepting this Award, Participant consents to receive such documents by electronic delivery and to participate in the Plan through an on-line or electronic system established and maintained by the Company or another third party designated by the Company.</w:t>
      </w:r>
    </w:p>
    <w:p>
      <w:pPr>
        <w:spacing w:after="0" w:line="118" w:lineRule="exact"/>
        <w:rPr>
          <w:rFonts w:ascii="Arial" w:cs="Arial" w:eastAsia="Arial" w:hAnsi="Arial"/>
          <w:sz w:val="19"/>
          <w:szCs w:val="19"/>
          <w:b w:val="1"/>
          <w:bCs w:val="1"/>
          <w:color w:val="auto"/>
        </w:rPr>
      </w:pPr>
    </w:p>
    <w:p>
      <w:pPr>
        <w:ind w:firstLine="656"/>
        <w:spacing w:after="0" w:line="267" w:lineRule="auto"/>
        <w:tabs>
          <w:tab w:leader="none" w:pos="1188" w:val="left"/>
        </w:tabs>
        <w:numPr>
          <w:ilvl w:val="0"/>
          <w:numId w:val="302"/>
        </w:numPr>
        <w:rPr>
          <w:rFonts w:ascii="Arial" w:cs="Arial" w:eastAsia="Arial" w:hAnsi="Arial"/>
          <w:sz w:val="20"/>
          <w:szCs w:val="20"/>
          <w:b w:val="1"/>
          <w:bCs w:val="1"/>
          <w:color w:val="auto"/>
        </w:rPr>
      </w:pPr>
      <w:r>
        <w:rPr>
          <w:rFonts w:ascii="Arial" w:cs="Arial" w:eastAsia="Arial" w:hAnsi="Arial"/>
          <w:sz w:val="20"/>
          <w:szCs w:val="20"/>
          <w:b w:val="1"/>
          <w:bCs w:val="1"/>
          <w:color w:val="auto"/>
        </w:rPr>
        <w:t>H</w:t>
      </w:r>
      <w:r>
        <w:rPr>
          <w:rFonts w:ascii="Arial" w:cs="Arial" w:eastAsia="Arial" w:hAnsi="Arial"/>
          <w:sz w:val="16"/>
          <w:szCs w:val="16"/>
          <w:b w:val="1"/>
          <w:bCs w:val="1"/>
          <w:color w:val="auto"/>
        </w:rPr>
        <w:t>EADINGS</w:t>
      </w:r>
      <w:r>
        <w:rPr>
          <w:rFonts w:ascii="Arial" w:cs="Arial" w:eastAsia="Arial" w:hAnsi="Arial"/>
          <w:sz w:val="20"/>
          <w:szCs w:val="20"/>
          <w:b w:val="1"/>
          <w:bCs w:val="1"/>
          <w:color w:val="auto"/>
        </w:rPr>
        <w:t xml:space="preserve">. </w:t>
      </w:r>
      <w:r>
        <w:rPr>
          <w:rFonts w:ascii="Arial" w:cs="Arial" w:eastAsia="Arial" w:hAnsi="Arial"/>
          <w:sz w:val="20"/>
          <w:szCs w:val="20"/>
          <w:color w:val="auto"/>
        </w:rPr>
        <w:t>The headings of the Sections in this Agreement are inserted for convenience only and shall not be deemed to</w:t>
      </w:r>
      <w:r>
        <w:rPr>
          <w:rFonts w:ascii="Arial" w:cs="Arial" w:eastAsia="Arial" w:hAnsi="Arial"/>
          <w:sz w:val="20"/>
          <w:szCs w:val="20"/>
          <w:b w:val="1"/>
          <w:bCs w:val="1"/>
          <w:color w:val="auto"/>
        </w:rPr>
        <w:t xml:space="preserve"> </w:t>
      </w:r>
      <w:r>
        <w:rPr>
          <w:rFonts w:ascii="Arial" w:cs="Arial" w:eastAsia="Arial" w:hAnsi="Arial"/>
          <w:sz w:val="20"/>
          <w:szCs w:val="20"/>
          <w:color w:val="auto"/>
        </w:rPr>
        <w:t>constitute a part of this Agreement or to affect the meaning of this Agreement.</w:t>
      </w:r>
    </w:p>
    <w:p>
      <w:pPr>
        <w:spacing w:after="0" w:line="109" w:lineRule="exact"/>
        <w:rPr>
          <w:rFonts w:ascii="Arial" w:cs="Arial" w:eastAsia="Arial" w:hAnsi="Arial"/>
          <w:sz w:val="20"/>
          <w:szCs w:val="20"/>
          <w:b w:val="1"/>
          <w:bCs w:val="1"/>
          <w:color w:val="auto"/>
        </w:rPr>
      </w:pPr>
    </w:p>
    <w:p>
      <w:pPr>
        <w:ind w:left="1100" w:hanging="444"/>
        <w:spacing w:after="0"/>
        <w:tabs>
          <w:tab w:leader="none" w:pos="1100" w:val="left"/>
        </w:tabs>
        <w:numPr>
          <w:ilvl w:val="0"/>
          <w:numId w:val="302"/>
        </w:numPr>
        <w:rPr>
          <w:rFonts w:ascii="Arial" w:cs="Arial" w:eastAsia="Arial" w:hAnsi="Arial"/>
          <w:sz w:val="20"/>
          <w:szCs w:val="20"/>
          <w:b w:val="1"/>
          <w:bCs w:val="1"/>
          <w:color w:val="auto"/>
        </w:rPr>
      </w:pPr>
      <w:r>
        <w:rPr>
          <w:rFonts w:ascii="Arial" w:cs="Arial" w:eastAsia="Arial" w:hAnsi="Arial"/>
          <w:sz w:val="20"/>
          <w:szCs w:val="20"/>
          <w:b w:val="1"/>
          <w:bCs w:val="1"/>
          <w:color w:val="auto"/>
        </w:rPr>
        <w:t>M</w:t>
      </w:r>
      <w:r>
        <w:rPr>
          <w:rFonts w:ascii="Arial" w:cs="Arial" w:eastAsia="Arial" w:hAnsi="Arial"/>
          <w:sz w:val="16"/>
          <w:szCs w:val="16"/>
          <w:b w:val="1"/>
          <w:bCs w:val="1"/>
          <w:color w:val="auto"/>
        </w:rPr>
        <w:t>ISCELLANEOUS</w:t>
      </w:r>
      <w:r>
        <w:rPr>
          <w:rFonts w:ascii="Arial" w:cs="Arial" w:eastAsia="Arial" w:hAnsi="Arial"/>
          <w:sz w:val="20"/>
          <w:szCs w:val="20"/>
          <w:b w:val="1"/>
          <w:bCs w:val="1"/>
          <w:color w:val="auto"/>
        </w:rPr>
        <w:t>.</w:t>
      </w:r>
    </w:p>
    <w:p>
      <w:pPr>
        <w:spacing w:after="0" w:line="167" w:lineRule="exact"/>
        <w:rPr>
          <w:rFonts w:ascii="Arial" w:cs="Arial" w:eastAsia="Arial" w:hAnsi="Arial"/>
          <w:sz w:val="20"/>
          <w:szCs w:val="20"/>
          <w:b w:val="1"/>
          <w:bCs w:val="1"/>
          <w:color w:val="auto"/>
        </w:rPr>
      </w:pPr>
    </w:p>
    <w:p>
      <w:pPr>
        <w:jc w:val="both"/>
        <w:ind w:firstLine="1304"/>
        <w:spacing w:after="0" w:line="250" w:lineRule="auto"/>
        <w:tabs>
          <w:tab w:leader="none" w:pos="1743" w:val="left"/>
        </w:tabs>
        <w:numPr>
          <w:ilvl w:val="1"/>
          <w:numId w:val="302"/>
        </w:numPr>
        <w:rPr>
          <w:rFonts w:ascii="Arial" w:cs="Arial" w:eastAsia="Arial" w:hAnsi="Arial"/>
          <w:sz w:val="20"/>
          <w:szCs w:val="20"/>
          <w:b w:val="1"/>
          <w:bCs w:val="1"/>
          <w:color w:val="auto"/>
        </w:rPr>
      </w:pPr>
      <w:r>
        <w:rPr>
          <w:rFonts w:ascii="Arial" w:cs="Arial" w:eastAsia="Arial" w:hAnsi="Arial"/>
          <w:sz w:val="20"/>
          <w:szCs w:val="20"/>
          <w:color w:val="auto"/>
        </w:rPr>
        <w:t>The rights and obligations of the Company under Participant’s Award shall be transferable by the Company to any one or more persons or entities, and all covenants and agreements hereunder shall inure to the benefit of, and be enforceable by, the Company’s successors and assigns.</w:t>
      </w:r>
    </w:p>
    <w:p>
      <w:pPr>
        <w:spacing w:after="0" w:line="131" w:lineRule="exact"/>
        <w:rPr>
          <w:rFonts w:ascii="Arial" w:cs="Arial" w:eastAsia="Arial" w:hAnsi="Arial"/>
          <w:sz w:val="20"/>
          <w:szCs w:val="20"/>
          <w:b w:val="1"/>
          <w:bCs w:val="1"/>
          <w:color w:val="auto"/>
        </w:rPr>
      </w:pPr>
    </w:p>
    <w:p>
      <w:pPr>
        <w:ind w:right="20" w:firstLine="1304"/>
        <w:spacing w:after="0" w:line="260" w:lineRule="auto"/>
        <w:tabs>
          <w:tab w:leader="none" w:pos="1830" w:val="left"/>
        </w:tabs>
        <w:numPr>
          <w:ilvl w:val="1"/>
          <w:numId w:val="302"/>
        </w:numPr>
        <w:rPr>
          <w:rFonts w:ascii="Arial" w:cs="Arial" w:eastAsia="Arial" w:hAnsi="Arial"/>
          <w:sz w:val="20"/>
          <w:szCs w:val="20"/>
          <w:b w:val="1"/>
          <w:bCs w:val="1"/>
          <w:color w:val="auto"/>
        </w:rPr>
      </w:pPr>
      <w:r>
        <w:rPr>
          <w:rFonts w:ascii="Arial" w:cs="Arial" w:eastAsia="Arial" w:hAnsi="Arial"/>
          <w:sz w:val="20"/>
          <w:szCs w:val="20"/>
          <w:color w:val="auto"/>
        </w:rPr>
        <w:t>Participant agrees upon request to execute any further documents or instruments necessary or desirable in the sole determination of the Company to carry out the purposes or intent of Participant’s Award.</w:t>
      </w:r>
    </w:p>
    <w:p>
      <w:pPr>
        <w:spacing w:after="0" w:line="122" w:lineRule="exact"/>
        <w:rPr>
          <w:rFonts w:ascii="Arial" w:cs="Arial" w:eastAsia="Arial" w:hAnsi="Arial"/>
          <w:sz w:val="20"/>
          <w:szCs w:val="20"/>
          <w:b w:val="1"/>
          <w:bCs w:val="1"/>
          <w:color w:val="auto"/>
        </w:rPr>
      </w:pPr>
    </w:p>
    <w:p>
      <w:pPr>
        <w:jc w:val="both"/>
        <w:ind w:firstLine="1304"/>
        <w:spacing w:after="0" w:line="250" w:lineRule="auto"/>
        <w:tabs>
          <w:tab w:leader="none" w:pos="1847" w:val="left"/>
        </w:tabs>
        <w:numPr>
          <w:ilvl w:val="1"/>
          <w:numId w:val="302"/>
        </w:numPr>
        <w:rPr>
          <w:rFonts w:ascii="Arial" w:cs="Arial" w:eastAsia="Arial" w:hAnsi="Arial"/>
          <w:sz w:val="20"/>
          <w:szCs w:val="20"/>
          <w:b w:val="1"/>
          <w:bCs w:val="1"/>
          <w:color w:val="auto"/>
        </w:rPr>
      </w:pPr>
      <w:r>
        <w:rPr>
          <w:rFonts w:ascii="Arial" w:cs="Arial" w:eastAsia="Arial" w:hAnsi="Arial"/>
          <w:sz w:val="20"/>
          <w:szCs w:val="20"/>
          <w:color w:val="auto"/>
        </w:rPr>
        <w:t>Participant acknowledges and agrees that Participant has reviewed Participant’s Award in its entirety, has had an opportunity to obtain the advice of counsel prior to executing and accepting Participant’s Award and fully understands all provisions of Participant’s Award.</w:t>
      </w:r>
    </w:p>
    <w:p>
      <w:pPr>
        <w:spacing w:after="0" w:line="131" w:lineRule="exact"/>
        <w:rPr>
          <w:rFonts w:ascii="Arial" w:cs="Arial" w:eastAsia="Arial" w:hAnsi="Arial"/>
          <w:sz w:val="20"/>
          <w:szCs w:val="20"/>
          <w:b w:val="1"/>
          <w:bCs w:val="1"/>
          <w:color w:val="auto"/>
        </w:rPr>
      </w:pPr>
    </w:p>
    <w:p>
      <w:pPr>
        <w:ind w:firstLine="1304"/>
        <w:spacing w:after="0" w:line="260" w:lineRule="auto"/>
        <w:tabs>
          <w:tab w:leader="none" w:pos="1927" w:val="left"/>
        </w:tabs>
        <w:numPr>
          <w:ilvl w:val="1"/>
          <w:numId w:val="302"/>
        </w:numPr>
        <w:rPr>
          <w:rFonts w:ascii="Arial" w:cs="Arial" w:eastAsia="Arial" w:hAnsi="Arial"/>
          <w:sz w:val="20"/>
          <w:szCs w:val="20"/>
          <w:b w:val="1"/>
          <w:bCs w:val="1"/>
          <w:color w:val="auto"/>
        </w:rPr>
      </w:pPr>
      <w:r>
        <w:rPr>
          <w:rFonts w:ascii="Arial" w:cs="Arial" w:eastAsia="Arial" w:hAnsi="Arial"/>
          <w:sz w:val="20"/>
          <w:szCs w:val="20"/>
          <w:color w:val="auto"/>
        </w:rPr>
        <w:t>This Agreement shall be subject to all applicable laws, rules, and regulations, and to such approvals by any governmental agencies or national securities exchanges as may be required.</w:t>
      </w:r>
    </w:p>
    <w:p>
      <w:pPr>
        <w:spacing w:after="0" w:line="122" w:lineRule="exact"/>
        <w:rPr>
          <w:rFonts w:ascii="Arial" w:cs="Arial" w:eastAsia="Arial" w:hAnsi="Arial"/>
          <w:sz w:val="20"/>
          <w:szCs w:val="20"/>
          <w:b w:val="1"/>
          <w:bCs w:val="1"/>
          <w:color w:val="auto"/>
        </w:rPr>
      </w:pPr>
    </w:p>
    <w:p>
      <w:pPr>
        <w:jc w:val="both"/>
        <w:ind w:firstLine="1304"/>
        <w:spacing w:after="0" w:line="250" w:lineRule="auto"/>
        <w:tabs>
          <w:tab w:leader="none" w:pos="1733" w:val="left"/>
        </w:tabs>
        <w:numPr>
          <w:ilvl w:val="1"/>
          <w:numId w:val="302"/>
        </w:numPr>
        <w:rPr>
          <w:rFonts w:ascii="Arial" w:cs="Arial" w:eastAsia="Arial" w:hAnsi="Arial"/>
          <w:sz w:val="20"/>
          <w:szCs w:val="20"/>
          <w:b w:val="1"/>
          <w:bCs w:val="1"/>
          <w:color w:val="auto"/>
        </w:rPr>
      </w:pPr>
      <w:r>
        <w:rPr>
          <w:rFonts w:ascii="Arial" w:cs="Arial" w:eastAsia="Arial" w:hAnsi="Arial"/>
          <w:sz w:val="20"/>
          <w:szCs w:val="20"/>
          <w:color w:val="auto"/>
        </w:rPr>
        <w:t>All obligations of the Company under the Plan and this Agreement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25" w:lineRule="exact"/>
        <w:rPr>
          <w:rFonts w:ascii="Arial" w:cs="Arial" w:eastAsia="Arial" w:hAnsi="Arial"/>
          <w:sz w:val="20"/>
          <w:szCs w:val="20"/>
          <w:b w:val="1"/>
          <w:bCs w:val="1"/>
          <w:color w:val="auto"/>
        </w:rPr>
      </w:pPr>
    </w:p>
    <w:p>
      <w:pPr>
        <w:jc w:val="both"/>
        <w:ind w:firstLine="656"/>
        <w:spacing w:after="0" w:line="277" w:lineRule="auto"/>
        <w:tabs>
          <w:tab w:leader="none" w:pos="1147"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OVERNING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OCUMENT</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Award is subject to all the provisions of the Plan, the provisions of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hereby made a part of Participant’s Award, and is further subject to all interpretations, amendments, rules and regulations which may from time to time be promulgated and adopted pursuant to the Plan. Participant’s Award (and any compensation paid or Shares issued under Participant’s Award) is subject to recoupment in accordance with The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I - 9</w:t>
      </w:r>
    </w:p>
    <w:p>
      <w:pPr>
        <w:sectPr>
          <w:pgSz w:w="11900" w:h="16838" w:orient="portrait"/>
          <w:cols w:equalWidth="0" w:num="1">
            <w:col w:w="11240"/>
          </w:cols>
          <w:pgMar w:left="320" w:top="1440" w:right="339" w:bottom="1440" w:gutter="0" w:footer="0" w:header="0"/>
        </w:sectPr>
      </w:pPr>
    </w:p>
    <w:bookmarkStart w:id="362" w:name="page363"/>
    <w:bookmarkEnd w:id="362"/>
    <w:p>
      <w:pPr>
        <w:spacing w:after="0" w:line="141"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voluntarily terminate employment upon a resignation for “good reason,” or for a “constructive termination” or any similar term under any plan of or agreement with the Company.</w:t>
      </w:r>
    </w:p>
    <w:p>
      <w:pPr>
        <w:spacing w:after="0" w:line="117" w:lineRule="exact"/>
        <w:rPr>
          <w:sz w:val="20"/>
          <w:szCs w:val="20"/>
          <w:color w:val="auto"/>
        </w:rPr>
      </w:pPr>
    </w:p>
    <w:p>
      <w:pPr>
        <w:jc w:val="both"/>
        <w:ind w:firstLine="656"/>
        <w:spacing w:after="0" w:line="265" w:lineRule="auto"/>
        <w:tabs>
          <w:tab w:leader="none" w:pos="1120" w:val="left"/>
        </w:tabs>
        <w:numPr>
          <w:ilvl w:val="0"/>
          <w:numId w:val="303"/>
        </w:numPr>
        <w:rPr>
          <w:rFonts w:ascii="Arial" w:cs="Arial" w:eastAsia="Arial" w:hAnsi="Arial"/>
          <w:sz w:val="19"/>
          <w:szCs w:val="19"/>
          <w:b w:val="1"/>
          <w:bCs w:val="1"/>
          <w:color w:val="auto"/>
        </w:rPr>
      </w:pPr>
      <w:r>
        <w:rPr>
          <w:rFonts w:ascii="Arial" w:cs="Arial" w:eastAsia="Arial" w:hAnsi="Arial"/>
          <w:sz w:val="19"/>
          <w:szCs w:val="19"/>
          <w:b w:val="1"/>
          <w:bCs w:val="1"/>
          <w:color w:val="auto"/>
        </w:rPr>
        <w:t>E</w:t>
      </w:r>
      <w:r>
        <w:rPr>
          <w:rFonts w:ascii="Arial" w:cs="Arial" w:eastAsia="Arial" w:hAnsi="Arial"/>
          <w:sz w:val="15"/>
          <w:szCs w:val="15"/>
          <w:b w:val="1"/>
          <w:bCs w:val="1"/>
          <w:color w:val="auto"/>
        </w:rPr>
        <w:t>FFECT ON</w:t>
      </w:r>
      <w:r>
        <w:rPr>
          <w:rFonts w:ascii="Arial" w:cs="Arial" w:eastAsia="Arial" w:hAnsi="Arial"/>
          <w:sz w:val="19"/>
          <w:szCs w:val="19"/>
          <w:b w:val="1"/>
          <w:bCs w:val="1"/>
          <w:color w:val="auto"/>
        </w:rPr>
        <w:t xml:space="preserve"> O</w:t>
      </w:r>
      <w:r>
        <w:rPr>
          <w:rFonts w:ascii="Arial" w:cs="Arial" w:eastAsia="Arial" w:hAnsi="Arial"/>
          <w:sz w:val="15"/>
          <w:szCs w:val="15"/>
          <w:b w:val="1"/>
          <w:bCs w:val="1"/>
          <w:color w:val="auto"/>
        </w:rPr>
        <w:t>THER</w:t>
      </w:r>
      <w:r>
        <w:rPr>
          <w:rFonts w:ascii="Arial" w:cs="Arial" w:eastAsia="Arial" w:hAnsi="Arial"/>
          <w:sz w:val="19"/>
          <w:szCs w:val="19"/>
          <w:b w:val="1"/>
          <w:bCs w:val="1"/>
          <w:color w:val="auto"/>
        </w:rPr>
        <w:t xml:space="preserve"> E</w:t>
      </w:r>
      <w:r>
        <w:rPr>
          <w:rFonts w:ascii="Arial" w:cs="Arial" w:eastAsia="Arial" w:hAnsi="Arial"/>
          <w:sz w:val="15"/>
          <w:szCs w:val="15"/>
          <w:b w:val="1"/>
          <w:bCs w:val="1"/>
          <w:color w:val="auto"/>
        </w:rPr>
        <w:t>MPLOYEE</w:t>
      </w:r>
      <w:r>
        <w:rPr>
          <w:rFonts w:ascii="Arial" w:cs="Arial" w:eastAsia="Arial" w:hAnsi="Arial"/>
          <w:sz w:val="19"/>
          <w:szCs w:val="19"/>
          <w:b w:val="1"/>
          <w:bCs w:val="1"/>
          <w:color w:val="auto"/>
        </w:rPr>
        <w:t xml:space="preserve"> B</w:t>
      </w:r>
      <w:r>
        <w:rPr>
          <w:rFonts w:ascii="Arial" w:cs="Arial" w:eastAsia="Arial" w:hAnsi="Arial"/>
          <w:sz w:val="15"/>
          <w:szCs w:val="15"/>
          <w:b w:val="1"/>
          <w:bCs w:val="1"/>
          <w:color w:val="auto"/>
        </w:rPr>
        <w:t>ENEFIT</w:t>
      </w:r>
      <w:r>
        <w:rPr>
          <w:rFonts w:ascii="Arial" w:cs="Arial" w:eastAsia="Arial" w:hAnsi="Arial"/>
          <w:sz w:val="19"/>
          <w:szCs w:val="19"/>
          <w:b w:val="1"/>
          <w:bCs w:val="1"/>
          <w:color w:val="auto"/>
        </w:rPr>
        <w:t xml:space="preserve"> P</w:t>
      </w:r>
      <w:r>
        <w:rPr>
          <w:rFonts w:ascii="Arial" w:cs="Arial" w:eastAsia="Arial" w:hAnsi="Arial"/>
          <w:sz w:val="15"/>
          <w:szCs w:val="15"/>
          <w:b w:val="1"/>
          <w:bCs w:val="1"/>
          <w:color w:val="auto"/>
        </w:rPr>
        <w:t>LANS</w:t>
      </w:r>
      <w:r>
        <w:rPr>
          <w:rFonts w:ascii="Arial" w:cs="Arial" w:eastAsia="Arial" w:hAnsi="Arial"/>
          <w:sz w:val="19"/>
          <w:szCs w:val="19"/>
          <w:b w:val="1"/>
          <w:bCs w:val="1"/>
          <w:color w:val="auto"/>
        </w:rPr>
        <w:t xml:space="preserve">. </w:t>
      </w:r>
      <w:r>
        <w:rPr>
          <w:rFonts w:ascii="Arial" w:cs="Arial" w:eastAsia="Arial" w:hAnsi="Arial"/>
          <w:sz w:val="19"/>
          <w:szCs w:val="19"/>
          <w:color w:val="auto"/>
        </w:rPr>
        <w:t>The value of the Award subject to this Agreement shall not be included as</w:t>
      </w:r>
      <w:r>
        <w:rPr>
          <w:rFonts w:ascii="Arial" w:cs="Arial" w:eastAsia="Arial" w:hAnsi="Arial"/>
          <w:sz w:val="19"/>
          <w:szCs w:val="19"/>
          <w:b w:val="1"/>
          <w:bCs w:val="1"/>
          <w:color w:val="auto"/>
        </w:rPr>
        <w:t xml:space="preserve"> </w:t>
      </w:r>
      <w:r>
        <w:rPr>
          <w:rFonts w:ascii="Arial" w:cs="Arial" w:eastAsia="Arial" w:hAnsi="Arial"/>
          <w:sz w:val="19"/>
          <w:szCs w:val="19"/>
          <w:color w:val="auto"/>
        </w:rPr>
        <w:t>compensation, earnings, salaries, or other similar terms used when calculating benefits under any employee benefit plan (other than the Plan) sponsored by the Company or any Affiliate except as such plan otherwise expressly provides. The Company expressly reserves its rights to amend, modify, or terminate any or all of the employee benefit plans of the Company or any Affiliate.</w:t>
      </w:r>
    </w:p>
    <w:p>
      <w:pPr>
        <w:spacing w:after="0" w:line="115" w:lineRule="exact"/>
        <w:rPr>
          <w:rFonts w:ascii="Arial" w:cs="Arial" w:eastAsia="Arial" w:hAnsi="Arial"/>
          <w:sz w:val="19"/>
          <w:szCs w:val="19"/>
          <w:b w:val="1"/>
          <w:bCs w:val="1"/>
          <w:color w:val="auto"/>
        </w:rPr>
      </w:pPr>
    </w:p>
    <w:p>
      <w:pPr>
        <w:jc w:val="both"/>
        <w:ind w:firstLine="656"/>
        <w:spacing w:after="0" w:line="285" w:lineRule="auto"/>
        <w:tabs>
          <w:tab w:leader="none" w:pos="1188"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all or any part of this Agreement or the Plan is declared by any court or governmental authority to be</w:t>
      </w:r>
      <w:r>
        <w:rPr>
          <w:rFonts w:ascii="Arial" w:cs="Arial" w:eastAsia="Arial" w:hAnsi="Arial"/>
          <w:sz w:val="18"/>
          <w:szCs w:val="18"/>
          <w:b w:val="1"/>
          <w:bCs w:val="1"/>
          <w:color w:val="auto"/>
        </w:rPr>
        <w:t xml:space="preserve"> </w:t>
      </w:r>
      <w:r>
        <w:rPr>
          <w:rFonts w:ascii="Arial" w:cs="Arial" w:eastAsia="Arial" w:hAnsi="Arial"/>
          <w:sz w:val="18"/>
          <w:szCs w:val="18"/>
          <w:color w:val="auto"/>
        </w:rPr>
        <w:t>unlawful or invalid, such unlawfulness or invalidity shall not invalidate any portion of this Agreement or the Plan not declared to be unlawful or invalid. Any Section of this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96" w:lineRule="exact"/>
        <w:rPr>
          <w:rFonts w:ascii="Arial" w:cs="Arial" w:eastAsia="Arial" w:hAnsi="Arial"/>
          <w:sz w:val="18"/>
          <w:szCs w:val="18"/>
          <w:b w:val="1"/>
          <w:bCs w:val="1"/>
          <w:color w:val="auto"/>
        </w:rPr>
      </w:pPr>
    </w:p>
    <w:p>
      <w:pPr>
        <w:jc w:val="both"/>
        <w:ind w:firstLine="656"/>
        <w:spacing w:after="0" w:line="257" w:lineRule="auto"/>
        <w:tabs>
          <w:tab w:leader="none" w:pos="1150" w:val="left"/>
        </w:tabs>
        <w:numPr>
          <w:ilvl w:val="0"/>
          <w:numId w:val="303"/>
        </w:numPr>
        <w:rPr>
          <w:rFonts w:ascii="Arial" w:cs="Arial" w:eastAsia="Arial" w:hAnsi="Arial"/>
          <w:sz w:val="19"/>
          <w:szCs w:val="19"/>
          <w:b w:val="1"/>
          <w:bCs w:val="1"/>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MENDMENT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may not be modified, amended or terminated except by an instrument in writing, signed by</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and by a duly authorized representative of the Company. Notwithstanding the foregoing, this Agreement may be amended solely by the Administrator by a writing which specifically states that it is amending this Agreement, so long as a copy of such amendment is delivered to Participant, and provided that, except as otherwise expressly provided in the Plan, no such amendment materially adversely affecting Participant’s rights hereunder may be made without Participant’s written consent. Without limiting the foregoing, the Administrator reserves the right to change, by written notice to Participant, the provisions of this Agreement in any way it may deem necessary or advisable to carry out the purpose of the Award as a result of any change in applicable laws or regulations or any future law, regulation, ruling, or judicial decision, provided that any such change shall be applicable only to rights relating to that portion of the Award which is then subject to restrictions as provided herein.</w:t>
      </w:r>
    </w:p>
    <w:p>
      <w:pPr>
        <w:spacing w:after="0" w:line="121" w:lineRule="exact"/>
        <w:rPr>
          <w:rFonts w:ascii="Arial" w:cs="Arial" w:eastAsia="Arial" w:hAnsi="Arial"/>
          <w:sz w:val="19"/>
          <w:szCs w:val="19"/>
          <w:b w:val="1"/>
          <w:bCs w:val="1"/>
          <w:color w:val="auto"/>
        </w:rPr>
      </w:pPr>
    </w:p>
    <w:p>
      <w:pPr>
        <w:jc w:val="both"/>
        <w:ind w:firstLine="656"/>
        <w:spacing w:after="0" w:line="253" w:lineRule="auto"/>
        <w:tabs>
          <w:tab w:leader="none" w:pos="1184" w:val="left"/>
        </w:tabs>
        <w:numPr>
          <w:ilvl w:val="0"/>
          <w:numId w:val="303"/>
        </w:numPr>
        <w:rPr>
          <w:rFonts w:ascii="Arial" w:cs="Arial" w:eastAsia="Arial" w:hAnsi="Arial"/>
          <w:sz w:val="20"/>
          <w:szCs w:val="20"/>
          <w:b w:val="1"/>
          <w:bCs w:val="1"/>
          <w:color w:val="auto"/>
        </w:rPr>
      </w:pPr>
      <w:r>
        <w:rPr>
          <w:rFonts w:ascii="Arial" w:cs="Arial" w:eastAsia="Arial" w:hAnsi="Arial"/>
          <w:sz w:val="20"/>
          <w:szCs w:val="20"/>
          <w:b w:val="1"/>
          <w:bCs w:val="1"/>
          <w:color w:val="auto"/>
        </w:rPr>
        <w:t>W</w:t>
      </w:r>
      <w:r>
        <w:rPr>
          <w:rFonts w:ascii="Arial" w:cs="Arial" w:eastAsia="Arial" w:hAnsi="Arial"/>
          <w:sz w:val="16"/>
          <w:szCs w:val="16"/>
          <w:b w:val="1"/>
          <w:bCs w:val="1"/>
          <w:color w:val="auto"/>
        </w:rPr>
        <w:t>AIVER</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 acknowledges that a waiver by the Company of breach of any provision of this Agreement shall not</w:t>
      </w:r>
      <w:r>
        <w:rPr>
          <w:rFonts w:ascii="Arial" w:cs="Arial" w:eastAsia="Arial" w:hAnsi="Arial"/>
          <w:sz w:val="20"/>
          <w:szCs w:val="20"/>
          <w:b w:val="1"/>
          <w:bCs w:val="1"/>
          <w:color w:val="auto"/>
        </w:rPr>
        <w:t xml:space="preserve"> </w:t>
      </w:r>
      <w:r>
        <w:rPr>
          <w:rFonts w:ascii="Arial" w:cs="Arial" w:eastAsia="Arial" w:hAnsi="Arial"/>
          <w:sz w:val="20"/>
          <w:szCs w:val="20"/>
          <w:color w:val="auto"/>
        </w:rPr>
        <w:t>operate or be construed as a waiver of any other provision of this Agreement, or of any subsequent breach by Participant or any other participant.</w:t>
      </w:r>
    </w:p>
    <w:p>
      <w:pPr>
        <w:spacing w:after="0" w:line="123" w:lineRule="exact"/>
        <w:rPr>
          <w:rFonts w:ascii="Arial" w:cs="Arial" w:eastAsia="Arial" w:hAnsi="Arial"/>
          <w:sz w:val="20"/>
          <w:szCs w:val="20"/>
          <w:b w:val="1"/>
          <w:bCs w:val="1"/>
          <w:color w:val="auto"/>
        </w:rPr>
      </w:pPr>
    </w:p>
    <w:p>
      <w:pPr>
        <w:jc w:val="both"/>
        <w:ind w:firstLine="656"/>
        <w:spacing w:after="0" w:line="271" w:lineRule="auto"/>
        <w:tabs>
          <w:tab w:leader="none" w:pos="1174"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OMPLIANCE WITH</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409A </w:t>
      </w:r>
      <w:r>
        <w:rPr>
          <w:rFonts w:ascii="Arial" w:cs="Arial" w:eastAsia="Arial" w:hAnsi="Arial"/>
          <w:sz w:val="14"/>
          <w:szCs w:val="14"/>
          <w:b w:val="1"/>
          <w:bCs w:val="1"/>
          <w:color w:val="auto"/>
        </w:rPr>
        <w:t>OF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ODE</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Award is intended to be exempt from the application of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409A of the Code, including but not limited to by reason of complying with the “short-term deferral” rule set forth in Treasury Regulation Section 1.409A-1(b)(4) and any ambiguities herein shall be interpreted accordingly. Notwithstanding the foregoing, if it is determined that the Award fails to satisfy the requirements of the short-term deferral rule and is otherwise not exempt from, and determined to be deferred compensation subject to Section 409A of the Code, this Award shall comply with Section 409A to the extent necessary to avoid adverse personal tax consequences and any ambiguities herein shall be interpreted accordingly. If it is determined that the Award is deferred compensation subject to Section 409A and Participant is a “Specified Employee” (within the meaning set forth in Section 409A(a)(2)(B)(i) of the Code) as of the date of Participant’s “separation from service” (as defined in Section 409A), then the issuance of any Shares that would otherwise be made upon the date of Participant’s separation from service or within the first six (6) months thereafter will not be made on the originally scheduled date(s) and will instead be issued in a lump sum on the date that is six (6) months and one day after the date of the separation from service (or Participant’s earlier death), with the balance of the Shares issued thereafter in accordance with the original vesting and issuance schedule set forth above, but if and only if such delay in the issuance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I - 10</w:t>
      </w:r>
    </w:p>
    <w:p>
      <w:pPr>
        <w:sectPr>
          <w:pgSz w:w="11900" w:h="16838" w:orient="portrait"/>
          <w:cols w:equalWidth="0" w:num="1">
            <w:col w:w="11240"/>
          </w:cols>
          <w:pgMar w:left="320" w:top="1440" w:right="339" w:bottom="1440" w:gutter="0" w:footer="0" w:header="0"/>
        </w:sectPr>
      </w:pPr>
    </w:p>
    <w:bookmarkStart w:id="363" w:name="page364"/>
    <w:bookmarkEnd w:id="363"/>
    <w:p>
      <w:pPr>
        <w:spacing w:after="0" w:line="141" w:lineRule="exact"/>
        <w:rPr>
          <w:sz w:val="20"/>
          <w:szCs w:val="20"/>
          <w:color w:val="auto"/>
        </w:rPr>
      </w:pPr>
    </w:p>
    <w:p>
      <w:pPr>
        <w:spacing w:after="0" w:line="385" w:lineRule="auto"/>
        <w:rPr>
          <w:sz w:val="20"/>
          <w:szCs w:val="20"/>
          <w:color w:val="auto"/>
        </w:rPr>
      </w:pPr>
      <w:r>
        <w:rPr>
          <w:rFonts w:ascii="Arial" w:cs="Arial" w:eastAsia="Arial" w:hAnsi="Arial"/>
          <w:sz w:val="16"/>
          <w:szCs w:val="16"/>
          <w:color w:val="auto"/>
        </w:rPr>
        <w:t>Shares is necessary to avoid the imposition of adverse taxation on Participant in respect of the Shares under Section 409A of the Code. Each installment of Shares that vests is intended to constitute a “separate payment” for purposes of Treasury Regulation Section 1.409A-2(b)(2).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I - 11</w:t>
      </w:r>
    </w:p>
    <w:p>
      <w:pPr>
        <w:sectPr>
          <w:pgSz w:w="11900" w:h="16838" w:orient="portrait"/>
          <w:cols w:equalWidth="0" w:num="1">
            <w:col w:w="11240"/>
          </w:cols>
          <w:pgMar w:left="320" w:top="1440" w:right="339" w:bottom="1440" w:gutter="0" w:footer="0" w:header="0"/>
        </w:sectPr>
      </w:pPr>
    </w:p>
    <w:bookmarkStart w:id="364" w:name="page365"/>
    <w:bookmarkEnd w:id="364"/>
    <w:p>
      <w:pPr>
        <w:jc w:val="center"/>
        <w:ind w:right="19"/>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6"/>
          <w:szCs w:val="16"/>
          <w:b w:val="1"/>
          <w:bCs w:val="1"/>
          <w:color w:val="auto"/>
        </w:rPr>
        <w:t>TTACHMENT</w:t>
      </w:r>
      <w:r>
        <w:rPr>
          <w:rFonts w:ascii="Arial" w:cs="Arial" w:eastAsia="Arial" w:hAnsi="Arial"/>
          <w:sz w:val="20"/>
          <w:szCs w:val="20"/>
          <w:b w:val="1"/>
          <w:bCs w:val="1"/>
          <w:color w:val="auto"/>
        </w:rPr>
        <w:t xml:space="preserve"> II</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2012 E</w:t>
      </w:r>
      <w:r>
        <w:rPr>
          <w:rFonts w:ascii="Arial" w:cs="Arial" w:eastAsia="Arial" w:hAnsi="Arial"/>
          <w:sz w:val="16"/>
          <w:szCs w:val="16"/>
          <w:b w:val="1"/>
          <w:bCs w:val="1"/>
          <w:color w:val="auto"/>
        </w:rPr>
        <w:t>QUITY</w:t>
      </w:r>
      <w:r>
        <w:rPr>
          <w:rFonts w:ascii="Arial" w:cs="Arial" w:eastAsia="Arial" w:hAnsi="Arial"/>
          <w:sz w:val="20"/>
          <w:szCs w:val="20"/>
          <w:b w:val="1"/>
          <w:bCs w:val="1"/>
          <w:color w:val="auto"/>
        </w:rPr>
        <w:t xml:space="preserve"> I</w:t>
      </w:r>
      <w:r>
        <w:rPr>
          <w:rFonts w:ascii="Arial" w:cs="Arial" w:eastAsia="Arial" w:hAnsi="Arial"/>
          <w:sz w:val="16"/>
          <w:szCs w:val="16"/>
          <w:b w:val="1"/>
          <w:bCs w:val="1"/>
          <w:color w:val="auto"/>
        </w:rPr>
        <w:t>NCENTIVE</w:t>
      </w:r>
      <w:r>
        <w:rPr>
          <w:rFonts w:ascii="Arial" w:cs="Arial" w:eastAsia="Arial" w:hAnsi="Arial"/>
          <w:sz w:val="20"/>
          <w:szCs w:val="20"/>
          <w:b w:val="1"/>
          <w:bCs w:val="1"/>
          <w:color w:val="auto"/>
        </w:rPr>
        <w:t xml:space="preserve"> P</w:t>
      </w:r>
      <w:r>
        <w:rPr>
          <w:rFonts w:ascii="Arial" w:cs="Arial" w:eastAsia="Arial" w:hAnsi="Arial"/>
          <w:sz w:val="16"/>
          <w:szCs w:val="16"/>
          <w:b w:val="1"/>
          <w:bCs w:val="1"/>
          <w:color w:val="auto"/>
        </w:rPr>
        <w:t>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auto"/>
        </w:rPr>
        <w:t>II - 1</w:t>
      </w:r>
    </w:p>
    <w:p>
      <w:pPr>
        <w:sectPr>
          <w:pgSz w:w="11900" w:h="16838" w:orient="portrait"/>
          <w:cols w:equalWidth="0" w:num="1">
            <w:col w:w="9019"/>
          </w:cols>
          <w:pgMar w:left="1440" w:top="1413" w:right="1440" w:bottom="1440" w:gutter="0" w:footer="0" w:header="0"/>
        </w:sectPr>
      </w:pPr>
    </w:p>
    <w:bookmarkStart w:id="365" w:name="page366"/>
    <w:bookmarkEnd w:id="365"/>
    <w:p>
      <w:pPr>
        <w:jc w:val="right"/>
        <w:spacing w:after="0"/>
        <w:rPr>
          <w:sz w:val="20"/>
          <w:szCs w:val="20"/>
          <w:color w:val="auto"/>
        </w:rPr>
      </w:pPr>
      <w:r>
        <w:rPr>
          <w:rFonts w:ascii="Arial" w:cs="Arial" w:eastAsia="Arial" w:hAnsi="Arial"/>
          <w:sz w:val="18"/>
          <w:szCs w:val="18"/>
          <w:b w:val="1"/>
          <w:bCs w:val="1"/>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NerdWallet, Inc.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&amp; Restated Indemnification Agreement</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Amended and Restated Indemnification Agreement</w:t>
      </w:r>
      <w:r>
        <w:rPr>
          <w:rFonts w:ascii="Arial" w:cs="Arial" w:eastAsia="Arial" w:hAnsi="Arial"/>
          <w:sz w:val="18"/>
          <w:szCs w:val="18"/>
          <w:color w:val="auto"/>
        </w:rPr>
        <w:t xml:space="preserve">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dated as of _________________, 20__ and is between</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NerdWallet, Inc.,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and ______________ (“</w:t>
      </w:r>
      <w:r>
        <w:rPr>
          <w:rFonts w:ascii="Arial" w:cs="Arial" w:eastAsia="Arial" w:hAnsi="Arial"/>
          <w:sz w:val="20"/>
          <w:szCs w:val="20"/>
          <w:b w:val="1"/>
          <w:bCs w:val="1"/>
          <w:i w:val="1"/>
          <w:iCs w:val="1"/>
          <w:color w:val="auto"/>
        </w:rPr>
        <w:t>Indemnitee</w:t>
      </w:r>
      <w:r>
        <w:rPr>
          <w:rFonts w:ascii="Arial" w:cs="Arial" w:eastAsia="Arial" w:hAnsi="Arial"/>
          <w:sz w:val="20"/>
          <w:szCs w:val="20"/>
          <w:color w:val="auto"/>
        </w:rPr>
        <w: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168" w:lineRule="exact"/>
        <w:rPr>
          <w:sz w:val="20"/>
          <w:szCs w:val="20"/>
          <w:color w:val="auto"/>
        </w:rPr>
      </w:pPr>
    </w:p>
    <w:p>
      <w:pPr>
        <w:ind w:left="1040" w:hanging="384"/>
        <w:spacing w:after="0"/>
        <w:tabs>
          <w:tab w:leader="none" w:pos="1040" w:val="left"/>
        </w:tabs>
        <w:numPr>
          <w:ilvl w:val="0"/>
          <w:numId w:val="304"/>
        </w:numPr>
        <w:rPr>
          <w:rFonts w:ascii="Arial" w:cs="Arial" w:eastAsia="Arial" w:hAnsi="Arial"/>
          <w:sz w:val="20"/>
          <w:szCs w:val="20"/>
          <w:b w:val="1"/>
          <w:bCs w:val="1"/>
          <w:color w:val="auto"/>
        </w:rPr>
      </w:pPr>
      <w:r>
        <w:rPr>
          <w:rFonts w:ascii="Arial" w:cs="Arial" w:eastAsia="Arial" w:hAnsi="Arial"/>
          <w:sz w:val="20"/>
          <w:szCs w:val="20"/>
          <w:color w:val="auto"/>
        </w:rPr>
        <w:t>Indemnitee’s service to the Company substantially benefits the Company.</w:t>
      </w:r>
    </w:p>
    <w:p>
      <w:pPr>
        <w:spacing w:after="0" w:line="161" w:lineRule="exact"/>
        <w:rPr>
          <w:rFonts w:ascii="Arial" w:cs="Arial" w:eastAsia="Arial" w:hAnsi="Arial"/>
          <w:sz w:val="20"/>
          <w:szCs w:val="20"/>
          <w:b w:val="1"/>
          <w:bCs w:val="1"/>
          <w:color w:val="auto"/>
        </w:rPr>
      </w:pPr>
    </w:p>
    <w:p>
      <w:pPr>
        <w:jc w:val="both"/>
        <w:ind w:firstLine="656"/>
        <w:spacing w:after="0" w:line="385" w:lineRule="auto"/>
        <w:tabs>
          <w:tab w:leader="none" w:pos="1072" w:val="left"/>
        </w:tabs>
        <w:numPr>
          <w:ilvl w:val="0"/>
          <w:numId w:val="304"/>
        </w:numPr>
        <w:rPr>
          <w:rFonts w:ascii="Arial" w:cs="Arial" w:eastAsia="Arial" w:hAnsi="Arial"/>
          <w:sz w:val="16"/>
          <w:szCs w:val="16"/>
          <w:b w:val="1"/>
          <w:bCs w:val="1"/>
          <w:color w:val="auto"/>
        </w:rPr>
      </w:pPr>
      <w:r>
        <w:rPr>
          <w:rFonts w:ascii="Arial" w:cs="Arial" w:eastAsia="Arial" w:hAnsi="Arial"/>
          <w:sz w:val="16"/>
          <w:szCs w:val="16"/>
          <w:color w:val="auto"/>
        </w:rPr>
        <w:t>Individuals are reluctant to serve as directors or officers of corporations or in certain other capacities unless they are provided with adequate protection through insurance or indemnification against the risks of claims and actions against them arising out of such service.</w:t>
      </w:r>
    </w:p>
    <w:p>
      <w:pPr>
        <w:spacing w:after="0" w:line="30" w:lineRule="exact"/>
        <w:rPr>
          <w:rFonts w:ascii="Arial" w:cs="Arial" w:eastAsia="Arial" w:hAnsi="Arial"/>
          <w:sz w:val="16"/>
          <w:szCs w:val="16"/>
          <w:b w:val="1"/>
          <w:bCs w:val="1"/>
          <w:color w:val="auto"/>
        </w:rPr>
      </w:pPr>
    </w:p>
    <w:p>
      <w:pPr>
        <w:jc w:val="both"/>
        <w:ind w:firstLine="656"/>
        <w:spacing w:after="0" w:line="250" w:lineRule="auto"/>
        <w:tabs>
          <w:tab w:leader="none" w:pos="1081" w:val="left"/>
        </w:tabs>
        <w:numPr>
          <w:ilvl w:val="0"/>
          <w:numId w:val="304"/>
        </w:numPr>
        <w:rPr>
          <w:rFonts w:ascii="Arial" w:cs="Arial" w:eastAsia="Arial" w:hAnsi="Arial"/>
          <w:sz w:val="20"/>
          <w:szCs w:val="20"/>
          <w:b w:val="1"/>
          <w:bCs w:val="1"/>
          <w:color w:val="auto"/>
        </w:rPr>
      </w:pPr>
      <w:r>
        <w:rPr>
          <w:rFonts w:ascii="Arial" w:cs="Arial" w:eastAsia="Arial" w:hAnsi="Arial"/>
          <w:sz w:val="20"/>
          <w:szCs w:val="20"/>
          <w:color w:val="auto"/>
        </w:rPr>
        <w:t>Indemnitee does not regard the protection currently provided by applicable law, the Company’s governing documents and any insurance as adequate under the present circumstances, and Indemnitee may not be willing to serve as a director or officer without additional protection.</w:t>
      </w:r>
    </w:p>
    <w:p>
      <w:pPr>
        <w:spacing w:after="0" w:line="131" w:lineRule="exact"/>
        <w:rPr>
          <w:rFonts w:ascii="Arial" w:cs="Arial" w:eastAsia="Arial" w:hAnsi="Arial"/>
          <w:sz w:val="20"/>
          <w:szCs w:val="20"/>
          <w:b w:val="1"/>
          <w:bCs w:val="1"/>
          <w:color w:val="auto"/>
        </w:rPr>
      </w:pPr>
    </w:p>
    <w:p>
      <w:pPr>
        <w:ind w:firstLine="656"/>
        <w:spacing w:after="0" w:line="260" w:lineRule="auto"/>
        <w:tabs>
          <w:tab w:leader="none" w:pos="1081" w:val="left"/>
        </w:tabs>
        <w:numPr>
          <w:ilvl w:val="0"/>
          <w:numId w:val="304"/>
        </w:numPr>
        <w:rPr>
          <w:rFonts w:ascii="Arial" w:cs="Arial" w:eastAsia="Arial" w:hAnsi="Arial"/>
          <w:sz w:val="20"/>
          <w:szCs w:val="20"/>
          <w:b w:val="1"/>
          <w:bCs w:val="1"/>
          <w:color w:val="auto"/>
        </w:rPr>
      </w:pPr>
      <w:r>
        <w:rPr>
          <w:rFonts w:ascii="Arial" w:cs="Arial" w:eastAsia="Arial" w:hAnsi="Arial"/>
          <w:sz w:val="20"/>
          <w:szCs w:val="20"/>
          <w:color w:val="auto"/>
        </w:rPr>
        <w:t>In order to induce Indemnitee to provide services to the Company as an officer or director of the Company, the Company and Indemnitee entered into the Indemnification Agreement dated [*] (the “</w:t>
      </w:r>
      <w:r>
        <w:rPr>
          <w:rFonts w:ascii="Arial" w:cs="Arial" w:eastAsia="Arial" w:hAnsi="Arial"/>
          <w:sz w:val="20"/>
          <w:szCs w:val="20"/>
          <w:b w:val="1"/>
          <w:bCs w:val="1"/>
          <w:i w:val="1"/>
          <w:iCs w:val="1"/>
          <w:color w:val="auto"/>
        </w:rPr>
        <w:t>Prior Agreement</w:t>
      </w:r>
      <w:r>
        <w:rPr>
          <w:rFonts w:ascii="Arial" w:cs="Arial" w:eastAsia="Arial" w:hAnsi="Arial"/>
          <w:sz w:val="20"/>
          <w:szCs w:val="20"/>
          <w:color w:val="auto"/>
        </w:rPr>
        <w:t>”);</w:t>
      </w:r>
    </w:p>
    <w:p>
      <w:pPr>
        <w:spacing w:after="0" w:line="122" w:lineRule="exact"/>
        <w:rPr>
          <w:rFonts w:ascii="Arial" w:cs="Arial" w:eastAsia="Arial" w:hAnsi="Arial"/>
          <w:sz w:val="20"/>
          <w:szCs w:val="20"/>
          <w:b w:val="1"/>
          <w:bCs w:val="1"/>
          <w:color w:val="auto"/>
        </w:rPr>
      </w:pPr>
    </w:p>
    <w:p>
      <w:pPr>
        <w:jc w:val="both"/>
        <w:ind w:firstLine="656"/>
        <w:spacing w:after="0" w:line="316" w:lineRule="auto"/>
        <w:tabs>
          <w:tab w:leader="none" w:pos="1160" w:val="left"/>
        </w:tabs>
        <w:numPr>
          <w:ilvl w:val="0"/>
          <w:numId w:val="304"/>
        </w:numPr>
        <w:rPr>
          <w:rFonts w:ascii="Arial" w:cs="Arial" w:eastAsia="Arial" w:hAnsi="Arial"/>
          <w:sz w:val="18"/>
          <w:szCs w:val="18"/>
          <w:b w:val="1"/>
          <w:bCs w:val="1"/>
          <w:color w:val="auto"/>
        </w:rPr>
      </w:pPr>
      <w:r>
        <w:rPr>
          <w:rFonts w:ascii="Arial" w:cs="Arial" w:eastAsia="Arial" w:hAnsi="Arial"/>
          <w:sz w:val="18"/>
          <w:szCs w:val="18"/>
          <w:color w:val="auto"/>
        </w:rPr>
        <w:t>Pursuant to Section [24] of the Prior Agreement, the Company and Indemnitee wish to amend and restate and replace in its entirety the Prior Agreement with this Agreement in order to induce Indemnitee to continue to serve as an officer or director of the Company.</w:t>
      </w:r>
    </w:p>
    <w:p>
      <w:pPr>
        <w:spacing w:after="0" w:line="75" w:lineRule="exact"/>
        <w:rPr>
          <w:rFonts w:ascii="Arial" w:cs="Arial" w:eastAsia="Arial" w:hAnsi="Arial"/>
          <w:sz w:val="18"/>
          <w:szCs w:val="18"/>
          <w:b w:val="1"/>
          <w:bCs w:val="1"/>
          <w:color w:val="auto"/>
        </w:rPr>
      </w:pPr>
    </w:p>
    <w:p>
      <w:pPr>
        <w:jc w:val="both"/>
        <w:ind w:firstLine="656"/>
        <w:spacing w:after="0" w:line="250" w:lineRule="auto"/>
        <w:tabs>
          <w:tab w:leader="none" w:pos="1169" w:val="left"/>
        </w:tabs>
        <w:numPr>
          <w:ilvl w:val="0"/>
          <w:numId w:val="304"/>
        </w:numPr>
        <w:rPr>
          <w:rFonts w:ascii="Arial" w:cs="Arial" w:eastAsia="Arial" w:hAnsi="Arial"/>
          <w:sz w:val="20"/>
          <w:szCs w:val="20"/>
          <w:b w:val="1"/>
          <w:bCs w:val="1"/>
          <w:color w:val="auto"/>
        </w:rPr>
      </w:pPr>
      <w:r>
        <w:rPr>
          <w:rFonts w:ascii="Arial" w:cs="Arial" w:eastAsia="Arial" w:hAnsi="Arial"/>
          <w:sz w:val="20"/>
          <w:szCs w:val="20"/>
          <w:color w:val="auto"/>
        </w:rPr>
        <w:t>This Agreement is a supplement to and in furtherance of the indemnification provided in the Company’s certificate of incorporation and bylaws, and any resolutions adopted pursuant thereto, and this Agreement shall not be deemed a substitute therefor, nor shall this Agreement be deemed to limit, diminish or abrogate any rights of Indemnitee thereunder.</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parties agree as follows:</w:t>
      </w:r>
    </w:p>
    <w:p>
      <w:pPr>
        <w:spacing w:after="0" w:line="156" w:lineRule="exact"/>
        <w:rPr>
          <w:sz w:val="20"/>
          <w:szCs w:val="20"/>
          <w:color w:val="auto"/>
        </w:rPr>
      </w:pPr>
    </w:p>
    <w:p>
      <w:pPr>
        <w:ind w:left="1300" w:hanging="644"/>
        <w:spacing w:after="0"/>
        <w:tabs>
          <w:tab w:leader="none" w:pos="1300" w:val="left"/>
        </w:tabs>
        <w:numPr>
          <w:ilvl w:val="0"/>
          <w:numId w:val="305"/>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r>
        <w:rPr>
          <w:rFonts w:ascii="Arial" w:cs="Arial" w:eastAsia="Arial" w:hAnsi="Arial"/>
          <w:sz w:val="20"/>
          <w:szCs w:val="20"/>
          <w:color w:val="auto"/>
        </w:rPr>
        <w:t>.</w:t>
      </w:r>
    </w:p>
    <w:p>
      <w:pPr>
        <w:spacing w:after="0" w:line="167" w:lineRule="exact"/>
        <w:rPr>
          <w:rFonts w:ascii="Arial" w:cs="Arial" w:eastAsia="Arial" w:hAnsi="Arial"/>
          <w:sz w:val="20"/>
          <w:szCs w:val="20"/>
          <w:b w:val="1"/>
          <w:bCs w:val="1"/>
          <w:color w:val="auto"/>
        </w:rPr>
      </w:pPr>
    </w:p>
    <w:p>
      <w:pPr>
        <w:jc w:val="both"/>
        <w:ind w:firstLine="1304"/>
        <w:spacing w:after="0" w:line="244" w:lineRule="auto"/>
        <w:tabs>
          <w:tab w:leader="none" w:pos="1932" w:val="left"/>
        </w:tabs>
        <w:numPr>
          <w:ilvl w:val="1"/>
          <w:numId w:val="305"/>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Beneficial Owner</w:t>
      </w:r>
      <w:r>
        <w:rPr>
          <w:rFonts w:ascii="Arial" w:cs="Arial" w:eastAsia="Arial" w:hAnsi="Arial"/>
          <w:sz w:val="20"/>
          <w:szCs w:val="20"/>
          <w:color w:val="auto"/>
        </w:rPr>
        <w:t>” shall have the meaning given to such term in Rule 13d-3 under the Securities Exchange Act of 1934, as amended; provided, however, that “Beneficial Owner” shall exclude any Person otherwise becoming a Beneficial Owner solely by reason of (i) the stockholders of the Company approving a merger of the Company with another Person, or entering into tender or support agreements relating thereto, provided such merger was approved by the Company’s board of directors, or (ii) the Company’s board of directors approving a sale of securities by the Company to such Person.</w:t>
      </w:r>
    </w:p>
    <w:p>
      <w:pPr>
        <w:spacing w:after="0" w:line="140" w:lineRule="exact"/>
        <w:rPr>
          <w:rFonts w:ascii="Arial" w:cs="Arial" w:eastAsia="Arial" w:hAnsi="Arial"/>
          <w:sz w:val="20"/>
          <w:szCs w:val="20"/>
          <w:b w:val="1"/>
          <w:bCs w:val="1"/>
          <w:color w:val="auto"/>
        </w:rPr>
      </w:pPr>
    </w:p>
    <w:p>
      <w:pPr>
        <w:ind w:left="1960" w:hanging="656"/>
        <w:spacing w:after="0"/>
        <w:tabs>
          <w:tab w:leader="none" w:pos="1960" w:val="left"/>
        </w:tabs>
        <w:numPr>
          <w:ilvl w:val="1"/>
          <w:numId w:val="305"/>
        </w:numPr>
        <w:rPr>
          <w:rFonts w:ascii="Arial" w:cs="Arial" w:eastAsia="Arial" w:hAnsi="Arial"/>
          <w:sz w:val="16"/>
          <w:szCs w:val="16"/>
          <w:b w:val="1"/>
          <w:bCs w:val="1"/>
          <w:color w:val="auto"/>
        </w:rPr>
      </w:pPr>
      <w:r>
        <w:rPr>
          <w:rFonts w:ascii="Arial" w:cs="Arial" w:eastAsia="Arial" w:hAnsi="Arial"/>
          <w:sz w:val="16"/>
          <w:szCs w:val="16"/>
          <w:color w:val="auto"/>
        </w:rPr>
        <w:t>A “</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shall be deemed to occur upon the earliest to occur after the date of this Agreement of any of</w:t>
      </w:r>
    </w:p>
    <w:p>
      <w:pPr>
        <w:spacing w:after="0" w:line="61"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20"/>
          <w:szCs w:val="20"/>
          <w:color w:val="auto"/>
        </w:rPr>
        <w:t>the following events:</w:t>
      </w:r>
    </w:p>
    <w:p>
      <w:pPr>
        <w:spacing w:after="0" w:line="145" w:lineRule="exact"/>
        <w:rPr>
          <w:rFonts w:ascii="Arial" w:cs="Arial" w:eastAsia="Arial" w:hAnsi="Arial"/>
          <w:sz w:val="16"/>
          <w:szCs w:val="16"/>
          <w:b w:val="1"/>
          <w:bCs w:val="1"/>
          <w:color w:val="auto"/>
        </w:rPr>
      </w:pPr>
    </w:p>
    <w:p>
      <w:pPr>
        <w:jc w:val="both"/>
        <w:ind w:firstLine="1952"/>
        <w:spacing w:after="0" w:line="250" w:lineRule="auto"/>
        <w:tabs>
          <w:tab w:leader="none" w:pos="2590" w:val="left"/>
        </w:tabs>
        <w:numPr>
          <w:ilvl w:val="2"/>
          <w:numId w:val="305"/>
        </w:numPr>
        <w:rPr>
          <w:rFonts w:ascii="Arial" w:cs="Arial" w:eastAsia="Arial" w:hAnsi="Arial"/>
          <w:sz w:val="20"/>
          <w:szCs w:val="20"/>
          <w:b w:val="1"/>
          <w:bCs w:val="1"/>
          <w:color w:val="auto"/>
        </w:rPr>
      </w:pPr>
      <w:r>
        <w:rPr>
          <w:rFonts w:ascii="Arial" w:cs="Arial" w:eastAsia="Arial" w:hAnsi="Arial"/>
          <w:sz w:val="20"/>
          <w:szCs w:val="20"/>
          <w:i w:val="1"/>
          <w:iCs w:val="1"/>
          <w:color w:val="auto"/>
        </w:rPr>
        <w:t xml:space="preserve">Acquisition of Stock by Third Party. </w:t>
      </w:r>
      <w:r>
        <w:rPr>
          <w:rFonts w:ascii="Arial" w:cs="Arial" w:eastAsia="Arial" w:hAnsi="Arial"/>
          <w:sz w:val="20"/>
          <w:szCs w:val="20"/>
          <w:color w:val="auto"/>
        </w:rPr>
        <w:t>Any Person (as defined below) becomes the Beneficial Owner (as</w:t>
      </w:r>
      <w:r>
        <w:rPr>
          <w:rFonts w:ascii="Arial" w:cs="Arial" w:eastAsia="Arial" w:hAnsi="Arial"/>
          <w:sz w:val="20"/>
          <w:szCs w:val="20"/>
          <w:i w:val="1"/>
          <w:iCs w:val="1"/>
          <w:color w:val="auto"/>
        </w:rPr>
        <w:t xml:space="preserve"> </w:t>
      </w:r>
      <w:r>
        <w:rPr>
          <w:rFonts w:ascii="Arial" w:cs="Arial" w:eastAsia="Arial" w:hAnsi="Arial"/>
          <w:sz w:val="20"/>
          <w:szCs w:val="20"/>
          <w:color w:val="auto"/>
        </w:rPr>
        <w:t>defined below), directly or indirectly, of securities of the Company representing 50% or more of the combined voting power of the Company’s then outstanding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21" w:right="339" w:bottom="1440" w:gutter="0" w:footer="0" w:header="0"/>
        </w:sectPr>
      </w:pPr>
    </w:p>
    <w:bookmarkStart w:id="366" w:name="page367"/>
    <w:bookmarkEnd w:id="366"/>
    <w:p>
      <w:pPr>
        <w:jc w:val="both"/>
        <w:ind w:firstLine="1952"/>
        <w:spacing w:after="0" w:line="243" w:lineRule="auto"/>
        <w:tabs>
          <w:tab w:leader="none" w:pos="2591" w:val="left"/>
        </w:tabs>
        <w:numPr>
          <w:ilvl w:val="1"/>
          <w:numId w:val="306"/>
        </w:numPr>
        <w:rPr>
          <w:rFonts w:ascii="Arial" w:cs="Arial" w:eastAsia="Arial" w:hAnsi="Arial"/>
          <w:sz w:val="20"/>
          <w:szCs w:val="20"/>
          <w:b w:val="1"/>
          <w:bCs w:val="1"/>
          <w:color w:val="auto"/>
        </w:rPr>
      </w:pPr>
      <w:r>
        <w:rPr>
          <w:rFonts w:ascii="Arial" w:cs="Arial" w:eastAsia="Arial" w:hAnsi="Arial"/>
          <w:sz w:val="20"/>
          <w:szCs w:val="20"/>
          <w:i w:val="1"/>
          <w:iCs w:val="1"/>
          <w:color w:val="auto"/>
        </w:rPr>
        <w:t xml:space="preserve">Change in Board Composition. </w:t>
      </w:r>
      <w:r>
        <w:rPr>
          <w:rFonts w:ascii="Arial" w:cs="Arial" w:eastAsia="Arial" w:hAnsi="Arial"/>
          <w:sz w:val="20"/>
          <w:szCs w:val="20"/>
          <w:color w:val="auto"/>
        </w:rPr>
        <w:t>During any period of two consecutive years (not including any period prior</w:t>
      </w:r>
      <w:r>
        <w:rPr>
          <w:rFonts w:ascii="Arial" w:cs="Arial" w:eastAsia="Arial" w:hAnsi="Arial"/>
          <w:sz w:val="20"/>
          <w:szCs w:val="20"/>
          <w:i w:val="1"/>
          <w:iCs w:val="1"/>
          <w:color w:val="auto"/>
        </w:rPr>
        <w:t xml:space="preserve"> </w:t>
      </w:r>
      <w:r>
        <w:rPr>
          <w:rFonts w:ascii="Arial" w:cs="Arial" w:eastAsia="Arial" w:hAnsi="Arial"/>
          <w:sz w:val="20"/>
          <w:szCs w:val="20"/>
          <w:color w:val="auto"/>
        </w:rPr>
        <w:t>to the execution of this Agreement), individuals who at the beginning of such period constituted the Company’s board of directors and any Approved Directors cease for any reason to constitute a majority of the members of the Company’s board of directors. “</w:t>
      </w:r>
      <w:r>
        <w:rPr>
          <w:rFonts w:ascii="Arial" w:cs="Arial" w:eastAsia="Arial" w:hAnsi="Arial"/>
          <w:sz w:val="20"/>
          <w:szCs w:val="20"/>
          <w:b w:val="1"/>
          <w:bCs w:val="1"/>
          <w:i w:val="1"/>
          <w:iCs w:val="1"/>
          <w:color w:val="auto"/>
        </w:rPr>
        <w:t>Approved Directors</w:t>
      </w:r>
      <w:r>
        <w:rPr>
          <w:rFonts w:ascii="Arial" w:cs="Arial" w:eastAsia="Arial" w:hAnsi="Arial"/>
          <w:sz w:val="20"/>
          <w:szCs w:val="20"/>
          <w:color w:val="auto"/>
        </w:rPr>
        <w:t>” means new directors whose election or nomination by the board of directors was approved by a vote of at least two thirds of the directors then still in office who either were directors at the beginning of such two-year period or whose election or nomination for election was previously so approved; or</w:t>
      </w:r>
    </w:p>
    <w:p>
      <w:pPr>
        <w:spacing w:after="0" w:line="141" w:lineRule="exact"/>
        <w:rPr>
          <w:rFonts w:ascii="Arial" w:cs="Arial" w:eastAsia="Arial" w:hAnsi="Arial"/>
          <w:sz w:val="20"/>
          <w:szCs w:val="20"/>
          <w:b w:val="1"/>
          <w:bCs w:val="1"/>
          <w:color w:val="auto"/>
        </w:rPr>
      </w:pPr>
    </w:p>
    <w:p>
      <w:pPr>
        <w:jc w:val="both"/>
        <w:ind w:firstLine="1952"/>
        <w:spacing w:after="0" w:line="278" w:lineRule="auto"/>
        <w:tabs>
          <w:tab w:leader="none" w:pos="2592" w:val="left"/>
        </w:tabs>
        <w:numPr>
          <w:ilvl w:val="1"/>
          <w:numId w:val="306"/>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Corporate Transactions. </w:t>
      </w:r>
      <w:r>
        <w:rPr>
          <w:rFonts w:ascii="Arial" w:cs="Arial" w:eastAsia="Arial" w:hAnsi="Arial"/>
          <w:sz w:val="18"/>
          <w:szCs w:val="18"/>
          <w:color w:val="auto"/>
        </w:rPr>
        <w:t>The effective date of a merger or consolidation of the Company with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entity, other than a merger or consolidation that would result in the voting securities of the Company outstanding immediately prior to such merger or consolidation 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 majority of the board of directors or other governing body of such surviving entity.</w:t>
      </w:r>
    </w:p>
    <w:p>
      <w:pPr>
        <w:spacing w:after="0" w:line="110" w:lineRule="exact"/>
        <w:rPr>
          <w:rFonts w:ascii="Arial" w:cs="Arial" w:eastAsia="Arial" w:hAnsi="Arial"/>
          <w:sz w:val="18"/>
          <w:szCs w:val="18"/>
          <w:b w:val="1"/>
          <w:bCs w:val="1"/>
          <w:color w:val="auto"/>
        </w:rPr>
      </w:pPr>
    </w:p>
    <w:p>
      <w:pPr>
        <w:ind w:right="20" w:firstLine="1304"/>
        <w:spacing w:after="0" w:line="260" w:lineRule="auto"/>
        <w:tabs>
          <w:tab w:leader="none" w:pos="1934" w:val="left"/>
        </w:tabs>
        <w:numPr>
          <w:ilvl w:val="0"/>
          <w:numId w:val="307"/>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Corporate Status</w:t>
      </w:r>
      <w:r>
        <w:rPr>
          <w:rFonts w:ascii="Arial" w:cs="Arial" w:eastAsia="Arial" w:hAnsi="Arial"/>
          <w:sz w:val="20"/>
          <w:szCs w:val="20"/>
          <w:color w:val="auto"/>
        </w:rPr>
        <w:t>” describes the status of a person who is or was a director, trustee, general partner, managing member, officer, employee, agent or fiduciary of the Company or any other Enterprise.</w:t>
      </w:r>
    </w:p>
    <w:p>
      <w:pPr>
        <w:spacing w:after="0" w:line="122" w:lineRule="exact"/>
        <w:rPr>
          <w:rFonts w:ascii="Arial" w:cs="Arial" w:eastAsia="Arial" w:hAnsi="Arial"/>
          <w:sz w:val="20"/>
          <w:szCs w:val="20"/>
          <w:b w:val="1"/>
          <w:bCs w:val="1"/>
          <w:color w:val="auto"/>
        </w:rPr>
      </w:pPr>
    </w:p>
    <w:p>
      <w:pPr>
        <w:ind w:left="1960" w:hanging="656"/>
        <w:spacing w:after="0"/>
        <w:tabs>
          <w:tab w:leader="none" w:pos="1960" w:val="left"/>
        </w:tabs>
        <w:numPr>
          <w:ilvl w:val="0"/>
          <w:numId w:val="307"/>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DGCL</w:t>
      </w:r>
      <w:r>
        <w:rPr>
          <w:rFonts w:ascii="Arial" w:cs="Arial" w:eastAsia="Arial" w:hAnsi="Arial"/>
          <w:sz w:val="20"/>
          <w:szCs w:val="20"/>
          <w:color w:val="auto"/>
        </w:rPr>
        <w:t>” means the General Corporation Law of the State of Delaware.</w:t>
      </w:r>
    </w:p>
    <w:p>
      <w:pPr>
        <w:spacing w:after="0" w:line="161" w:lineRule="exact"/>
        <w:rPr>
          <w:rFonts w:ascii="Arial" w:cs="Arial" w:eastAsia="Arial" w:hAnsi="Arial"/>
          <w:sz w:val="20"/>
          <w:szCs w:val="20"/>
          <w:b w:val="1"/>
          <w:bCs w:val="1"/>
          <w:color w:val="auto"/>
        </w:rPr>
      </w:pPr>
    </w:p>
    <w:p>
      <w:pPr>
        <w:ind w:firstLine="1304"/>
        <w:spacing w:after="0" w:line="260" w:lineRule="auto"/>
        <w:tabs>
          <w:tab w:leader="none" w:pos="1934" w:val="left"/>
        </w:tabs>
        <w:numPr>
          <w:ilvl w:val="0"/>
          <w:numId w:val="307"/>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Disinterested Director</w:t>
      </w:r>
      <w:r>
        <w:rPr>
          <w:rFonts w:ascii="Arial" w:cs="Arial" w:eastAsia="Arial" w:hAnsi="Arial"/>
          <w:sz w:val="20"/>
          <w:szCs w:val="20"/>
          <w:color w:val="auto"/>
        </w:rPr>
        <w:t>” means a director of the Company who is not and was not a party to the Proceeding in respect of which indemnification is sought by Indemnitee.</w:t>
      </w:r>
    </w:p>
    <w:p>
      <w:pPr>
        <w:spacing w:after="0" w:line="122" w:lineRule="exact"/>
        <w:rPr>
          <w:rFonts w:ascii="Arial" w:cs="Arial" w:eastAsia="Arial" w:hAnsi="Arial"/>
          <w:sz w:val="20"/>
          <w:szCs w:val="20"/>
          <w:b w:val="1"/>
          <w:bCs w:val="1"/>
          <w:color w:val="auto"/>
        </w:rPr>
      </w:pPr>
    </w:p>
    <w:p>
      <w:pPr>
        <w:jc w:val="both"/>
        <w:ind w:firstLine="1304"/>
        <w:spacing w:after="0" w:line="250" w:lineRule="auto"/>
        <w:tabs>
          <w:tab w:leader="none" w:pos="1939" w:val="left"/>
        </w:tabs>
        <w:numPr>
          <w:ilvl w:val="0"/>
          <w:numId w:val="307"/>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Enterprise</w:t>
      </w:r>
      <w:r>
        <w:rPr>
          <w:rFonts w:ascii="Arial" w:cs="Arial" w:eastAsia="Arial" w:hAnsi="Arial"/>
          <w:sz w:val="20"/>
          <w:szCs w:val="20"/>
          <w:color w:val="auto"/>
        </w:rPr>
        <w:t>” means the Company and any other corporation, partnership, limited liability company, joint venture, trust, employee benefit plan or other enterprise of which Indemnitee is or was serving at the request of the Company as a director, trustee, general partner, managing member, officer, employee, agent or fiduciary.</w:t>
      </w:r>
    </w:p>
    <w:p>
      <w:pPr>
        <w:spacing w:after="0" w:line="131" w:lineRule="exact"/>
        <w:rPr>
          <w:rFonts w:ascii="Arial" w:cs="Arial" w:eastAsia="Arial" w:hAnsi="Arial"/>
          <w:sz w:val="20"/>
          <w:szCs w:val="20"/>
          <w:b w:val="1"/>
          <w:bCs w:val="1"/>
          <w:color w:val="auto"/>
        </w:rPr>
      </w:pPr>
    </w:p>
    <w:p>
      <w:pPr>
        <w:jc w:val="both"/>
        <w:ind w:firstLine="1304"/>
        <w:spacing w:after="0" w:line="272" w:lineRule="auto"/>
        <w:tabs>
          <w:tab w:leader="none" w:pos="1932" w:val="left"/>
        </w:tabs>
        <w:numPr>
          <w:ilvl w:val="0"/>
          <w:numId w:val="30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Expenses</w:t>
      </w:r>
      <w:r>
        <w:rPr>
          <w:rFonts w:ascii="Arial" w:cs="Arial" w:eastAsia="Arial" w:hAnsi="Arial"/>
          <w:sz w:val="18"/>
          <w:szCs w:val="18"/>
          <w:color w:val="auto"/>
        </w:rPr>
        <w:t>” include all reasonably and actually incurred attorneys’ fees, retainers, court costs, transcript costs, fees and costs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being or preparing to be a witness in, or otherwise participating in, a Proceeding. Expenses also include (i) Expenses incurred in connection with any appeal resulting from any Proceeding, including without limitation the premium, security for, and other costs relating to any cost bond, supersede as bond or other appeal bond or their equivalent, and (ii) for purposes of Section 10(d), Expenses incurred by Indemnitee in connection with the interpretation, enforcement or defense of Indemnitee’s rights under this Agreement or under any directors’ and officers’ liability insurance policies maintained by the Company. Expenses, however, shall not include amounts paid in settlement by Indemnitee or the amount of judgments or fines against Indemnitee.</w:t>
      </w:r>
    </w:p>
    <w:p>
      <w:pPr>
        <w:spacing w:after="0" w:line="116" w:lineRule="exact"/>
        <w:rPr>
          <w:rFonts w:ascii="Arial" w:cs="Arial" w:eastAsia="Arial" w:hAnsi="Arial"/>
          <w:sz w:val="18"/>
          <w:szCs w:val="18"/>
          <w:b w:val="1"/>
          <w:bCs w:val="1"/>
          <w:color w:val="auto"/>
        </w:rPr>
      </w:pPr>
    </w:p>
    <w:p>
      <w:pPr>
        <w:jc w:val="both"/>
        <w:ind w:firstLine="1304"/>
        <w:spacing w:after="0" w:line="243" w:lineRule="auto"/>
        <w:tabs>
          <w:tab w:leader="none" w:pos="1992" w:val="left"/>
        </w:tabs>
        <w:numPr>
          <w:ilvl w:val="0"/>
          <w:numId w:val="307"/>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Independent Counsel</w:t>
      </w:r>
      <w:r>
        <w:rPr>
          <w:rFonts w:ascii="Arial" w:cs="Arial" w:eastAsia="Arial" w:hAnsi="Arial"/>
          <w:sz w:val="20"/>
          <w:szCs w:val="20"/>
          <w:color w:val="auto"/>
        </w:rPr>
        <w:t>” means a law firm, or a partner or member of a law firm, that is experienced in matters of corporation law and neither presently is, nor in the past five years has been, retained to represent (i) the Company, any Enterprise or Indemnitee in any matter material to any such party (other than as Independent Counsel with respect to matters concerning Indemnitee under this Agreement, or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9" w:right="339" w:bottom="1440" w:gutter="0" w:footer="0" w:header="0"/>
        </w:sectPr>
      </w:pPr>
    </w:p>
    <w:bookmarkStart w:id="367" w:name="page368"/>
    <w:bookmarkEnd w:id="367"/>
    <w:p>
      <w:pPr>
        <w:ind w:right="20"/>
        <w:spacing w:after="0" w:line="260" w:lineRule="auto"/>
        <w:rPr>
          <w:sz w:val="20"/>
          <w:szCs w:val="20"/>
          <w:color w:val="auto"/>
        </w:rPr>
      </w:pPr>
      <w:r>
        <w:rPr>
          <w:rFonts w:ascii="Arial" w:cs="Arial" w:eastAsia="Arial" w:hAnsi="Arial"/>
          <w:sz w:val="20"/>
          <w:szCs w:val="20"/>
          <w:color w:val="auto"/>
        </w:rPr>
        <w:t>conduct then prevailing, would have a conflict of interest in representing either the Company or Indemnitee in an action to determine Indemnitee’s rights under this Agreement.</w:t>
      </w:r>
    </w:p>
    <w:p>
      <w:pPr>
        <w:spacing w:after="0" w:line="123" w:lineRule="exact"/>
        <w:rPr>
          <w:sz w:val="20"/>
          <w:szCs w:val="20"/>
          <w:color w:val="auto"/>
        </w:rPr>
      </w:pPr>
    </w:p>
    <w:p>
      <w:pPr>
        <w:jc w:val="both"/>
        <w:ind w:firstLine="1304"/>
        <w:spacing w:after="0" w:line="263" w:lineRule="auto"/>
        <w:tabs>
          <w:tab w:leader="none" w:pos="1942" w:val="left"/>
        </w:tabs>
        <w:numPr>
          <w:ilvl w:val="1"/>
          <w:numId w:val="308"/>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shall have the meaning used for such term in Sections 13(d) and 14(d) of the Securities Exchange Act of 1934, as amended; provided, however, that Person shall exclude (i) the Company, (ii) any trustee or other fiduciary holding securities under an employee benefit plan of the Company, and (iii) any corporation owned, directly or indirectly, by the stockholders of the Company in substantially the same proportions as their ownership of stock of the Company.</w:t>
      </w:r>
    </w:p>
    <w:p>
      <w:pPr>
        <w:spacing w:after="0" w:line="122" w:lineRule="exact"/>
        <w:rPr>
          <w:rFonts w:ascii="Arial" w:cs="Arial" w:eastAsia="Arial" w:hAnsi="Arial"/>
          <w:sz w:val="19"/>
          <w:szCs w:val="19"/>
          <w:b w:val="1"/>
          <w:bCs w:val="1"/>
          <w:color w:val="auto"/>
        </w:rPr>
      </w:pPr>
    </w:p>
    <w:p>
      <w:pPr>
        <w:jc w:val="both"/>
        <w:ind w:firstLine="1304"/>
        <w:spacing w:after="0" w:line="272" w:lineRule="auto"/>
        <w:tabs>
          <w:tab w:leader="none" w:pos="1939" w:val="left"/>
        </w:tabs>
        <w:numPr>
          <w:ilvl w:val="1"/>
          <w:numId w:val="30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Proceeding</w:t>
      </w:r>
      <w:r>
        <w:rPr>
          <w:rFonts w:ascii="Arial" w:cs="Arial" w:eastAsia="Arial" w:hAnsi="Arial"/>
          <w:sz w:val="18"/>
          <w:szCs w:val="18"/>
          <w:color w:val="auto"/>
        </w:rPr>
        <w:t>” means any threatened, pending or completed action, suit, arbitration, mediation, alternate dispute resolution mechanism, investigation, inquiry, administrative hearing or proceeding, whether brought in the right of the Company or otherwise and whether of a civil, criminal, administrative or investigative nature, whether formal or informal, including any appeal therefrom and including without limitation any such Proceeding pending as of the date of this Agreement, in which Indemnitee was, is or will be involved as a party, a potential party, a non-party witness or otherwise by reason of (i) the fact that Indemnitee is or was a director or officer of the Company, (ii) any action taken by Indemnitee or any action or inaction on Indemnitee’s part while acting as a director or officer of the Company, or (iii) the fact that he or she is or was serving at the request of the Company as a director, trustee, general partner, managing member, officer, employee, agent or fiduciary of the Company or any other Enterprise, in each case whether or not serving in such capacity at the time any liability or Expense is incurred for which indemnification or advancement of expenses can be provided under this Agreement.</w:t>
      </w:r>
    </w:p>
    <w:p>
      <w:pPr>
        <w:spacing w:after="0" w:line="116" w:lineRule="exact"/>
        <w:rPr>
          <w:rFonts w:ascii="Arial" w:cs="Arial" w:eastAsia="Arial" w:hAnsi="Arial"/>
          <w:sz w:val="18"/>
          <w:szCs w:val="18"/>
          <w:b w:val="1"/>
          <w:bCs w:val="1"/>
          <w:color w:val="auto"/>
        </w:rPr>
      </w:pPr>
    </w:p>
    <w:p>
      <w:pPr>
        <w:jc w:val="both"/>
        <w:ind w:firstLine="1304"/>
        <w:spacing w:after="0" w:line="246" w:lineRule="auto"/>
        <w:tabs>
          <w:tab w:leader="none" w:pos="1943" w:val="left"/>
        </w:tabs>
        <w:numPr>
          <w:ilvl w:val="1"/>
          <w:numId w:val="308"/>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to the fullest extent permitted by applicable law</w:t>
      </w:r>
      <w:r>
        <w:rPr>
          <w:rFonts w:ascii="Arial" w:cs="Arial" w:eastAsia="Arial" w:hAnsi="Arial"/>
          <w:sz w:val="20"/>
          <w:szCs w:val="20"/>
          <w:color w:val="auto"/>
        </w:rPr>
        <w:t>” means to the fullest extent permitted by all applicable laws, including without limitation: (i) the fullest extent permitted by DGCL as of the date of this Agreement and (ii) the fullest extent authorized or permitted by any amendments to or replacements of the DGCL adopted after the date of this Agreement that increase the extent to which a corporation may indemnify its officers and directors.</w:t>
      </w:r>
    </w:p>
    <w:p>
      <w:pPr>
        <w:spacing w:after="0" w:line="137" w:lineRule="exact"/>
        <w:rPr>
          <w:rFonts w:ascii="Arial" w:cs="Arial" w:eastAsia="Arial" w:hAnsi="Arial"/>
          <w:sz w:val="20"/>
          <w:szCs w:val="20"/>
          <w:b w:val="1"/>
          <w:bCs w:val="1"/>
          <w:color w:val="auto"/>
        </w:rPr>
      </w:pPr>
    </w:p>
    <w:p>
      <w:pPr>
        <w:jc w:val="both"/>
        <w:ind w:firstLine="1304"/>
        <w:spacing w:after="0" w:line="276" w:lineRule="auto"/>
        <w:tabs>
          <w:tab w:leader="none" w:pos="1942" w:val="left"/>
        </w:tabs>
        <w:numPr>
          <w:ilvl w:val="1"/>
          <w:numId w:val="308"/>
        </w:numPr>
        <w:rPr>
          <w:rFonts w:ascii="Arial" w:cs="Arial" w:eastAsia="Arial" w:hAnsi="Arial"/>
          <w:sz w:val="18"/>
          <w:szCs w:val="18"/>
          <w:b w:val="1"/>
          <w:bCs w:val="1"/>
          <w:color w:val="auto"/>
        </w:rPr>
      </w:pPr>
      <w:r>
        <w:rPr>
          <w:rFonts w:ascii="Arial" w:cs="Arial" w:eastAsia="Arial" w:hAnsi="Arial"/>
          <w:sz w:val="18"/>
          <w:szCs w:val="18"/>
          <w:color w:val="auto"/>
        </w:rPr>
        <w:t>In connection with any Proceeding relating to an employee benefit plan: references to “</w:t>
      </w:r>
      <w:r>
        <w:rPr>
          <w:rFonts w:ascii="Arial" w:cs="Arial" w:eastAsia="Arial" w:hAnsi="Arial"/>
          <w:sz w:val="18"/>
          <w:szCs w:val="18"/>
          <w:b w:val="1"/>
          <w:bCs w:val="1"/>
          <w:i w:val="1"/>
          <w:iCs w:val="1"/>
          <w:color w:val="auto"/>
        </w:rPr>
        <w:t>fines</w:t>
      </w:r>
      <w:r>
        <w:rPr>
          <w:rFonts w:ascii="Arial" w:cs="Arial" w:eastAsia="Arial" w:hAnsi="Arial"/>
          <w:sz w:val="18"/>
          <w:szCs w:val="18"/>
          <w:color w:val="auto"/>
        </w:rPr>
        <w:t>” shall include any excise taxes assessed on a person with respect to any employee benefit plan; references to “</w:t>
      </w:r>
      <w:r>
        <w:rPr>
          <w:rFonts w:ascii="Arial" w:cs="Arial" w:eastAsia="Arial" w:hAnsi="Arial"/>
          <w:sz w:val="18"/>
          <w:szCs w:val="18"/>
          <w:b w:val="1"/>
          <w:bCs w:val="1"/>
          <w:i w:val="1"/>
          <w:iCs w:val="1"/>
          <w:color w:val="auto"/>
        </w:rPr>
        <w:t>serving at the request of the Company</w:t>
      </w:r>
      <w:r>
        <w:rPr>
          <w:rFonts w:ascii="Arial" w:cs="Arial" w:eastAsia="Arial" w:hAnsi="Arial"/>
          <w:sz w:val="18"/>
          <w:szCs w:val="18"/>
          <w:color w:val="auto"/>
        </w:rPr>
        <w:t>”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he or she reasonably believed to be in the best interests of the participants and beneficiaries of an employee benefit plan shall be deemed to have acted in a manner “</w:t>
      </w:r>
      <w:r>
        <w:rPr>
          <w:rFonts w:ascii="Arial" w:cs="Arial" w:eastAsia="Arial" w:hAnsi="Arial"/>
          <w:sz w:val="18"/>
          <w:szCs w:val="18"/>
          <w:b w:val="1"/>
          <w:bCs w:val="1"/>
          <w:i w:val="1"/>
          <w:iCs w:val="1"/>
          <w:color w:val="auto"/>
        </w:rPr>
        <w:t>not opposed to the best interests of the Company</w:t>
      </w:r>
      <w:r>
        <w:rPr>
          <w:rFonts w:ascii="Arial" w:cs="Arial" w:eastAsia="Arial" w:hAnsi="Arial"/>
          <w:sz w:val="18"/>
          <w:szCs w:val="18"/>
          <w:color w:val="auto"/>
        </w:rPr>
        <w:t>” as referred to in this Agreement.</w:t>
      </w:r>
    </w:p>
    <w:p>
      <w:pPr>
        <w:spacing w:after="0" w:line="104" w:lineRule="exact"/>
        <w:rPr>
          <w:rFonts w:ascii="Arial" w:cs="Arial" w:eastAsia="Arial" w:hAnsi="Arial"/>
          <w:sz w:val="18"/>
          <w:szCs w:val="18"/>
          <w:b w:val="1"/>
          <w:bCs w:val="1"/>
          <w:color w:val="auto"/>
        </w:rPr>
      </w:pPr>
    </w:p>
    <w:p>
      <w:pPr>
        <w:jc w:val="both"/>
        <w:ind w:firstLine="656"/>
        <w:spacing w:after="0" w:line="275" w:lineRule="auto"/>
        <w:tabs>
          <w:tab w:leader="none" w:pos="1296"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color w:val="auto"/>
        </w:rPr>
        <w:t>Indemnity in Third-Party Proceedings</w:t>
      </w:r>
      <w:r>
        <w:rPr>
          <w:rFonts w:ascii="Arial" w:cs="Arial" w:eastAsia="Arial" w:hAnsi="Arial"/>
          <w:sz w:val="18"/>
          <w:szCs w:val="18"/>
          <w:color w:val="auto"/>
        </w:rPr>
        <w:t>. The Company shall indemnify Indemnitee in accordance with the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Section 2 if Indemnitee is, or is threatened to be made, a party to or witness or other participant in any Proceeding, other than a Proceeding by or in the right of the Company to procure a judgment in its favor. Pursuant to this Section 2, Indemnitee shall be indemnified to the fullest extent permitted by applicable law against all Expenses, judgments, fines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with respect to any criminal action or proceeding, had no reasonable cause to believe that his or her conduct was unlawful.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19" w:right="339" w:bottom="1440" w:gutter="0" w:footer="0" w:header="0"/>
        </w:sectPr>
      </w:pPr>
    </w:p>
    <w:bookmarkStart w:id="368" w:name="page369"/>
    <w:bookmarkEnd w:id="368"/>
    <w:p>
      <w:pPr>
        <w:jc w:val="both"/>
        <w:ind w:firstLine="656"/>
        <w:spacing w:after="0" w:line="272" w:lineRule="auto"/>
        <w:tabs>
          <w:tab w:leader="none" w:pos="1296"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color w:val="auto"/>
        </w:rPr>
        <w:t>Indemnity in Proceedings by or in the Right of the Company</w:t>
      </w:r>
      <w:r>
        <w:rPr>
          <w:rFonts w:ascii="Arial" w:cs="Arial" w:eastAsia="Arial" w:hAnsi="Arial"/>
          <w:sz w:val="18"/>
          <w:szCs w:val="18"/>
          <w:color w:val="auto"/>
        </w:rPr>
        <w:t>. The Company shall indemnify Indemnitee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provisions of this Section 3 if Indemnitee is, or is threatened to be made, a party to or a witness or other participant in any Proceeding by or in the right of the Company to procure a judgment in its favor. Pursuant to this Section 3, Indemnitee shall be indemnified to the fullest extent permitted by applicable law against all Expenses incurred by Indemnitee or on his or her 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3 in respect of any claim, issue or matter as to which Indemnitee shall have been adjudged by a court of competent jurisdiction to be liable to the Company, unless and only to the extent that the Delaware Court of Chancery or any court in which the Proceeding was brought shall determine upon application that, despite the adjudication of liability but in view of all the circumstances of the case, Indemnitee is fairly and reasonably entitled to indemnification for such expenses as the Delaware Court of Chancery or such other court shall deem proper.</w:t>
      </w:r>
    </w:p>
    <w:p>
      <w:pPr>
        <w:spacing w:after="0" w:line="111" w:lineRule="exact"/>
        <w:rPr>
          <w:rFonts w:ascii="Arial" w:cs="Arial" w:eastAsia="Arial" w:hAnsi="Arial"/>
          <w:sz w:val="18"/>
          <w:szCs w:val="18"/>
          <w:b w:val="1"/>
          <w:bCs w:val="1"/>
          <w:color w:val="auto"/>
        </w:rPr>
      </w:pPr>
    </w:p>
    <w:p>
      <w:pPr>
        <w:jc w:val="both"/>
        <w:ind w:firstLine="656"/>
        <w:spacing w:after="0" w:line="246" w:lineRule="auto"/>
        <w:tabs>
          <w:tab w:leader="none" w:pos="1296" w:val="left"/>
        </w:tabs>
        <w:numPr>
          <w:ilvl w:val="0"/>
          <w:numId w:val="310"/>
        </w:numPr>
        <w:rPr>
          <w:rFonts w:ascii="Arial" w:cs="Arial" w:eastAsia="Arial" w:hAnsi="Arial"/>
          <w:sz w:val="20"/>
          <w:szCs w:val="20"/>
          <w:b w:val="1"/>
          <w:bCs w:val="1"/>
          <w:color w:val="auto"/>
        </w:rPr>
      </w:pPr>
      <w:r>
        <w:rPr>
          <w:rFonts w:ascii="Arial" w:cs="Arial" w:eastAsia="Arial" w:hAnsi="Arial"/>
          <w:sz w:val="20"/>
          <w:szCs w:val="20"/>
          <w:b w:val="1"/>
          <w:bCs w:val="1"/>
          <w:color w:val="auto"/>
        </w:rPr>
        <w:t>Indemnification for Expenses of a Party Who is wholly or partly Successful</w:t>
      </w:r>
      <w:r>
        <w:rPr>
          <w:rFonts w:ascii="Arial" w:cs="Arial" w:eastAsia="Arial" w:hAnsi="Arial"/>
          <w:sz w:val="20"/>
          <w:szCs w:val="20"/>
          <w:color w:val="auto"/>
        </w:rPr>
        <w:t>. To the extent that Indemnitee is a party to,</w:t>
      </w:r>
      <w:r>
        <w:rPr>
          <w:rFonts w:ascii="Arial" w:cs="Arial" w:eastAsia="Arial" w:hAnsi="Arial"/>
          <w:sz w:val="20"/>
          <w:szCs w:val="20"/>
          <w:b w:val="1"/>
          <w:bCs w:val="1"/>
          <w:color w:val="auto"/>
        </w:rPr>
        <w:t xml:space="preserve"> </w:t>
      </w:r>
      <w:r>
        <w:rPr>
          <w:rFonts w:ascii="Arial" w:cs="Arial" w:eastAsia="Arial" w:hAnsi="Arial"/>
          <w:sz w:val="20"/>
          <w:szCs w:val="20"/>
          <w:color w:val="auto"/>
        </w:rPr>
        <w:t>and is successful (on the merits or otherwise) in defense of, any Proceeding or any claim, issue or matter therein, the Company shall indemnify Indemnitee against all Expenses incurred by Indemnitee or on Indemnitee’s behalf in connection therewith. For purposes of this Section 4, the termination of any claim, issue or matter in such a Proceeding by dismissal, with or without prejudice, shall be deemed to be a successful result as to such claim, issue or matter.</w:t>
      </w:r>
    </w:p>
    <w:p>
      <w:pPr>
        <w:spacing w:after="0" w:line="130" w:lineRule="exact"/>
        <w:rPr>
          <w:rFonts w:ascii="Arial" w:cs="Arial" w:eastAsia="Arial" w:hAnsi="Arial"/>
          <w:sz w:val="20"/>
          <w:szCs w:val="20"/>
          <w:b w:val="1"/>
          <w:bCs w:val="1"/>
          <w:color w:val="auto"/>
        </w:rPr>
      </w:pPr>
    </w:p>
    <w:p>
      <w:pPr>
        <w:ind w:firstLine="656"/>
        <w:spacing w:after="0" w:line="267" w:lineRule="auto"/>
        <w:tabs>
          <w:tab w:leader="none" w:pos="1296" w:val="left"/>
        </w:tabs>
        <w:numPr>
          <w:ilvl w:val="0"/>
          <w:numId w:val="310"/>
        </w:numPr>
        <w:rPr>
          <w:rFonts w:ascii="Arial" w:cs="Arial" w:eastAsia="Arial" w:hAnsi="Arial"/>
          <w:sz w:val="20"/>
          <w:szCs w:val="20"/>
          <w:b w:val="1"/>
          <w:bCs w:val="1"/>
          <w:color w:val="auto"/>
        </w:rPr>
      </w:pPr>
      <w:r>
        <w:rPr>
          <w:rFonts w:ascii="Arial" w:cs="Arial" w:eastAsia="Arial" w:hAnsi="Arial"/>
          <w:sz w:val="20"/>
          <w:szCs w:val="20"/>
          <w:b w:val="1"/>
          <w:bCs w:val="1"/>
          <w:color w:val="auto"/>
        </w:rPr>
        <w:t>Exclusions</w:t>
      </w:r>
      <w:r>
        <w:rPr>
          <w:rFonts w:ascii="Arial" w:cs="Arial" w:eastAsia="Arial" w:hAnsi="Arial"/>
          <w:sz w:val="20"/>
          <w:szCs w:val="20"/>
          <w:color w:val="auto"/>
        </w:rPr>
        <w:t>. Notwithstanding any provision in this Agreement, the Company shall not be obligated under this Agreement to</w:t>
      </w:r>
      <w:r>
        <w:rPr>
          <w:rFonts w:ascii="Arial" w:cs="Arial" w:eastAsia="Arial" w:hAnsi="Arial"/>
          <w:sz w:val="20"/>
          <w:szCs w:val="20"/>
          <w:b w:val="1"/>
          <w:bCs w:val="1"/>
          <w:color w:val="auto"/>
        </w:rPr>
        <w:t xml:space="preserve"> </w:t>
      </w:r>
      <w:r>
        <w:rPr>
          <w:rFonts w:ascii="Arial" w:cs="Arial" w:eastAsia="Arial" w:hAnsi="Arial"/>
          <w:sz w:val="20"/>
          <w:szCs w:val="20"/>
          <w:color w:val="auto"/>
        </w:rPr>
        <w:t>make any indemnity in connection with any Proceeding (or any part of any Proceeding):</w:t>
      </w:r>
    </w:p>
    <w:p>
      <w:pPr>
        <w:spacing w:after="0" w:line="115" w:lineRule="exact"/>
        <w:rPr>
          <w:rFonts w:ascii="Arial" w:cs="Arial" w:eastAsia="Arial" w:hAnsi="Arial"/>
          <w:sz w:val="20"/>
          <w:szCs w:val="20"/>
          <w:b w:val="1"/>
          <w:bCs w:val="1"/>
          <w:color w:val="auto"/>
        </w:rPr>
      </w:pPr>
    </w:p>
    <w:p>
      <w:pPr>
        <w:ind w:right="20" w:firstLine="1304"/>
        <w:spacing w:after="0" w:line="260" w:lineRule="auto"/>
        <w:tabs>
          <w:tab w:leader="none" w:pos="1932" w:val="left"/>
        </w:tabs>
        <w:numPr>
          <w:ilvl w:val="1"/>
          <w:numId w:val="310"/>
        </w:numPr>
        <w:rPr>
          <w:rFonts w:ascii="Arial" w:cs="Arial" w:eastAsia="Arial" w:hAnsi="Arial"/>
          <w:sz w:val="20"/>
          <w:szCs w:val="20"/>
          <w:b w:val="1"/>
          <w:bCs w:val="1"/>
          <w:color w:val="auto"/>
        </w:rPr>
      </w:pPr>
      <w:r>
        <w:rPr>
          <w:rFonts w:ascii="Arial" w:cs="Arial" w:eastAsia="Arial" w:hAnsi="Arial"/>
          <w:sz w:val="20"/>
          <w:szCs w:val="20"/>
          <w:color w:val="auto"/>
        </w:rPr>
        <w:t>for which payment has actually been made to or on behalf of Indemnitee under any statute, insurance policy, indemnity provision, vote or otherwise, except with respect to any excess beyond the amount paid;</w:t>
      </w:r>
    </w:p>
    <w:p>
      <w:pPr>
        <w:spacing w:after="0" w:line="122" w:lineRule="exact"/>
        <w:rPr>
          <w:rFonts w:ascii="Arial" w:cs="Arial" w:eastAsia="Arial" w:hAnsi="Arial"/>
          <w:sz w:val="20"/>
          <w:szCs w:val="20"/>
          <w:b w:val="1"/>
          <w:bCs w:val="1"/>
          <w:color w:val="auto"/>
        </w:rPr>
      </w:pPr>
    </w:p>
    <w:p>
      <w:pPr>
        <w:jc w:val="both"/>
        <w:ind w:firstLine="1304"/>
        <w:spacing w:after="0" w:line="250" w:lineRule="auto"/>
        <w:tabs>
          <w:tab w:leader="none" w:pos="1943" w:val="left"/>
        </w:tabs>
        <w:numPr>
          <w:ilvl w:val="1"/>
          <w:numId w:val="310"/>
        </w:numPr>
        <w:rPr>
          <w:rFonts w:ascii="Arial" w:cs="Arial" w:eastAsia="Arial" w:hAnsi="Arial"/>
          <w:sz w:val="20"/>
          <w:szCs w:val="20"/>
          <w:b w:val="1"/>
          <w:bCs w:val="1"/>
          <w:color w:val="auto"/>
        </w:rPr>
      </w:pPr>
      <w:r>
        <w:rPr>
          <w:rFonts w:ascii="Arial" w:cs="Arial" w:eastAsia="Arial" w:hAnsi="Arial"/>
          <w:sz w:val="20"/>
          <w:szCs w:val="20"/>
          <w:color w:val="auto"/>
        </w:rPr>
        <w:t>for an accounting or disgorgement of profits pursuant to Section 16(b) of the Securities Exchange Act of 1934, as amended, or similar provisions of federal, state or local statutory law or common law, if Indemnitee is held liable therefor (including pursuant to any settlement arrangements);</w:t>
      </w:r>
    </w:p>
    <w:p>
      <w:pPr>
        <w:spacing w:after="0" w:line="131" w:lineRule="exact"/>
        <w:rPr>
          <w:rFonts w:ascii="Arial" w:cs="Arial" w:eastAsia="Arial" w:hAnsi="Arial"/>
          <w:sz w:val="20"/>
          <w:szCs w:val="20"/>
          <w:b w:val="1"/>
          <w:bCs w:val="1"/>
          <w:color w:val="auto"/>
        </w:rPr>
      </w:pPr>
    </w:p>
    <w:p>
      <w:pPr>
        <w:jc w:val="both"/>
        <w:ind w:firstLine="1304"/>
        <w:spacing w:after="0" w:line="259" w:lineRule="auto"/>
        <w:tabs>
          <w:tab w:leader="none" w:pos="1934" w:val="left"/>
        </w:tabs>
        <w:numPr>
          <w:ilvl w:val="1"/>
          <w:numId w:val="310"/>
        </w:numPr>
        <w:rPr>
          <w:rFonts w:ascii="Arial" w:cs="Arial" w:eastAsia="Arial" w:hAnsi="Arial"/>
          <w:sz w:val="19"/>
          <w:szCs w:val="19"/>
          <w:b w:val="1"/>
          <w:bCs w:val="1"/>
          <w:color w:val="auto"/>
        </w:rPr>
      </w:pPr>
      <w:r>
        <w:rPr>
          <w:rFonts w:ascii="Arial" w:cs="Arial" w:eastAsia="Arial" w:hAnsi="Arial"/>
          <w:sz w:val="19"/>
          <w:szCs w:val="19"/>
          <w:color w:val="auto"/>
        </w:rPr>
        <w:t>for any reimbursement of the Company by Indemnitee of any bonus or other incentive-based or equity-based compensation or of any profits realized by Indemnitee from the sale of securities of the Company, as required in each case under the Securities Exchange Act of 1934, as amended (including any such reimbursements that arise from an accounting restatement of the Company pursuant to Section 304 of the Sarbanes-Oxley Act of 2002 (the “</w:t>
      </w:r>
      <w:r>
        <w:rPr>
          <w:rFonts w:ascii="Arial" w:cs="Arial" w:eastAsia="Arial" w:hAnsi="Arial"/>
          <w:sz w:val="19"/>
          <w:szCs w:val="19"/>
          <w:b w:val="1"/>
          <w:bCs w:val="1"/>
          <w:i w:val="1"/>
          <w:iCs w:val="1"/>
          <w:color w:val="auto"/>
        </w:rPr>
        <w:t>Sarbanes-Oxley Act</w:t>
      </w:r>
      <w:r>
        <w:rPr>
          <w:rFonts w:ascii="Arial" w:cs="Arial" w:eastAsia="Arial" w:hAnsi="Arial"/>
          <w:sz w:val="19"/>
          <w:szCs w:val="19"/>
          <w:color w:val="auto"/>
        </w:rPr>
        <w:t>”), or the payment to the Company of profits arising from the purchase and sale by Indemnitee of securities in violation of Section 306 of the Sarbanes-Oxley Act), if Indemnitee is held liable therefor (including pursuant to any settlement arrangements);</w:t>
      </w:r>
    </w:p>
    <w:p>
      <w:pPr>
        <w:spacing w:after="0" w:line="124" w:lineRule="exact"/>
        <w:rPr>
          <w:rFonts w:ascii="Arial" w:cs="Arial" w:eastAsia="Arial" w:hAnsi="Arial"/>
          <w:sz w:val="19"/>
          <w:szCs w:val="19"/>
          <w:b w:val="1"/>
          <w:bCs w:val="1"/>
          <w:color w:val="auto"/>
        </w:rPr>
      </w:pPr>
    </w:p>
    <w:p>
      <w:pPr>
        <w:jc w:val="both"/>
        <w:ind w:firstLine="1304"/>
        <w:spacing w:after="0" w:line="276" w:lineRule="auto"/>
        <w:tabs>
          <w:tab w:leader="none" w:pos="1943" w:val="left"/>
        </w:tabs>
        <w:numPr>
          <w:ilvl w:val="1"/>
          <w:numId w:val="310"/>
        </w:numPr>
        <w:rPr>
          <w:rFonts w:ascii="Arial" w:cs="Arial" w:eastAsia="Arial" w:hAnsi="Arial"/>
          <w:sz w:val="18"/>
          <w:szCs w:val="18"/>
          <w:b w:val="1"/>
          <w:bCs w:val="1"/>
          <w:color w:val="auto"/>
        </w:rPr>
      </w:pPr>
      <w:r>
        <w:rPr>
          <w:rFonts w:ascii="Arial" w:cs="Arial" w:eastAsia="Arial" w:hAnsi="Arial"/>
          <w:sz w:val="18"/>
          <w:szCs w:val="18"/>
          <w:color w:val="auto"/>
        </w:rPr>
        <w:t>initiated by Indemnitee, including any Proceeding (or any part of any Proceeding) initiated by Indemnitee against the Company or its directors, officers, employees, agents or other indemnitees, unless (i) the Company’s board of directors authorized the Proceeding (or the relevant part of the Proceeding) prior to its initiation, (ii) the Company provides the indemnification, in its sole discretion, pursuant to the powers vested in the Company under applicable law, (iii) otherwise authorized in Section 10(d) or (iv) otherwise required by applicable law; provided, for the avoidance of doubt, Indemnitee shall not be deemed for purposes of this paragraph, to have initiated any Proceeding (or any part of a Proceeding) by reason of (i) having asserted any affirmative defenses in connection with a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13" w:right="339" w:bottom="1440" w:gutter="0" w:footer="0" w:header="0"/>
        </w:sectPr>
      </w:pPr>
    </w:p>
    <w:bookmarkStart w:id="369" w:name="page370"/>
    <w:bookmarkEnd w:id="369"/>
    <w:p>
      <w:pPr>
        <w:spacing w:after="0" w:line="260" w:lineRule="auto"/>
        <w:rPr>
          <w:sz w:val="20"/>
          <w:szCs w:val="20"/>
          <w:color w:val="auto"/>
        </w:rPr>
      </w:pPr>
      <w:r>
        <w:rPr>
          <w:rFonts w:ascii="Arial" w:cs="Arial" w:eastAsia="Arial" w:hAnsi="Arial"/>
          <w:sz w:val="20"/>
          <w:szCs w:val="20"/>
          <w:color w:val="auto"/>
        </w:rPr>
        <w:t>not initiated by Indemnitee or (ii) having made any counterclaim (whether permissive or mandatory) in connection with any claim not initiated by Indemnitee; or</w:t>
      </w:r>
    </w:p>
    <w:p>
      <w:pPr>
        <w:spacing w:after="0" w:line="123" w:lineRule="exact"/>
        <w:rPr>
          <w:sz w:val="20"/>
          <w:szCs w:val="20"/>
          <w:color w:val="auto"/>
        </w:rPr>
      </w:pPr>
    </w:p>
    <w:p>
      <w:pPr>
        <w:ind w:left="1940" w:hanging="636"/>
        <w:spacing w:after="0"/>
        <w:tabs>
          <w:tab w:leader="none" w:pos="1940" w:val="left"/>
        </w:tabs>
        <w:numPr>
          <w:ilvl w:val="1"/>
          <w:numId w:val="311"/>
        </w:numPr>
        <w:rPr>
          <w:rFonts w:ascii="Arial" w:cs="Arial" w:eastAsia="Arial" w:hAnsi="Arial"/>
          <w:sz w:val="20"/>
          <w:szCs w:val="20"/>
          <w:b w:val="1"/>
          <w:bCs w:val="1"/>
          <w:color w:val="auto"/>
        </w:rPr>
      </w:pPr>
      <w:r>
        <w:rPr>
          <w:rFonts w:ascii="Arial" w:cs="Arial" w:eastAsia="Arial" w:hAnsi="Arial"/>
          <w:sz w:val="20"/>
          <w:szCs w:val="20"/>
          <w:color w:val="auto"/>
        </w:rPr>
        <w:t>if prohibited by the DGCL or other applicable law.</w:t>
      </w:r>
    </w:p>
    <w:p>
      <w:pPr>
        <w:spacing w:after="0" w:line="155" w:lineRule="exact"/>
        <w:rPr>
          <w:rFonts w:ascii="Arial" w:cs="Arial" w:eastAsia="Arial" w:hAnsi="Arial"/>
          <w:sz w:val="20"/>
          <w:szCs w:val="20"/>
          <w:b w:val="1"/>
          <w:bCs w:val="1"/>
          <w:color w:val="auto"/>
        </w:rPr>
      </w:pPr>
    </w:p>
    <w:p>
      <w:pPr>
        <w:jc w:val="both"/>
        <w:ind w:firstLine="656"/>
        <w:spacing w:after="0" w:line="255" w:lineRule="auto"/>
        <w:tabs>
          <w:tab w:leader="none" w:pos="1296" w:val="left"/>
        </w:tabs>
        <w:numPr>
          <w:ilvl w:val="0"/>
          <w:numId w:val="312"/>
        </w:numPr>
        <w:rPr>
          <w:rFonts w:ascii="Arial" w:cs="Arial" w:eastAsia="Arial" w:hAnsi="Arial"/>
          <w:sz w:val="19"/>
          <w:szCs w:val="19"/>
          <w:b w:val="1"/>
          <w:bCs w:val="1"/>
          <w:color w:val="auto"/>
        </w:rPr>
      </w:pPr>
      <w:r>
        <w:rPr>
          <w:rFonts w:ascii="Arial" w:cs="Arial" w:eastAsia="Arial" w:hAnsi="Arial"/>
          <w:sz w:val="19"/>
          <w:szCs w:val="19"/>
          <w:b w:val="1"/>
          <w:bCs w:val="1"/>
          <w:color w:val="auto"/>
        </w:rPr>
        <w:t>Advances of Expenses</w:t>
      </w:r>
      <w:r>
        <w:rPr>
          <w:rFonts w:ascii="Arial" w:cs="Arial" w:eastAsia="Arial" w:hAnsi="Arial"/>
          <w:sz w:val="19"/>
          <w:szCs w:val="19"/>
          <w:color w:val="auto"/>
        </w:rPr>
        <w:t>. The Company shall advance the Expenses incurred by Indemnitee in connection with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Proceeding prior to its final disposition, and such advancement shall be made as soon as reasonably practicable, but in any event no later than 30 days, after the receipt by the Company of a written statement or statements requesting such advances from time to time (which shall include invoices received by Indemnitee in connection with such Expenses but, in the case of invoices in connection with legal services, any references to legal work performed or to expenditure made that would cause Indemnitee to waive any privilege accorded by applicable law shall not be included with the invoice). Advances shall be unsecured and interest free and made without regard to Indemnitee’s ability to repay such advances. Indemnitee hereby undertakes to repay any advance to the extent that it is ultimately determined that Indemnitee is not entitled to be indemnified by the Company, </w:t>
      </w:r>
      <w:r>
        <w:rPr>
          <w:rFonts w:ascii="Arial" w:cs="Arial" w:eastAsia="Arial" w:hAnsi="Arial"/>
          <w:sz w:val="19"/>
          <w:szCs w:val="19"/>
          <w:i w:val="1"/>
          <w:iCs w:val="1"/>
          <w:color w:val="auto"/>
        </w:rPr>
        <w:t>except</w:t>
      </w:r>
      <w:r>
        <w:rPr>
          <w:rFonts w:ascii="Arial" w:cs="Arial" w:eastAsia="Arial" w:hAnsi="Arial"/>
          <w:sz w:val="19"/>
          <w:szCs w:val="19"/>
          <w:color w:val="auto"/>
        </w:rPr>
        <w:t>, with respect to advances of expenses made pursuant to Section 10(c), in which case Indemnitee makes the undertaking provided in Section 10(c). This Section 6 shall not apply to the extent advancement is prohibited by law and shall not apply to any Proceeding (or any part of any Proceeding) for which indemnity is not permitted under this Agreement, but shall apply to any Proceeding (or any part of any Proceeding) referenced in Section 5(b) or 5(c) prior to a determination that Indemnitee is not entitled to be indemnified by the Company.</w:t>
      </w:r>
    </w:p>
    <w:p>
      <w:pPr>
        <w:spacing w:after="0" w:line="130" w:lineRule="exact"/>
        <w:rPr>
          <w:rFonts w:ascii="Arial" w:cs="Arial" w:eastAsia="Arial" w:hAnsi="Arial"/>
          <w:sz w:val="19"/>
          <w:szCs w:val="19"/>
          <w:b w:val="1"/>
          <w:bCs w:val="1"/>
          <w:color w:val="auto"/>
        </w:rPr>
      </w:pPr>
    </w:p>
    <w:p>
      <w:pPr>
        <w:ind w:left="1300" w:hanging="644"/>
        <w:spacing w:after="0"/>
        <w:tabs>
          <w:tab w:leader="none" w:pos="1300" w:val="left"/>
        </w:tabs>
        <w:numPr>
          <w:ilvl w:val="0"/>
          <w:numId w:val="312"/>
        </w:numPr>
        <w:rPr>
          <w:rFonts w:ascii="Arial" w:cs="Arial" w:eastAsia="Arial" w:hAnsi="Arial"/>
          <w:sz w:val="20"/>
          <w:szCs w:val="20"/>
          <w:b w:val="1"/>
          <w:bCs w:val="1"/>
          <w:color w:val="auto"/>
        </w:rPr>
      </w:pPr>
      <w:r>
        <w:rPr>
          <w:rFonts w:ascii="Arial" w:cs="Arial" w:eastAsia="Arial" w:hAnsi="Arial"/>
          <w:sz w:val="20"/>
          <w:szCs w:val="20"/>
          <w:b w:val="1"/>
          <w:bCs w:val="1"/>
          <w:color w:val="auto"/>
        </w:rPr>
        <w:t>Procedures for Notification and Defense of Claim</w:t>
      </w:r>
      <w:r>
        <w:rPr>
          <w:rFonts w:ascii="Arial" w:cs="Arial" w:eastAsia="Arial" w:hAnsi="Arial"/>
          <w:sz w:val="20"/>
          <w:szCs w:val="20"/>
          <w:color w:val="auto"/>
        </w:rPr>
        <w:t>.</w:t>
      </w:r>
    </w:p>
    <w:p>
      <w:pPr>
        <w:spacing w:after="0" w:line="167" w:lineRule="exact"/>
        <w:rPr>
          <w:rFonts w:ascii="Arial" w:cs="Arial" w:eastAsia="Arial" w:hAnsi="Arial"/>
          <w:sz w:val="20"/>
          <w:szCs w:val="20"/>
          <w:b w:val="1"/>
          <w:bCs w:val="1"/>
          <w:color w:val="auto"/>
        </w:rPr>
      </w:pPr>
    </w:p>
    <w:p>
      <w:pPr>
        <w:jc w:val="both"/>
        <w:ind w:firstLine="1304"/>
        <w:spacing w:after="0" w:line="259" w:lineRule="auto"/>
        <w:tabs>
          <w:tab w:leader="none" w:pos="1932" w:val="left"/>
        </w:tabs>
        <w:numPr>
          <w:ilvl w:val="1"/>
          <w:numId w:val="312"/>
        </w:numPr>
        <w:rPr>
          <w:rFonts w:ascii="Arial" w:cs="Arial" w:eastAsia="Arial" w:hAnsi="Arial"/>
          <w:sz w:val="19"/>
          <w:szCs w:val="19"/>
          <w:b w:val="1"/>
          <w:bCs w:val="1"/>
          <w:color w:val="auto"/>
        </w:rPr>
      </w:pPr>
      <w:r>
        <w:rPr>
          <w:rFonts w:ascii="Arial" w:cs="Arial" w:eastAsia="Arial" w:hAnsi="Arial"/>
          <w:sz w:val="19"/>
          <w:szCs w:val="19"/>
          <w:color w:val="auto"/>
        </w:rPr>
        <w:t>Indemnitee shall notify the Company in writing of any matter with respect to which Indemnitee intends to seek indemnification or advancement of Expenses as soon as reasonably practicable following the receipt by Indemnitee of notice thereof. The written notification to the Company shall include, in reasonable detail, a description of the nature of the Proceeding and the facts underlying the Proceeding. The failure by Indemnitee to notify the Company will not relieve the Company from any liability that it may have to Indemnitee hereunder or otherwise than under this Agreement, and any delay in so notifying the Company shall not constitute a waiver by Indemnitee of any rights, except to the extent that such failure or delay materially prejudices the Company.</w:t>
      </w:r>
    </w:p>
    <w:p>
      <w:pPr>
        <w:spacing w:after="0" w:line="124" w:lineRule="exact"/>
        <w:rPr>
          <w:rFonts w:ascii="Arial" w:cs="Arial" w:eastAsia="Arial" w:hAnsi="Arial"/>
          <w:sz w:val="19"/>
          <w:szCs w:val="19"/>
          <w:b w:val="1"/>
          <w:bCs w:val="1"/>
          <w:color w:val="auto"/>
        </w:rPr>
      </w:pPr>
    </w:p>
    <w:p>
      <w:pPr>
        <w:jc w:val="both"/>
        <w:ind w:firstLine="1304"/>
        <w:spacing w:after="0" w:line="244" w:lineRule="auto"/>
        <w:tabs>
          <w:tab w:leader="none" w:pos="1943" w:val="left"/>
        </w:tabs>
        <w:numPr>
          <w:ilvl w:val="1"/>
          <w:numId w:val="312"/>
        </w:numPr>
        <w:rPr>
          <w:rFonts w:ascii="Arial" w:cs="Arial" w:eastAsia="Arial" w:hAnsi="Arial"/>
          <w:sz w:val="20"/>
          <w:szCs w:val="20"/>
          <w:b w:val="1"/>
          <w:bCs w:val="1"/>
          <w:color w:val="auto"/>
        </w:rPr>
      </w:pPr>
      <w:r>
        <w:rPr>
          <w:rFonts w:ascii="Arial" w:cs="Arial" w:eastAsia="Arial" w:hAnsi="Arial"/>
          <w:sz w:val="20"/>
          <w:szCs w:val="20"/>
          <w:color w:val="auto"/>
        </w:rPr>
        <w:t>If, at the time of the receipt of a notice of a Proceeding pursuant to the terms hereof, the Company has directors’ and officers’ liability insurance in effect that may be applicable to the Proceeding, the Company shall give prompt notice of the commencement of the Proceeding to the insurers in accordance with the procedures set forth in the applicable policies. The Company shall thereafter take all commercially reasonable action to cause such insurers to pay, on behalf of Indemnitee, all amounts payable as a result of such Proceeding in accordance with the terms of such policies.</w:t>
      </w:r>
    </w:p>
    <w:p>
      <w:pPr>
        <w:spacing w:after="0" w:line="140" w:lineRule="exact"/>
        <w:rPr>
          <w:rFonts w:ascii="Arial" w:cs="Arial" w:eastAsia="Arial" w:hAnsi="Arial"/>
          <w:sz w:val="20"/>
          <w:szCs w:val="20"/>
          <w:b w:val="1"/>
          <w:bCs w:val="1"/>
          <w:color w:val="auto"/>
        </w:rPr>
      </w:pPr>
    </w:p>
    <w:p>
      <w:pPr>
        <w:jc w:val="both"/>
        <w:ind w:firstLine="1304"/>
        <w:spacing w:after="0" w:line="256" w:lineRule="auto"/>
        <w:tabs>
          <w:tab w:leader="none" w:pos="1934" w:val="left"/>
        </w:tabs>
        <w:numPr>
          <w:ilvl w:val="1"/>
          <w:numId w:val="312"/>
        </w:numPr>
        <w:rPr>
          <w:rFonts w:ascii="Arial" w:cs="Arial" w:eastAsia="Arial" w:hAnsi="Arial"/>
          <w:sz w:val="19"/>
          <w:szCs w:val="19"/>
          <w:b w:val="1"/>
          <w:bCs w:val="1"/>
          <w:color w:val="auto"/>
        </w:rPr>
      </w:pPr>
      <w:r>
        <w:rPr>
          <w:rFonts w:ascii="Arial" w:cs="Arial" w:eastAsia="Arial" w:hAnsi="Arial"/>
          <w:sz w:val="19"/>
          <w:szCs w:val="19"/>
          <w:color w:val="auto"/>
        </w:rPr>
        <w:t>In the event the Company may be obligated to make any indemnity in connection with a Proceeding, the Company shall be entitled to assume the defense of such Proceeding with counsel approved by Indemnitee, which approval shall not be unreasonably withheld, conditioned or delayed, upon the delivery to Indemnitee of written notice of its election to do so. After delivery of such notice, approval of such counsel by Indemnitee and the retention of such counsel by the Company, the Company will not be liable to Indemnitee for any fees or expenses of counsel subsequently incurred by Indemnitee with respect to the same Proceeding. Notwithstanding the Company’s assumption of the defense of any such Proceeding, the Company shall be obligated to pay the fees and expenses of Indemnitee’s separate counsel to the extent (i) the employment of separate counsel by Indemnitee is authorized by the Company, (ii) counsel for the Company shall have reasonably concluded that there is a conflict of interest between the Company and Indemnitee in the conduct of any such defense such that Indemnitee needs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19" w:right="339" w:bottom="1440" w:gutter="0" w:footer="0" w:header="0"/>
        </w:sectPr>
      </w:pPr>
    </w:p>
    <w:bookmarkStart w:id="370" w:name="page371"/>
    <w:bookmarkEnd w:id="370"/>
    <w:p>
      <w:pPr>
        <w:jc w:val="both"/>
        <w:spacing w:after="0" w:line="282" w:lineRule="auto"/>
        <w:rPr>
          <w:sz w:val="20"/>
          <w:szCs w:val="20"/>
          <w:color w:val="auto"/>
        </w:rPr>
      </w:pPr>
      <w:r>
        <w:rPr>
          <w:rFonts w:ascii="Arial" w:cs="Arial" w:eastAsia="Arial" w:hAnsi="Arial"/>
          <w:sz w:val="18"/>
          <w:szCs w:val="18"/>
          <w:color w:val="auto"/>
        </w:rPr>
        <w:t>be separately represented, (iii) the Company is not financially or legally able to perform its indemnification obligations, or (iv) the Company shall not have retained, or shall not continue to retain, counsel to defend such Proceeding. Regardless of any provision in this Agreement, Indemnitee shall have the right to employ counsel in any Proceeding at Indemnitee’s personal expense. The Company shall not be entitled, without the consent of Indemnitee, to assume the defense of any claim brought by or in the right of the Company.</w:t>
      </w:r>
    </w:p>
    <w:p>
      <w:pPr>
        <w:spacing w:after="0" w:line="107" w:lineRule="exact"/>
        <w:rPr>
          <w:sz w:val="20"/>
          <w:szCs w:val="20"/>
          <w:color w:val="auto"/>
        </w:rPr>
      </w:pPr>
    </w:p>
    <w:p>
      <w:pPr>
        <w:ind w:left="1960" w:hanging="656"/>
        <w:spacing w:after="0"/>
        <w:tabs>
          <w:tab w:leader="none" w:pos="1960" w:val="left"/>
        </w:tabs>
        <w:numPr>
          <w:ilvl w:val="2"/>
          <w:numId w:val="313"/>
        </w:numPr>
        <w:rPr>
          <w:rFonts w:ascii="Arial" w:cs="Arial" w:eastAsia="Arial" w:hAnsi="Arial"/>
          <w:sz w:val="18"/>
          <w:szCs w:val="18"/>
          <w:b w:val="1"/>
          <w:bCs w:val="1"/>
          <w:color w:val="auto"/>
        </w:rPr>
      </w:pPr>
      <w:r>
        <w:rPr>
          <w:rFonts w:ascii="Arial" w:cs="Arial" w:eastAsia="Arial" w:hAnsi="Arial"/>
          <w:sz w:val="18"/>
          <w:szCs w:val="18"/>
          <w:color w:val="auto"/>
        </w:rPr>
        <w:t>Indemnitee shall give the Company such information and cooperation in connection with the Proceeding as may be</w:t>
      </w:r>
    </w:p>
    <w:p>
      <w:pPr>
        <w:spacing w:after="0" w:line="3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reasonably appropriate.</w:t>
      </w:r>
    </w:p>
    <w:p>
      <w:pPr>
        <w:spacing w:after="0" w:line="145" w:lineRule="exact"/>
        <w:rPr>
          <w:rFonts w:ascii="Arial" w:cs="Arial" w:eastAsia="Arial" w:hAnsi="Arial"/>
          <w:sz w:val="18"/>
          <w:szCs w:val="18"/>
          <w:b w:val="1"/>
          <w:bCs w:val="1"/>
          <w:color w:val="auto"/>
        </w:rPr>
      </w:pPr>
    </w:p>
    <w:p>
      <w:pPr>
        <w:jc w:val="both"/>
        <w:ind w:firstLine="1304"/>
        <w:spacing w:after="0" w:line="243" w:lineRule="auto"/>
        <w:tabs>
          <w:tab w:leader="none" w:pos="1934" w:val="left"/>
        </w:tabs>
        <w:numPr>
          <w:ilvl w:val="2"/>
          <w:numId w:val="313"/>
        </w:numPr>
        <w:rPr>
          <w:rFonts w:ascii="Arial" w:cs="Arial" w:eastAsia="Arial" w:hAnsi="Arial"/>
          <w:sz w:val="20"/>
          <w:szCs w:val="20"/>
          <w:b w:val="1"/>
          <w:bCs w:val="1"/>
          <w:color w:val="auto"/>
        </w:rPr>
      </w:pPr>
      <w:r>
        <w:rPr>
          <w:rFonts w:ascii="Arial" w:cs="Arial" w:eastAsia="Arial" w:hAnsi="Arial"/>
          <w:sz w:val="20"/>
          <w:szCs w:val="20"/>
          <w:color w:val="auto"/>
        </w:rPr>
        <w:t>The Company shall not be liable to indemnify Indemnitee for any settlement of any Proceeding (or any part thereof) effected without the Company’s prior written consent, which shall not be unreasonably withheld, conditioned or delayed. The Company acknowledges that a settlement or other disposition short of final judgment may be successful if it permits a party to avoid expense, delay, distraction, disruption and uncertainty. In the event that any action, claim or proceeding to which Indemnitee is a party is resolved in a settlement to which the Company has given its prior written consent, such settlement shall be treated as a success on the merits in the settled action, suit or proceeding.</w:t>
      </w:r>
    </w:p>
    <w:p>
      <w:pPr>
        <w:spacing w:after="0" w:line="141" w:lineRule="exact"/>
        <w:rPr>
          <w:rFonts w:ascii="Arial" w:cs="Arial" w:eastAsia="Arial" w:hAnsi="Arial"/>
          <w:sz w:val="20"/>
          <w:szCs w:val="20"/>
          <w:b w:val="1"/>
          <w:bCs w:val="1"/>
          <w:color w:val="auto"/>
        </w:rPr>
      </w:pPr>
    </w:p>
    <w:p>
      <w:pPr>
        <w:jc w:val="both"/>
        <w:ind w:firstLine="1304"/>
        <w:spacing w:after="0" w:line="250" w:lineRule="auto"/>
        <w:tabs>
          <w:tab w:leader="none" w:pos="1939" w:val="left"/>
        </w:tabs>
        <w:numPr>
          <w:ilvl w:val="2"/>
          <w:numId w:val="313"/>
        </w:numPr>
        <w:rPr>
          <w:rFonts w:ascii="Arial" w:cs="Arial" w:eastAsia="Arial" w:hAnsi="Arial"/>
          <w:sz w:val="20"/>
          <w:szCs w:val="20"/>
          <w:b w:val="1"/>
          <w:bCs w:val="1"/>
          <w:color w:val="auto"/>
        </w:rPr>
      </w:pPr>
      <w:r>
        <w:rPr>
          <w:rFonts w:ascii="Arial" w:cs="Arial" w:eastAsia="Arial" w:hAnsi="Arial"/>
          <w:sz w:val="20"/>
          <w:szCs w:val="20"/>
          <w:color w:val="auto"/>
        </w:rPr>
        <w:t>The Company shall not settle any Proceeding (or any part thereof) in a manner that imposes any penalty or liability on Indemnitee not paid by the Company without Indemnitee’s prior written consent, which shall not be unreasonably withheld, conditioned or delayed.</w:t>
      </w:r>
    </w:p>
    <w:p>
      <w:pPr>
        <w:spacing w:after="0" w:line="125" w:lineRule="exact"/>
        <w:rPr>
          <w:rFonts w:ascii="Arial" w:cs="Arial" w:eastAsia="Arial" w:hAnsi="Arial"/>
          <w:sz w:val="20"/>
          <w:szCs w:val="20"/>
          <w:b w:val="1"/>
          <w:bCs w:val="1"/>
          <w:color w:val="auto"/>
        </w:rPr>
      </w:pPr>
    </w:p>
    <w:p>
      <w:pPr>
        <w:ind w:left="1300" w:hanging="644"/>
        <w:spacing w:after="0"/>
        <w:tabs>
          <w:tab w:leader="none" w:pos="1300" w:val="left"/>
        </w:tabs>
        <w:numPr>
          <w:ilvl w:val="1"/>
          <w:numId w:val="314"/>
        </w:numPr>
        <w:rPr>
          <w:rFonts w:ascii="Arial" w:cs="Arial" w:eastAsia="Arial" w:hAnsi="Arial"/>
          <w:sz w:val="20"/>
          <w:szCs w:val="20"/>
          <w:b w:val="1"/>
          <w:bCs w:val="1"/>
          <w:color w:val="auto"/>
        </w:rPr>
      </w:pPr>
      <w:r>
        <w:rPr>
          <w:rFonts w:ascii="Arial" w:cs="Arial" w:eastAsia="Arial" w:hAnsi="Arial"/>
          <w:sz w:val="20"/>
          <w:szCs w:val="20"/>
          <w:b w:val="1"/>
          <w:bCs w:val="1"/>
          <w:color w:val="auto"/>
        </w:rPr>
        <w:t>Procedures upon Application for Indemnification</w:t>
      </w:r>
      <w:r>
        <w:rPr>
          <w:rFonts w:ascii="Arial" w:cs="Arial" w:eastAsia="Arial" w:hAnsi="Arial"/>
          <w:sz w:val="20"/>
          <w:szCs w:val="20"/>
          <w:color w:val="auto"/>
        </w:rPr>
        <w:t>.</w:t>
      </w:r>
    </w:p>
    <w:p>
      <w:pPr>
        <w:spacing w:after="0" w:line="167" w:lineRule="exact"/>
        <w:rPr>
          <w:rFonts w:ascii="Arial" w:cs="Arial" w:eastAsia="Arial" w:hAnsi="Arial"/>
          <w:sz w:val="20"/>
          <w:szCs w:val="20"/>
          <w:b w:val="1"/>
          <w:bCs w:val="1"/>
          <w:color w:val="auto"/>
        </w:rPr>
      </w:pPr>
    </w:p>
    <w:p>
      <w:pPr>
        <w:jc w:val="both"/>
        <w:ind w:firstLine="1304"/>
        <w:spacing w:after="0" w:line="282" w:lineRule="auto"/>
        <w:tabs>
          <w:tab w:leader="none" w:pos="1932" w:val="left"/>
        </w:tabs>
        <w:numPr>
          <w:ilvl w:val="2"/>
          <w:numId w:val="314"/>
        </w:numPr>
        <w:rPr>
          <w:rFonts w:ascii="Arial" w:cs="Arial" w:eastAsia="Arial" w:hAnsi="Arial"/>
          <w:sz w:val="18"/>
          <w:szCs w:val="18"/>
          <w:b w:val="1"/>
          <w:bCs w:val="1"/>
          <w:color w:val="auto"/>
        </w:rPr>
      </w:pPr>
      <w:r>
        <w:rPr>
          <w:rFonts w:ascii="Arial" w:cs="Arial" w:eastAsia="Arial" w:hAnsi="Arial"/>
          <w:sz w:val="18"/>
          <w:szCs w:val="18"/>
          <w:color w:val="auto"/>
        </w:rPr>
        <w:t>To obtain indemnification, Indemnitee shall submit to the Company a written request, including therein or therewith such documentation and information as is reasonably available to Indemnitee and as is reasonably necessary to determine whether and to what extent Indemnitee is entitled to indemnification following the final disposition of the Proceeding. Any delay in providing the request will not relieve the Company from its obligations under this Agreement, except to the extent such failure is prejudicial.</w:t>
      </w:r>
    </w:p>
    <w:p>
      <w:pPr>
        <w:spacing w:after="0" w:line="107" w:lineRule="exact"/>
        <w:rPr>
          <w:rFonts w:ascii="Arial" w:cs="Arial" w:eastAsia="Arial" w:hAnsi="Arial"/>
          <w:sz w:val="18"/>
          <w:szCs w:val="18"/>
          <w:b w:val="1"/>
          <w:bCs w:val="1"/>
          <w:color w:val="auto"/>
        </w:rPr>
      </w:pPr>
    </w:p>
    <w:p>
      <w:pPr>
        <w:jc w:val="both"/>
        <w:ind w:firstLine="1304"/>
        <w:spacing w:after="0" w:line="270" w:lineRule="auto"/>
        <w:tabs>
          <w:tab w:leader="none" w:pos="1943" w:val="left"/>
        </w:tabs>
        <w:numPr>
          <w:ilvl w:val="2"/>
          <w:numId w:val="314"/>
        </w:numPr>
        <w:rPr>
          <w:rFonts w:ascii="Arial" w:cs="Arial" w:eastAsia="Arial" w:hAnsi="Arial"/>
          <w:sz w:val="18"/>
          <w:szCs w:val="18"/>
          <w:b w:val="1"/>
          <w:bCs w:val="1"/>
          <w:color w:val="auto"/>
        </w:rPr>
      </w:pPr>
      <w:r>
        <w:rPr>
          <w:rFonts w:ascii="Arial" w:cs="Arial" w:eastAsia="Arial" w:hAnsi="Arial"/>
          <w:sz w:val="18"/>
          <w:szCs w:val="18"/>
          <w:color w:val="auto"/>
        </w:rPr>
        <w:t>Upon written request by Indemnitee for indemnification pursuant to Section 8(a), a determination with respect to Indemnitee’s entitlement thereto shall be made as follows, provided that a Change in Control shall not have occurred: (i) by a majority vote of the Disinterested Directors, even though less than a quorum of the Company’s board of directors; (ii) by a committee of Disinterested Directors designated by a majority vote of the Disinterested Directors, even though less than a quorum of the Company’s board of directors;</w:t>
      </w:r>
    </w:p>
    <w:p>
      <w:pPr>
        <w:spacing w:after="0" w:line="2" w:lineRule="exact"/>
        <w:rPr>
          <w:rFonts w:ascii="Arial" w:cs="Arial" w:eastAsia="Arial" w:hAnsi="Arial"/>
          <w:sz w:val="18"/>
          <w:szCs w:val="18"/>
          <w:b w:val="1"/>
          <w:bCs w:val="1"/>
          <w:color w:val="auto"/>
        </w:rPr>
      </w:pPr>
    </w:p>
    <w:p>
      <w:pPr>
        <w:jc w:val="both"/>
        <w:ind w:firstLine="8"/>
        <w:spacing w:after="0" w:line="253" w:lineRule="auto"/>
        <w:tabs>
          <w:tab w:leader="none" w:pos="365" w:val="left"/>
        </w:tabs>
        <w:numPr>
          <w:ilvl w:val="0"/>
          <w:numId w:val="315"/>
        </w:numPr>
        <w:rPr>
          <w:rFonts w:ascii="Arial" w:cs="Arial" w:eastAsia="Arial" w:hAnsi="Arial"/>
          <w:sz w:val="19"/>
          <w:szCs w:val="19"/>
          <w:color w:val="auto"/>
        </w:rPr>
      </w:pPr>
      <w:r>
        <w:rPr>
          <w:rFonts w:ascii="Arial" w:cs="Arial" w:eastAsia="Arial" w:hAnsi="Arial"/>
          <w:sz w:val="19"/>
          <w:szCs w:val="19"/>
          <w:color w:val="auto"/>
        </w:rPr>
        <w:t>if there are no such Disinterested Directors or, if a majority of Disinterested Directors so direct, by Independent Counsel in a written opinion to the Company’s board of directors, a copy of which shall be delivered to Indemnitee; or (iv) if so directed by the Company’s board of directors, by the stockholders of the Company. If a Change in Control shall have occurred, a determination with respect to Indemnitee’s entitlement to indemnification shall be made by Independent Counsel in a written opinion to the Company’s board of directors, a copy of which shall be delivered to Indemnitee. If it is determined that Indemnitee is entitled to indemnification, payment to Indemnitee shall be made within ten days after such determination. Indemnitee shall cooperate with the person, persons or entity making the determination with respect to Indemnitee’s entitlement to indemnification, including providing to such person, persons or entity upon reasonable advance request any documentation or information that is not privileged or otherwise protected from disclosure and that is reasonably available to Indemnitee and reasonably necessary to such determination. Any costs or expenses (including attorneys’ fees and disbursements) actually and reasonably incurred by Indemnitee in so cooperating with the person, persons or entity making such determination shall be borne by the Company, to the extent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19" w:right="339" w:bottom="1440" w:gutter="0" w:footer="0" w:header="0"/>
        </w:sectPr>
      </w:pPr>
    </w:p>
    <w:bookmarkStart w:id="371" w:name="page372"/>
    <w:bookmarkEnd w:id="371"/>
    <w:p>
      <w:pPr>
        <w:jc w:val="both"/>
        <w:ind w:firstLine="1304"/>
        <w:spacing w:after="0" w:line="268" w:lineRule="auto"/>
        <w:tabs>
          <w:tab w:leader="none" w:pos="1934" w:val="left"/>
        </w:tabs>
        <w:numPr>
          <w:ilvl w:val="1"/>
          <w:numId w:val="316"/>
        </w:numPr>
        <w:rPr>
          <w:rFonts w:ascii="Arial" w:cs="Arial" w:eastAsia="Arial" w:hAnsi="Arial"/>
          <w:sz w:val="18"/>
          <w:szCs w:val="18"/>
          <w:b w:val="1"/>
          <w:bCs w:val="1"/>
          <w:color w:val="auto"/>
        </w:rPr>
      </w:pPr>
      <w:r>
        <w:rPr>
          <w:rFonts w:ascii="Arial" w:cs="Arial" w:eastAsia="Arial" w:hAnsi="Arial"/>
          <w:sz w:val="18"/>
          <w:szCs w:val="18"/>
          <w:color w:val="auto"/>
        </w:rPr>
        <w:t>In the event the determination of entitlement to indemnification is to be made by Independent Counsel pursuant to Section 8(b), the Independent Counsel shall be selected as provided in this Section 8(c). If a Change in Control shall not have occurred, the Independent Counsel shall be selected by the Company’s board of directors, and the Company shall give written notice to Indemnitee advising him or her of the identity of the Independent Counsel so selected. If a Change in Control shall have occurred, the Independent Counsel shall be selected by Indemnitee (unless Indemnitee shall request that such selection be made by the Company’s board of directors, in which event the preceding sentence shall apply), and Indemnitee shall give written notice to the Company advising it of the identity of the Independent Counsel so selected. In either event, Indemnitee or the Company, as the case may be, may, within ten days after such written notice of selection shall have been given, deliver to the Company or to Indemnitee, as the case may be, a written objection to such selection; provided, however, that such objection may be asserted only on the ground that the Independent Counsel so selected does not meet the requirements of “Independent Counsel” as defined in Section 1,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has determined that such objection is without merit. If, within 20 days after the later of (i) submission by Indemnitee of a written request for indemnification pursuant to Section 8(a) and (ii) the final disposition of the Proceeding, the parties have not agreed upon an Independent Counsel, either the Company or Indemnitee may petition a court of competent jurisdiction for resolution of any objection that shall have been made by the Company or Indemnitee to the other’s selection of Independent Counsel and for the appointment as Independent Counsel of a person selected by the court or by such other person as the court shall designate, and the person with respect to whom all objections are so resolved or the person so appointed shall act as Independent Counsel under Section 8(b). Upon the due commencement of any judicial proceeding or arbitration pursuant to Section 10(a), the Independent Counsel shall be discharged and relieved of any further responsibility in such capacity (subject to the applicable standards of professional conduct then prevailing).</w:t>
      </w:r>
    </w:p>
    <w:p>
      <w:pPr>
        <w:spacing w:after="0" w:line="129" w:lineRule="exact"/>
        <w:rPr>
          <w:rFonts w:ascii="Arial" w:cs="Arial" w:eastAsia="Arial" w:hAnsi="Arial"/>
          <w:sz w:val="18"/>
          <w:szCs w:val="18"/>
          <w:b w:val="1"/>
          <w:bCs w:val="1"/>
          <w:color w:val="auto"/>
        </w:rPr>
      </w:pPr>
    </w:p>
    <w:p>
      <w:pPr>
        <w:jc w:val="both"/>
        <w:ind w:firstLine="1304"/>
        <w:spacing w:after="0" w:line="250" w:lineRule="auto"/>
        <w:tabs>
          <w:tab w:leader="none" w:pos="1943" w:val="left"/>
        </w:tabs>
        <w:numPr>
          <w:ilvl w:val="1"/>
          <w:numId w:val="316"/>
        </w:numPr>
        <w:rPr>
          <w:rFonts w:ascii="Arial" w:cs="Arial" w:eastAsia="Arial" w:hAnsi="Arial"/>
          <w:sz w:val="20"/>
          <w:szCs w:val="20"/>
          <w:b w:val="1"/>
          <w:bCs w:val="1"/>
          <w:color w:val="auto"/>
        </w:rPr>
      </w:pPr>
      <w:r>
        <w:rPr>
          <w:rFonts w:ascii="Arial" w:cs="Arial" w:eastAsia="Arial" w:hAnsi="Arial"/>
          <w:sz w:val="20"/>
          <w:szCs w:val="20"/>
          <w:color w:val="auto"/>
        </w:rPr>
        <w:t>The Company shall pay the reasonable fees and expenses of any Independent Counsel and to fully indemnify such counsel against any and all Expenses, claims, liabilities and damages arising out of or relating to this Agreement or its engagement pursuant hereto.</w:t>
      </w:r>
    </w:p>
    <w:p>
      <w:pPr>
        <w:spacing w:after="0" w:line="125" w:lineRule="exact"/>
        <w:rPr>
          <w:rFonts w:ascii="Arial" w:cs="Arial" w:eastAsia="Arial" w:hAnsi="Arial"/>
          <w:sz w:val="20"/>
          <w:szCs w:val="20"/>
          <w:b w:val="1"/>
          <w:bCs w:val="1"/>
          <w:color w:val="auto"/>
        </w:rPr>
      </w:pPr>
    </w:p>
    <w:p>
      <w:pPr>
        <w:ind w:left="1300" w:hanging="644"/>
        <w:spacing w:after="0"/>
        <w:tabs>
          <w:tab w:leader="none" w:pos="1300" w:val="left"/>
        </w:tabs>
        <w:numPr>
          <w:ilvl w:val="0"/>
          <w:numId w:val="317"/>
        </w:numPr>
        <w:rPr>
          <w:rFonts w:ascii="Arial" w:cs="Arial" w:eastAsia="Arial" w:hAnsi="Arial"/>
          <w:sz w:val="20"/>
          <w:szCs w:val="20"/>
          <w:b w:val="1"/>
          <w:bCs w:val="1"/>
          <w:color w:val="auto"/>
        </w:rPr>
      </w:pPr>
      <w:r>
        <w:rPr>
          <w:rFonts w:ascii="Arial" w:cs="Arial" w:eastAsia="Arial" w:hAnsi="Arial"/>
          <w:sz w:val="20"/>
          <w:szCs w:val="20"/>
          <w:b w:val="1"/>
          <w:bCs w:val="1"/>
          <w:color w:val="auto"/>
        </w:rPr>
        <w:t>Presumptions and Effect of Certain Proceedings</w:t>
      </w:r>
      <w:r>
        <w:rPr>
          <w:rFonts w:ascii="Arial" w:cs="Arial" w:eastAsia="Arial" w:hAnsi="Arial"/>
          <w:sz w:val="20"/>
          <w:szCs w:val="20"/>
          <w:color w:val="auto"/>
        </w:rPr>
        <w:t>.</w:t>
      </w:r>
    </w:p>
    <w:p>
      <w:pPr>
        <w:spacing w:after="0" w:line="167" w:lineRule="exact"/>
        <w:rPr>
          <w:rFonts w:ascii="Arial" w:cs="Arial" w:eastAsia="Arial" w:hAnsi="Arial"/>
          <w:sz w:val="20"/>
          <w:szCs w:val="20"/>
          <w:b w:val="1"/>
          <w:bCs w:val="1"/>
          <w:color w:val="auto"/>
        </w:rPr>
      </w:pPr>
    </w:p>
    <w:p>
      <w:pPr>
        <w:jc w:val="both"/>
        <w:ind w:firstLine="1304"/>
        <w:spacing w:after="0" w:line="246" w:lineRule="auto"/>
        <w:tabs>
          <w:tab w:leader="none" w:pos="1932" w:val="left"/>
        </w:tabs>
        <w:numPr>
          <w:ilvl w:val="1"/>
          <w:numId w:val="317"/>
        </w:numPr>
        <w:rPr>
          <w:rFonts w:ascii="Arial" w:cs="Arial" w:eastAsia="Arial" w:hAnsi="Arial"/>
          <w:sz w:val="20"/>
          <w:szCs w:val="20"/>
          <w:b w:val="1"/>
          <w:bCs w:val="1"/>
          <w:color w:val="auto"/>
        </w:rPr>
      </w:pPr>
      <w:r>
        <w:rPr>
          <w:rFonts w:ascii="Arial" w:cs="Arial" w:eastAsia="Arial" w:hAnsi="Arial"/>
          <w:sz w:val="20"/>
          <w:szCs w:val="20"/>
          <w:color w:val="auto"/>
        </w:rPr>
        <w:t>In making a determination with respect to entitlement to indemnification hereunder, the person, persons or entity making such determination shall, to the fullest extent not prohibited by law, presume that Indemnitee is entitled to indemnification under this Agreement, and the Company shall, to the fullest extent not prohibited by law, have the burden of proof to overcome that presumption by clear and convincing evidence.</w:t>
      </w:r>
    </w:p>
    <w:p>
      <w:pPr>
        <w:spacing w:after="0" w:line="137" w:lineRule="exact"/>
        <w:rPr>
          <w:rFonts w:ascii="Arial" w:cs="Arial" w:eastAsia="Arial" w:hAnsi="Arial"/>
          <w:sz w:val="20"/>
          <w:szCs w:val="20"/>
          <w:b w:val="1"/>
          <w:bCs w:val="1"/>
          <w:color w:val="auto"/>
        </w:rPr>
      </w:pPr>
    </w:p>
    <w:p>
      <w:pPr>
        <w:jc w:val="both"/>
        <w:ind w:firstLine="1304"/>
        <w:spacing w:after="0" w:line="260" w:lineRule="auto"/>
        <w:tabs>
          <w:tab w:leader="none" w:pos="1943" w:val="left"/>
        </w:tabs>
        <w:numPr>
          <w:ilvl w:val="1"/>
          <w:numId w:val="317"/>
        </w:numPr>
        <w:rPr>
          <w:rFonts w:ascii="Arial" w:cs="Arial" w:eastAsia="Arial" w:hAnsi="Arial"/>
          <w:sz w:val="19"/>
          <w:szCs w:val="19"/>
          <w:b w:val="1"/>
          <w:bCs w:val="1"/>
          <w:color w:val="auto"/>
        </w:rPr>
      </w:pPr>
      <w:r>
        <w:rPr>
          <w:rFonts w:ascii="Arial" w:cs="Arial" w:eastAsia="Arial" w:hAnsi="Arial"/>
          <w:sz w:val="19"/>
          <w:szCs w:val="19"/>
          <w:color w:val="auto"/>
        </w:rPr>
        <w:t xml:space="preserve">The termination of any Proceeding or of any claim, issue or matter therein, by judgment, order, settlement or conviction, or upon a plea of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or its equivalent, shall not (except as otherwise expressly provided in this Agreement) of itself adversely affect the right of Indemnitee to indemnification or create a presumption that Indemnitee did not act in good faith and in a manner that he or she reasonably believed to be in or not opposed to the best interests of the Company or, with respect to any criminal Proceeding, that Indemnitee had reasonable cause to believe that his or her conduct was unlawful.</w:t>
      </w:r>
    </w:p>
    <w:p>
      <w:pPr>
        <w:spacing w:after="0" w:line="126" w:lineRule="exact"/>
        <w:rPr>
          <w:rFonts w:ascii="Arial" w:cs="Arial" w:eastAsia="Arial" w:hAnsi="Arial"/>
          <w:sz w:val="19"/>
          <w:szCs w:val="19"/>
          <w:b w:val="1"/>
          <w:bCs w:val="1"/>
          <w:color w:val="auto"/>
        </w:rPr>
      </w:pPr>
    </w:p>
    <w:p>
      <w:pPr>
        <w:ind w:right="20" w:firstLine="1304"/>
        <w:spacing w:after="0" w:line="260" w:lineRule="auto"/>
        <w:tabs>
          <w:tab w:leader="none" w:pos="1934" w:val="left"/>
        </w:tabs>
        <w:numPr>
          <w:ilvl w:val="1"/>
          <w:numId w:val="317"/>
        </w:numPr>
        <w:rPr>
          <w:rFonts w:ascii="Arial" w:cs="Arial" w:eastAsia="Arial" w:hAnsi="Arial"/>
          <w:sz w:val="20"/>
          <w:szCs w:val="20"/>
          <w:b w:val="1"/>
          <w:bCs w:val="1"/>
          <w:color w:val="auto"/>
        </w:rPr>
      </w:pPr>
      <w:r>
        <w:rPr>
          <w:rFonts w:ascii="Arial" w:cs="Arial" w:eastAsia="Arial" w:hAnsi="Arial"/>
          <w:sz w:val="20"/>
          <w:szCs w:val="20"/>
          <w:color w:val="auto"/>
        </w:rPr>
        <w:t>For purposes of any determination of good faith, Indemnitee shall be deemed to have acted in good faith to the extent Indemnitee relied in good faith on (i) the records or books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19" w:right="339" w:bottom="1440" w:gutter="0" w:footer="0" w:header="0"/>
        </w:sectPr>
      </w:pPr>
    </w:p>
    <w:bookmarkStart w:id="372" w:name="page373"/>
    <w:bookmarkEnd w:id="372"/>
    <w:p>
      <w:pPr>
        <w:jc w:val="both"/>
        <w:spacing w:after="0" w:line="276" w:lineRule="auto"/>
        <w:rPr>
          <w:sz w:val="20"/>
          <w:szCs w:val="20"/>
          <w:color w:val="auto"/>
        </w:rPr>
      </w:pPr>
      <w:r>
        <w:rPr>
          <w:rFonts w:ascii="Arial" w:cs="Arial" w:eastAsia="Arial" w:hAnsi="Arial"/>
          <w:sz w:val="18"/>
          <w:szCs w:val="18"/>
          <w:color w:val="auto"/>
        </w:rPr>
        <w:t>account of the Enterprise, including financial statements, (ii) information supplied to Indemnitee by the officers of the Enterprise in the course of their duties, (iii) the advice of legal counsel for the Enterprise or its board of directors or counsel selected by any committee of the board of directors or (iv) information or records given or reports made to the Enterprise by an independent certified public accountant, an appraiser, investment banker or other expert selected with reasonable care by the Enterprise or its board of directors or any committee of the board of directors. The provisions of this Section 9(c) shall not be deemed to be exclusive or to limit in any way the other circumstances in which Indemnitee may be deemed to have met the applicable standard of conduct set forth in this Agreement.</w:t>
      </w:r>
    </w:p>
    <w:p>
      <w:pPr>
        <w:spacing w:after="0" w:line="111" w:lineRule="exact"/>
        <w:rPr>
          <w:sz w:val="20"/>
          <w:szCs w:val="20"/>
          <w:color w:val="auto"/>
        </w:rPr>
      </w:pPr>
    </w:p>
    <w:p>
      <w:pPr>
        <w:ind w:firstLine="1304"/>
        <w:spacing w:after="0" w:line="260" w:lineRule="auto"/>
        <w:tabs>
          <w:tab w:leader="none" w:pos="1943" w:val="left"/>
        </w:tabs>
        <w:numPr>
          <w:ilvl w:val="2"/>
          <w:numId w:val="318"/>
        </w:numPr>
        <w:rPr>
          <w:rFonts w:ascii="Arial" w:cs="Arial" w:eastAsia="Arial" w:hAnsi="Arial"/>
          <w:sz w:val="20"/>
          <w:szCs w:val="20"/>
          <w:b w:val="1"/>
          <w:bCs w:val="1"/>
          <w:color w:val="auto"/>
        </w:rPr>
      </w:pPr>
      <w:r>
        <w:rPr>
          <w:rFonts w:ascii="Arial" w:cs="Arial" w:eastAsia="Arial" w:hAnsi="Arial"/>
          <w:sz w:val="20"/>
          <w:szCs w:val="20"/>
          <w:color w:val="auto"/>
        </w:rPr>
        <w:t>Neither the knowledge, actions nor failure to act of any other director, officer, agent or employee of the Enterprise shall be imputed to Indemnitee for purposes of determining the right to indemnification under this Agreement.</w:t>
      </w:r>
    </w:p>
    <w:p>
      <w:pPr>
        <w:spacing w:after="0" w:line="116" w:lineRule="exact"/>
        <w:rPr>
          <w:rFonts w:ascii="Arial" w:cs="Arial" w:eastAsia="Arial" w:hAnsi="Arial"/>
          <w:sz w:val="20"/>
          <w:szCs w:val="20"/>
          <w:b w:val="1"/>
          <w:bCs w:val="1"/>
          <w:color w:val="auto"/>
        </w:rPr>
      </w:pPr>
    </w:p>
    <w:p>
      <w:pPr>
        <w:ind w:left="1300" w:hanging="644"/>
        <w:spacing w:after="0"/>
        <w:tabs>
          <w:tab w:leader="none" w:pos="1300" w:val="left"/>
        </w:tabs>
        <w:numPr>
          <w:ilvl w:val="1"/>
          <w:numId w:val="319"/>
        </w:numPr>
        <w:rPr>
          <w:rFonts w:ascii="Arial" w:cs="Arial" w:eastAsia="Arial" w:hAnsi="Arial"/>
          <w:sz w:val="20"/>
          <w:szCs w:val="20"/>
          <w:b w:val="1"/>
          <w:bCs w:val="1"/>
          <w:color w:val="auto"/>
        </w:rPr>
      </w:pPr>
      <w:r>
        <w:rPr>
          <w:rFonts w:ascii="Arial" w:cs="Arial" w:eastAsia="Arial" w:hAnsi="Arial"/>
          <w:sz w:val="20"/>
          <w:szCs w:val="20"/>
          <w:b w:val="1"/>
          <w:bCs w:val="1"/>
          <w:color w:val="auto"/>
        </w:rPr>
        <w:t>Remedies of Indemnitee</w:t>
      </w:r>
      <w:r>
        <w:rPr>
          <w:rFonts w:ascii="Arial" w:cs="Arial" w:eastAsia="Arial" w:hAnsi="Arial"/>
          <w:sz w:val="20"/>
          <w:szCs w:val="20"/>
          <w:color w:val="auto"/>
        </w:rPr>
        <w:t>.</w:t>
      </w:r>
    </w:p>
    <w:p>
      <w:pPr>
        <w:spacing w:after="0" w:line="167" w:lineRule="exact"/>
        <w:rPr>
          <w:rFonts w:ascii="Arial" w:cs="Arial" w:eastAsia="Arial" w:hAnsi="Arial"/>
          <w:sz w:val="20"/>
          <w:szCs w:val="20"/>
          <w:b w:val="1"/>
          <w:bCs w:val="1"/>
          <w:color w:val="auto"/>
        </w:rPr>
      </w:pPr>
    </w:p>
    <w:p>
      <w:pPr>
        <w:jc w:val="both"/>
        <w:ind w:firstLine="1304"/>
        <w:spacing w:after="0" w:line="269" w:lineRule="auto"/>
        <w:tabs>
          <w:tab w:leader="none" w:pos="1932" w:val="left"/>
        </w:tabs>
        <w:numPr>
          <w:ilvl w:val="2"/>
          <w:numId w:val="319"/>
        </w:numPr>
        <w:rPr>
          <w:rFonts w:ascii="Arial" w:cs="Arial" w:eastAsia="Arial" w:hAnsi="Arial"/>
          <w:sz w:val="18"/>
          <w:szCs w:val="18"/>
          <w:b w:val="1"/>
          <w:bCs w:val="1"/>
          <w:color w:val="auto"/>
        </w:rPr>
      </w:pPr>
      <w:r>
        <w:rPr>
          <w:rFonts w:ascii="Arial" w:cs="Arial" w:eastAsia="Arial" w:hAnsi="Arial"/>
          <w:sz w:val="18"/>
          <w:szCs w:val="18"/>
          <w:color w:val="auto"/>
        </w:rPr>
        <w:t>Subject to Section 10(e), in the event that (i) a determination is made pursuant to Section 9 that Indemnitee is not entitled to indemnification under this Agreement, (ii) advancement of Expenses is not timely made pursuant to Section 6 or 10(d), (iii) no determination of entitlement to indemnification shall have been made pursuant to Section 8 within 30 days after the later of the receipt by the Company of the request for indemnification or the final disposition of the Proceeding, (iv) payment of indemnification pursuant to this Agreement is not made (A) within ten days after a determination has been made that Indemnitee is entitled to indemnification or (B) with respect to indemnification pursuant to Sections 4, 5 and 10(d), within 30 days after receipt by the Company of a written request therefor, or</w:t>
      </w:r>
    </w:p>
    <w:p>
      <w:pPr>
        <w:spacing w:after="0" w:line="1" w:lineRule="exact"/>
        <w:rPr>
          <w:rFonts w:ascii="Arial" w:cs="Arial" w:eastAsia="Arial" w:hAnsi="Arial"/>
          <w:sz w:val="18"/>
          <w:szCs w:val="18"/>
          <w:b w:val="1"/>
          <w:bCs w:val="1"/>
          <w:color w:val="auto"/>
        </w:rPr>
      </w:pPr>
    </w:p>
    <w:p>
      <w:pPr>
        <w:jc w:val="both"/>
        <w:ind w:firstLine="8"/>
        <w:spacing w:after="0" w:line="254" w:lineRule="auto"/>
        <w:tabs>
          <w:tab w:leader="none" w:pos="305" w:val="left"/>
        </w:tabs>
        <w:numPr>
          <w:ilvl w:val="0"/>
          <w:numId w:val="320"/>
        </w:numPr>
        <w:rPr>
          <w:rFonts w:ascii="Arial" w:cs="Arial" w:eastAsia="Arial" w:hAnsi="Arial"/>
          <w:sz w:val="19"/>
          <w:szCs w:val="19"/>
          <w:color w:val="auto"/>
        </w:rPr>
      </w:pPr>
      <w:r>
        <w:rPr>
          <w:rFonts w:ascii="Arial" w:cs="Arial" w:eastAsia="Arial" w:hAnsi="Arial"/>
          <w:sz w:val="19"/>
          <w:szCs w:val="19"/>
          <w:color w:val="auto"/>
        </w:rPr>
        <w:t xml:space="preserve">the Company or any other person or entity takes or threatens to take any action to declare this Agreement void or unenforceable, or institutes any litigation or other action or proceeding designed to deny, or to recover from, Indemnitee the benefits provided or intended to be provided to Indemnitee hereunder, Indemnitee shall be entitled to an adjudication by a court of competent jurisdiction of his or her entitlement to such indemnification or advancement of Expenses. Alternatively, Indemnitee, at his or her option, may seek an award in arbitration with respect to his or her entitlement to such indemnification or advancement of Expenses, to be conducted by a single arbitrator pursuant to the Commercial Arbitration Rules of the American Arbitration Association. Indemnitee shall commence such proceeding seeking an adjudication or an award in arbitration within 12 months following the date on which Indemnitee first has the right to commence such proceeding pursuant to this Section 10(a);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foregoing clause shall not apply in respect of a proceeding brought by Indemnitee to enforce his or her rights under Section 4. The Company shall not oppose Indemnitee’s right to seek any such adjudication or award in arbitration in accordance with this Agreement.</w:t>
      </w:r>
    </w:p>
    <w:p>
      <w:pPr>
        <w:spacing w:after="0" w:line="128" w:lineRule="exact"/>
        <w:rPr>
          <w:rFonts w:ascii="Arial" w:cs="Arial" w:eastAsia="Arial" w:hAnsi="Arial"/>
          <w:sz w:val="19"/>
          <w:szCs w:val="19"/>
          <w:color w:val="auto"/>
        </w:rPr>
      </w:pPr>
    </w:p>
    <w:p>
      <w:pPr>
        <w:jc w:val="both"/>
        <w:ind w:firstLine="1304"/>
        <w:spacing w:after="0" w:line="272" w:lineRule="auto"/>
        <w:tabs>
          <w:tab w:leader="none" w:pos="1943" w:val="left"/>
        </w:tabs>
        <w:numPr>
          <w:ilvl w:val="2"/>
          <w:numId w:val="320"/>
        </w:numPr>
        <w:rPr>
          <w:rFonts w:ascii="Arial" w:cs="Arial" w:eastAsia="Arial" w:hAnsi="Arial"/>
          <w:sz w:val="18"/>
          <w:szCs w:val="18"/>
          <w:b w:val="1"/>
          <w:bCs w:val="1"/>
          <w:color w:val="auto"/>
        </w:rPr>
      </w:pPr>
      <w:r>
        <w:rPr>
          <w:rFonts w:ascii="Arial" w:cs="Arial" w:eastAsia="Arial" w:hAnsi="Arial"/>
          <w:sz w:val="18"/>
          <w:szCs w:val="18"/>
          <w:color w:val="auto"/>
        </w:rPr>
        <w:t xml:space="preserve">Neither (i) the failure of the Company, its board of directors, any committee or subgroup of the board of directors, Independent Counsel or stockholders to have made a determination that indemnification of Indemnitee is proper in the circumstances because Indemnitee has met the applicable standard of conduct, nor (ii) an actual determination by the Company, its board of directors, any committee or subgroup of the board of directors, Independent Counsel or stockholders that Indemnitee has not met the applicable standard of conduct, shall create a presumption that Indemnitee has or has not met the applicable standard of conduct. In the event that a determination shall have been made pursuant to Section 8 that Indemnitee is not entitled to indemnification, any judicial proceeding or arbitration commenced pursuant to this Section 10 shall be conducted in all respects as a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trial, or arbitration, on the merits, and Indemnitee shall not be prejudiced by reason of that adverse determination. In any judicial proceeding or arbitration commenced pursuant to this Section 10, the Company shall, to the fullest extent not prohibited by law, have the burden of proving Indemnitee is not entitled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19" w:right="339" w:bottom="1440" w:gutter="0" w:footer="0" w:header="0"/>
        </w:sectPr>
      </w:pPr>
    </w:p>
    <w:bookmarkStart w:id="373" w:name="page374"/>
    <w:bookmarkEnd w:id="373"/>
    <w:p>
      <w:pPr>
        <w:spacing w:after="0"/>
        <w:rPr>
          <w:sz w:val="20"/>
          <w:szCs w:val="20"/>
          <w:color w:val="auto"/>
        </w:rPr>
      </w:pPr>
      <w:r>
        <w:rPr>
          <w:rFonts w:ascii="Arial" w:cs="Arial" w:eastAsia="Arial" w:hAnsi="Arial"/>
          <w:sz w:val="19"/>
          <w:szCs w:val="19"/>
          <w:color w:val="auto"/>
        </w:rPr>
        <w:t>indemnification or advancement of Expenses, as the case may be, and the burden of proof shall be by clear and convincing evidence.</w:t>
      </w:r>
    </w:p>
    <w:p>
      <w:pPr>
        <w:spacing w:after="0" w:line="173" w:lineRule="exact"/>
        <w:rPr>
          <w:sz w:val="20"/>
          <w:szCs w:val="20"/>
          <w:color w:val="auto"/>
        </w:rPr>
      </w:pPr>
    </w:p>
    <w:p>
      <w:pPr>
        <w:jc w:val="both"/>
        <w:ind w:firstLine="1304"/>
        <w:spacing w:after="0" w:line="274" w:lineRule="auto"/>
        <w:tabs>
          <w:tab w:leader="none" w:pos="1934" w:val="left"/>
        </w:tabs>
        <w:numPr>
          <w:ilvl w:val="1"/>
          <w:numId w:val="321"/>
        </w:numPr>
        <w:rPr>
          <w:rFonts w:ascii="Arial" w:cs="Arial" w:eastAsia="Arial" w:hAnsi="Arial"/>
          <w:sz w:val="18"/>
          <w:szCs w:val="18"/>
          <w:b w:val="1"/>
          <w:bCs w:val="1"/>
          <w:color w:val="auto"/>
        </w:rPr>
      </w:pPr>
      <w:r>
        <w:rPr>
          <w:rFonts w:ascii="Arial" w:cs="Arial" w:eastAsia="Arial" w:hAnsi="Arial"/>
          <w:sz w:val="18"/>
          <w:szCs w:val="18"/>
          <w:color w:val="auto"/>
        </w:rPr>
        <w:t>To the fullest extent not prohibited by law, the Company shall be precluded from asserting in any judicial proceeding or arbitration commenced pursuant to this Section 10 that the procedures and presumptions of this Agreement are not valid, binding and enforceable and shall stipulate in any such court or before any such arbitrator that the Company is bound by all the provisions of this Agreement. If a determination shall have been made pursuant to Section 10 that Indemnitee is entitled to indemnification, the Company shall be bound by such determination in any judicial proceeding or arbitration commenced pursuant to this Section 10, absent (i) a misstatement by Indemnitee of a material fact, or an omission of a material fact necessary to make Indemnitee’s statements not materially misleading, in connection with the request for indemnification, or (ii) a prohibition of such indemnification under applicable law.</w:t>
      </w:r>
    </w:p>
    <w:p>
      <w:pPr>
        <w:spacing w:after="0" w:line="114" w:lineRule="exact"/>
        <w:rPr>
          <w:rFonts w:ascii="Arial" w:cs="Arial" w:eastAsia="Arial" w:hAnsi="Arial"/>
          <w:sz w:val="18"/>
          <w:szCs w:val="18"/>
          <w:b w:val="1"/>
          <w:bCs w:val="1"/>
          <w:color w:val="auto"/>
        </w:rPr>
      </w:pPr>
    </w:p>
    <w:p>
      <w:pPr>
        <w:jc w:val="both"/>
        <w:ind w:firstLine="1304"/>
        <w:spacing w:after="0" w:line="243" w:lineRule="auto"/>
        <w:tabs>
          <w:tab w:leader="none" w:pos="1943" w:val="left"/>
        </w:tabs>
        <w:numPr>
          <w:ilvl w:val="1"/>
          <w:numId w:val="321"/>
        </w:numPr>
        <w:rPr>
          <w:rFonts w:ascii="Arial" w:cs="Arial" w:eastAsia="Arial" w:hAnsi="Arial"/>
          <w:sz w:val="20"/>
          <w:szCs w:val="20"/>
          <w:b w:val="1"/>
          <w:bCs w:val="1"/>
          <w:color w:val="auto"/>
        </w:rPr>
      </w:pPr>
      <w:r>
        <w:rPr>
          <w:rFonts w:ascii="Arial" w:cs="Arial" w:eastAsia="Arial" w:hAnsi="Arial"/>
          <w:sz w:val="20"/>
          <w:szCs w:val="20"/>
          <w:color w:val="auto"/>
        </w:rPr>
        <w:t>To the extent not prohibited by law, the Company shall indemnify Indemnitee against all Expenses incurred by Indemnitee in connection with any action for indemnification or advancement of Expenses from the Company under this Agreement, any other agreement, the Company’s certificate of incorporation or bylaws or under any directors’ and officers’ liability insurance policies maintained by the Company to the extent Indemnitee is successful in such action, and, if requested by Indemnitee, shall (as soon as reasonably practicable, but in any event no later than 30 days, after receipt by the Company of a written request therefor) advance such Expenses to Indemnitee, subject to the provisions of Section 6. Indemnitee hereby undertakes to repay such advances to the extent the Indemnitee is ultimately unsuccessful in such action or arbitration.</w:t>
      </w:r>
    </w:p>
    <w:p>
      <w:pPr>
        <w:spacing w:after="0" w:line="138" w:lineRule="exact"/>
        <w:rPr>
          <w:rFonts w:ascii="Arial" w:cs="Arial" w:eastAsia="Arial" w:hAnsi="Arial"/>
          <w:sz w:val="20"/>
          <w:szCs w:val="20"/>
          <w:b w:val="1"/>
          <w:bCs w:val="1"/>
          <w:color w:val="auto"/>
        </w:rPr>
      </w:pPr>
    </w:p>
    <w:p>
      <w:pPr>
        <w:ind w:firstLine="1304"/>
        <w:spacing w:after="0" w:line="260" w:lineRule="auto"/>
        <w:tabs>
          <w:tab w:leader="none" w:pos="1934" w:val="left"/>
        </w:tabs>
        <w:numPr>
          <w:ilvl w:val="1"/>
          <w:numId w:val="321"/>
        </w:numPr>
        <w:rPr>
          <w:rFonts w:ascii="Arial" w:cs="Arial" w:eastAsia="Arial" w:hAnsi="Arial"/>
          <w:sz w:val="20"/>
          <w:szCs w:val="20"/>
          <w:b w:val="1"/>
          <w:bCs w:val="1"/>
          <w:color w:val="auto"/>
        </w:rPr>
      </w:pPr>
      <w:r>
        <w:rPr>
          <w:rFonts w:ascii="Arial" w:cs="Arial" w:eastAsia="Arial" w:hAnsi="Arial"/>
          <w:sz w:val="20"/>
          <w:szCs w:val="20"/>
          <w:color w:val="auto"/>
        </w:rPr>
        <w:t>Notwithstanding anything in this Agreement to the contrary, no determination as to entitlement to indemnification shall be required to be made prior to the final disposition of the Proceeding.</w:t>
      </w:r>
    </w:p>
    <w:p>
      <w:pPr>
        <w:spacing w:after="0" w:line="116" w:lineRule="exact"/>
        <w:rPr>
          <w:rFonts w:ascii="Arial" w:cs="Arial" w:eastAsia="Arial" w:hAnsi="Arial"/>
          <w:sz w:val="20"/>
          <w:szCs w:val="20"/>
          <w:b w:val="1"/>
          <w:bCs w:val="1"/>
          <w:color w:val="auto"/>
        </w:rPr>
      </w:pPr>
    </w:p>
    <w:p>
      <w:pPr>
        <w:jc w:val="both"/>
        <w:ind w:firstLine="656"/>
        <w:spacing w:after="0" w:line="244" w:lineRule="auto"/>
        <w:tabs>
          <w:tab w:leader="none" w:pos="1276" w:val="left"/>
        </w:tabs>
        <w:numPr>
          <w:ilvl w:val="0"/>
          <w:numId w:val="322"/>
        </w:numPr>
        <w:rPr>
          <w:rFonts w:ascii="Arial" w:cs="Arial" w:eastAsia="Arial" w:hAnsi="Arial"/>
          <w:sz w:val="20"/>
          <w:szCs w:val="20"/>
          <w:b w:val="1"/>
          <w:bCs w:val="1"/>
          <w:color w:val="auto"/>
        </w:rPr>
      </w:pPr>
      <w:r>
        <w:rPr>
          <w:rFonts w:ascii="Arial" w:cs="Arial" w:eastAsia="Arial" w:hAnsi="Arial"/>
          <w:sz w:val="20"/>
          <w:szCs w:val="20"/>
          <w:b w:val="1"/>
          <w:bCs w:val="1"/>
          <w:color w:val="auto"/>
        </w:rPr>
        <w:t>Contribution</w:t>
      </w:r>
      <w:r>
        <w:rPr>
          <w:rFonts w:ascii="Arial" w:cs="Arial" w:eastAsia="Arial" w:hAnsi="Arial"/>
          <w:sz w:val="20"/>
          <w:szCs w:val="20"/>
          <w:color w:val="auto"/>
        </w:rPr>
        <w:t>. To the fullest extent permissible under applicable law, if the indemnification provided for in this Agreement is</w:t>
      </w:r>
      <w:r>
        <w:rPr>
          <w:rFonts w:ascii="Arial" w:cs="Arial" w:eastAsia="Arial" w:hAnsi="Arial"/>
          <w:sz w:val="20"/>
          <w:szCs w:val="20"/>
          <w:b w:val="1"/>
          <w:bCs w:val="1"/>
          <w:color w:val="auto"/>
        </w:rPr>
        <w:t xml:space="preserve"> </w:t>
      </w:r>
      <w:r>
        <w:rPr>
          <w:rFonts w:ascii="Arial" w:cs="Arial" w:eastAsia="Arial" w:hAnsi="Arial"/>
          <w:sz w:val="20"/>
          <w:szCs w:val="20"/>
          <w:color w:val="auto"/>
        </w:rPr>
        <w:t>unavailable to Indemnitee, the Company, in lieu of indemnifying Indemnitee, shall contribute to the amounts incurred by Indemnitee, whether for Expenses, judgments, fines or amounts paid or to be paid in settlement,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 transactions giving rise to such Proceeding; and (ii) the relative fault of Indemnitee and the Company (and its other directors, officers, employees and agents) in connection with such events and transactions.</w:t>
      </w:r>
    </w:p>
    <w:p>
      <w:pPr>
        <w:spacing w:after="0" w:line="131" w:lineRule="exact"/>
        <w:rPr>
          <w:rFonts w:ascii="Arial" w:cs="Arial" w:eastAsia="Arial" w:hAnsi="Arial"/>
          <w:sz w:val="20"/>
          <w:szCs w:val="20"/>
          <w:b w:val="1"/>
          <w:bCs w:val="1"/>
          <w:color w:val="auto"/>
        </w:rPr>
      </w:pPr>
    </w:p>
    <w:p>
      <w:pPr>
        <w:jc w:val="both"/>
        <w:ind w:firstLine="656"/>
        <w:spacing w:after="0" w:line="273" w:lineRule="auto"/>
        <w:tabs>
          <w:tab w:leader="none" w:pos="1287"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w:t>
      </w:r>
      <w:r>
        <w:rPr>
          <w:rFonts w:ascii="Arial" w:cs="Arial" w:eastAsia="Arial" w:hAnsi="Arial"/>
          <w:sz w:val="18"/>
          <w:szCs w:val="18"/>
          <w:color w:val="auto"/>
        </w:rPr>
        <w:t>. The rights of indemnification and to receive advancement of Expenses as provided by this Agreement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be deemed exclusive of any other rights to which Indemnitee may at any time be entitled under applicable law, the Company’s certificate of incorporation or bylaws, any agreement, a vote of stockholders or a resolution of directors, or otherwise. To the extent that a change in Delaware law, whether by statute or judicial decision, permits greater indemnification or advancement of Expenses than would be afforded currently under the Company’s certificate of incorporation and bylaws and this Agreement, it is the intent of the parties hereto that Indemnitee shall enjoy by this Agreement the greater benefits so afforded by such change, subject to the restrictions expressly set forth herein or therein. Except as expressly set forth herein, no right or remedy herein conferred is intended to be exclusive of any other right or remedy, and every other right and remedy shall be cumulative and in addition to every other right and remedy given hereunder or now or hereafter existing at law or in equity or otherwise. Except as expressly set forth herein, the assertion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19" w:right="339" w:bottom="1440" w:gutter="0" w:footer="0" w:header="0"/>
        </w:sectPr>
      </w:pPr>
    </w:p>
    <w:bookmarkStart w:id="374" w:name="page375"/>
    <w:bookmarkEnd w:id="374"/>
    <w:p>
      <w:pPr>
        <w:spacing w:after="0" w:line="260" w:lineRule="auto"/>
        <w:rPr>
          <w:sz w:val="20"/>
          <w:szCs w:val="20"/>
          <w:color w:val="auto"/>
        </w:rPr>
      </w:pPr>
      <w:r>
        <w:rPr>
          <w:rFonts w:ascii="Arial" w:cs="Arial" w:eastAsia="Arial" w:hAnsi="Arial"/>
          <w:sz w:val="20"/>
          <w:szCs w:val="20"/>
          <w:color w:val="auto"/>
        </w:rPr>
        <w:t>employment of any right or remedy hereunder, or otherwise, shall not prevent the concurrent assertion or employment of any other right or remedy.</w:t>
      </w:r>
    </w:p>
    <w:p>
      <w:pPr>
        <w:spacing w:after="0" w:line="117" w:lineRule="exact"/>
        <w:rPr>
          <w:sz w:val="20"/>
          <w:szCs w:val="20"/>
          <w:color w:val="auto"/>
        </w:rPr>
      </w:pPr>
    </w:p>
    <w:p>
      <w:pPr>
        <w:jc w:val="both"/>
        <w:ind w:firstLine="656"/>
        <w:spacing w:after="0" w:line="270" w:lineRule="auto"/>
        <w:tabs>
          <w:tab w:leader="none" w:pos="1287"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Primary Responsibility</w:t>
      </w:r>
      <w:r>
        <w:rPr>
          <w:rFonts w:ascii="Arial" w:cs="Arial" w:eastAsia="Arial" w:hAnsi="Arial"/>
          <w:sz w:val="18"/>
          <w:szCs w:val="18"/>
          <w:color w:val="auto"/>
        </w:rPr>
        <w:t>. The Company acknowledges that to the extent Indemnitee is serving as a director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board of directors at the request or direction of a private equity or venture capital fund or other entity and/or certain of its affiliates (collectively, the “</w:t>
      </w:r>
      <w:r>
        <w:rPr>
          <w:rFonts w:ascii="Arial" w:cs="Arial" w:eastAsia="Arial" w:hAnsi="Arial"/>
          <w:sz w:val="18"/>
          <w:szCs w:val="18"/>
          <w:b w:val="1"/>
          <w:bCs w:val="1"/>
          <w:i w:val="1"/>
          <w:iCs w:val="1"/>
          <w:color w:val="auto"/>
        </w:rPr>
        <w:t>Secondary Indemnitors</w:t>
      </w:r>
      <w:r>
        <w:rPr>
          <w:rFonts w:ascii="Arial" w:cs="Arial" w:eastAsia="Arial" w:hAnsi="Arial"/>
          <w:sz w:val="18"/>
          <w:szCs w:val="18"/>
          <w:color w:val="auto"/>
        </w:rPr>
        <w:t>”), Indemnitee may have certain rights to indemnification and advancement of expenses provided by such Secondary Indemnitors. The Company agrees that, as between the Company and the Secondary Indemnitors, the Company is primarily responsible for amounts required to be indemnified or advanced under the Company’s certificate of incorporation or bylaws or this Agreement and any obligation of the Secondary Indemnitors to provide indemnification or advancement for the same amounts is secondary to those Company obligations. To the extent not in contravention of any insurance policy or policies providing liability or other insurance for the Company or any director, trustee, general partner, managing member, officer, employee, agent or fiduciary of the Company or any other Enterprise, the Company waives any right of contribution or subrogation against the Secondary Indemnitors with respect to the liabilities for which the Company is primarily responsible under this Section 13. In the event of any payment by the Secondary Indemnitors of amounts otherwise required to be indemnified or advanced by the Company under the Company’s certificate of incorporation or bylaws or this Agreement, the Secondary Indemnitors shall be subrogated to the extent of such payment to all of the rights of recovery of Indemnitee for indemnification or advancement of expenses under the Company’s certificate of incorporation or bylaws or this Agreement or, to the extent such subrogation is unavailable and contribution is found to be the applicable remedy, shall have a right of contribution with respect to the amounts paid. The Secondary Indemnitors are express third-party beneficiaries of the terms of this Section 13.</w:t>
      </w:r>
    </w:p>
    <w:p>
      <w:pPr>
        <w:spacing w:after="0" w:line="111" w:lineRule="exact"/>
        <w:rPr>
          <w:rFonts w:ascii="Arial" w:cs="Arial" w:eastAsia="Arial" w:hAnsi="Arial"/>
          <w:sz w:val="18"/>
          <w:szCs w:val="18"/>
          <w:b w:val="1"/>
          <w:bCs w:val="1"/>
          <w:color w:val="auto"/>
        </w:rPr>
      </w:pPr>
    </w:p>
    <w:p>
      <w:pPr>
        <w:jc w:val="both"/>
        <w:ind w:firstLine="656"/>
        <w:spacing w:after="0" w:line="294" w:lineRule="auto"/>
        <w:tabs>
          <w:tab w:leader="none" w:pos="1287"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No Duplication of Payments</w:t>
      </w:r>
      <w:r>
        <w:rPr>
          <w:rFonts w:ascii="Arial" w:cs="Arial" w:eastAsia="Arial" w:hAnsi="Arial"/>
          <w:sz w:val="18"/>
          <w:szCs w:val="18"/>
          <w:color w:val="auto"/>
        </w:rPr>
        <w:t>. Subject to Section 13, the Company shall not be liable under this Agreement to make any</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amounts otherwise indemnifiable hereunder (or for which advancement is provided hereunder) if and to the extent that Indemnitee has otherwise actually received payment for such amounts under any insurance policy, contract, agreement or otherwise.</w:t>
      </w:r>
    </w:p>
    <w:p>
      <w:pPr>
        <w:spacing w:after="0" w:line="89" w:lineRule="exact"/>
        <w:rPr>
          <w:rFonts w:ascii="Arial" w:cs="Arial" w:eastAsia="Arial" w:hAnsi="Arial"/>
          <w:sz w:val="18"/>
          <w:szCs w:val="18"/>
          <w:b w:val="1"/>
          <w:bCs w:val="1"/>
          <w:color w:val="auto"/>
        </w:rPr>
      </w:pPr>
    </w:p>
    <w:p>
      <w:pPr>
        <w:jc w:val="both"/>
        <w:ind w:firstLine="656"/>
        <w:spacing w:after="0" w:line="248" w:lineRule="auto"/>
        <w:tabs>
          <w:tab w:leader="none" w:pos="1287" w:val="left"/>
        </w:tabs>
        <w:numPr>
          <w:ilvl w:val="0"/>
          <w:numId w:val="323"/>
        </w:numPr>
        <w:rPr>
          <w:rFonts w:ascii="Arial" w:cs="Arial" w:eastAsia="Arial" w:hAnsi="Arial"/>
          <w:sz w:val="20"/>
          <w:szCs w:val="20"/>
          <w:b w:val="1"/>
          <w:bCs w:val="1"/>
          <w:color w:val="auto"/>
        </w:rPr>
      </w:pPr>
      <w:r>
        <w:rPr>
          <w:rFonts w:ascii="Arial" w:cs="Arial" w:eastAsia="Arial" w:hAnsi="Arial"/>
          <w:sz w:val="20"/>
          <w:szCs w:val="20"/>
          <w:b w:val="1"/>
          <w:bCs w:val="1"/>
          <w:color w:val="auto"/>
        </w:rPr>
        <w:t>Insurance</w:t>
      </w:r>
      <w:r>
        <w:rPr>
          <w:rFonts w:ascii="Arial" w:cs="Arial" w:eastAsia="Arial" w:hAnsi="Arial"/>
          <w:sz w:val="20"/>
          <w:szCs w:val="20"/>
          <w:color w:val="auto"/>
        </w:rPr>
        <w:t>. To the extent that the Company maintains an insurance policy or policies providing liability insurance for</w:t>
      </w:r>
      <w:r>
        <w:rPr>
          <w:rFonts w:ascii="Arial" w:cs="Arial" w:eastAsia="Arial" w:hAnsi="Arial"/>
          <w:sz w:val="20"/>
          <w:szCs w:val="20"/>
          <w:b w:val="1"/>
          <w:bCs w:val="1"/>
          <w:color w:val="auto"/>
        </w:rPr>
        <w:t xml:space="preserve"> </w:t>
      </w:r>
      <w:r>
        <w:rPr>
          <w:rFonts w:ascii="Arial" w:cs="Arial" w:eastAsia="Arial" w:hAnsi="Arial"/>
          <w:sz w:val="20"/>
          <w:szCs w:val="20"/>
          <w:color w:val="auto"/>
        </w:rPr>
        <w:t>directors, trustees, general partners, managing members, officers, employees, agents or fiduciaries of the Company or any other Enterprise, Indemnitee shall be covered by such policy or policies to the same extent as the most favorably-insured persons under such policy or policies in a comparable position.</w:t>
      </w:r>
    </w:p>
    <w:p>
      <w:pPr>
        <w:spacing w:after="0" w:line="129" w:lineRule="exact"/>
        <w:rPr>
          <w:rFonts w:ascii="Arial" w:cs="Arial" w:eastAsia="Arial" w:hAnsi="Arial"/>
          <w:sz w:val="20"/>
          <w:szCs w:val="20"/>
          <w:b w:val="1"/>
          <w:bCs w:val="1"/>
          <w:color w:val="auto"/>
        </w:rPr>
      </w:pPr>
    </w:p>
    <w:p>
      <w:pPr>
        <w:jc w:val="both"/>
        <w:ind w:firstLine="656"/>
        <w:spacing w:after="0" w:line="294" w:lineRule="auto"/>
        <w:tabs>
          <w:tab w:leader="none" w:pos="1287"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Subrogation</w:t>
      </w:r>
      <w:r>
        <w:rPr>
          <w:rFonts w:ascii="Arial" w:cs="Arial" w:eastAsia="Arial" w:hAnsi="Arial"/>
          <w:sz w:val="18"/>
          <w:szCs w:val="18"/>
          <w:color w:val="auto"/>
        </w:rPr>
        <w:t>. Subject to Section 13, in the event of any payment under this Agreement, the Company shall be subrogated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89" w:lineRule="exact"/>
        <w:rPr>
          <w:rFonts w:ascii="Arial" w:cs="Arial" w:eastAsia="Arial" w:hAnsi="Arial"/>
          <w:sz w:val="18"/>
          <w:szCs w:val="18"/>
          <w:b w:val="1"/>
          <w:bCs w:val="1"/>
          <w:color w:val="auto"/>
        </w:rPr>
      </w:pPr>
    </w:p>
    <w:p>
      <w:pPr>
        <w:jc w:val="both"/>
        <w:ind w:firstLine="656"/>
        <w:spacing w:after="0" w:line="277" w:lineRule="auto"/>
        <w:tabs>
          <w:tab w:leader="none" w:pos="1287"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Services to the Company</w:t>
      </w:r>
      <w:r>
        <w:rPr>
          <w:rFonts w:ascii="Arial" w:cs="Arial" w:eastAsia="Arial" w:hAnsi="Arial"/>
          <w:sz w:val="18"/>
          <w:szCs w:val="18"/>
          <w:color w:val="auto"/>
        </w:rPr>
        <w:t>. Indemnitee agrees to serve as a director or officer of the Company or, at the request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as a director, trustee, general partner, managing member, officer, employee, agent or fiduciary of another Enterprise, for so long as Indemnitee is duly elected or appointed or until Indemnitee tenders his or her resignation or is removed from such position. Indemnitee may at any time and for any reason resign from such position (subject to any other contractual obligation or any obligation imposed by operation of law), in which event the Company shall have no obligation under this Agreement to continue Indemnitee in such position. This Agreement shall not be deemed an employment contract between the Company (or any of its subsidiaries or any Enterprise) and Indemnitee.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19" w:right="339" w:bottom="1440" w:gutter="0" w:footer="0" w:header="0"/>
        </w:sectPr>
      </w:pPr>
    </w:p>
    <w:bookmarkStart w:id="375" w:name="page376"/>
    <w:bookmarkEnd w:id="375"/>
    <w:p>
      <w:pPr>
        <w:jc w:val="both"/>
        <w:spacing w:after="0" w:line="243" w:lineRule="auto"/>
        <w:rPr>
          <w:sz w:val="20"/>
          <w:szCs w:val="20"/>
          <w:color w:val="auto"/>
        </w:rPr>
      </w:pPr>
      <w:r>
        <w:rPr>
          <w:rFonts w:ascii="Arial" w:cs="Arial" w:eastAsia="Arial" w:hAnsi="Arial"/>
          <w:sz w:val="20"/>
          <w:szCs w:val="20"/>
          <w:color w:val="auto"/>
        </w:rPr>
        <w:t>Indemnitee specifically acknowledges that any employment with the Company (or any of its subsidiaries or any Enterprise) is at will, and Indemnitee may be discharged at any time for any reason, with or without cause, with or without notice, except as may be otherwise expressly provided in any executed, written employment contract between Indemnitee and the Company (or any of its subsidiaries or any Enterprise), any existing formal severance policies adopted by the Company’s board of directors or, with respect to service as a director or officer of the Company, the Company’s certificate of incorporation or bylaws or the DGCL. No such document shall be subject to any oral modification thereof.</w:t>
      </w:r>
    </w:p>
    <w:p>
      <w:pPr>
        <w:spacing w:after="0" w:line="136" w:lineRule="exact"/>
        <w:rPr>
          <w:sz w:val="20"/>
          <w:szCs w:val="20"/>
          <w:color w:val="auto"/>
        </w:rPr>
      </w:pPr>
    </w:p>
    <w:p>
      <w:pPr>
        <w:jc w:val="both"/>
        <w:ind w:firstLine="656"/>
        <w:spacing w:after="0" w:line="262" w:lineRule="auto"/>
        <w:tabs>
          <w:tab w:leader="none" w:pos="1287" w:val="left"/>
        </w:tabs>
        <w:numPr>
          <w:ilvl w:val="0"/>
          <w:numId w:val="324"/>
        </w:numPr>
        <w:rPr>
          <w:rFonts w:ascii="Arial" w:cs="Arial" w:eastAsia="Arial" w:hAnsi="Arial"/>
          <w:sz w:val="19"/>
          <w:szCs w:val="19"/>
          <w:b w:val="1"/>
          <w:bCs w:val="1"/>
          <w:color w:val="auto"/>
        </w:rPr>
      </w:pPr>
      <w:r>
        <w:rPr>
          <w:rFonts w:ascii="Arial" w:cs="Arial" w:eastAsia="Arial" w:hAnsi="Arial"/>
          <w:sz w:val="19"/>
          <w:szCs w:val="19"/>
          <w:b w:val="1"/>
          <w:bCs w:val="1"/>
          <w:color w:val="auto"/>
        </w:rPr>
        <w:t>Duration</w:t>
      </w:r>
      <w:r>
        <w:rPr>
          <w:rFonts w:ascii="Arial" w:cs="Arial" w:eastAsia="Arial" w:hAnsi="Arial"/>
          <w:sz w:val="19"/>
          <w:szCs w:val="19"/>
          <w:color w:val="auto"/>
        </w:rPr>
        <w:t>. This Agreement shall continue until and terminate upon the later of (a) ten years after the date that Indemnitee</w:t>
      </w:r>
      <w:r>
        <w:rPr>
          <w:rFonts w:ascii="Arial" w:cs="Arial" w:eastAsia="Arial" w:hAnsi="Arial"/>
          <w:sz w:val="19"/>
          <w:szCs w:val="19"/>
          <w:b w:val="1"/>
          <w:bCs w:val="1"/>
          <w:color w:val="auto"/>
        </w:rPr>
        <w:t xml:space="preserve"> </w:t>
      </w:r>
      <w:r>
        <w:rPr>
          <w:rFonts w:ascii="Arial" w:cs="Arial" w:eastAsia="Arial" w:hAnsi="Arial"/>
          <w:sz w:val="19"/>
          <w:szCs w:val="19"/>
          <w:color w:val="auto"/>
        </w:rPr>
        <w:t>shall have ceased to serve as a director or officer of the Company or as a director, trustee, general partner, managing member, officer, employee, agent or fiduciary of any other Enterprise, as applicable; or (b) one year after the final termination of any Proceeding, including any appeal, then pending in respect of which Indemnitee is granted rights of indemnification or advancement of Expenses hereunder and of any Proceeding commenced by Indemnitee pursuant to Section 10 relating thereto.</w:t>
      </w:r>
    </w:p>
    <w:p>
      <w:pPr>
        <w:spacing w:after="0" w:line="116" w:lineRule="exact"/>
        <w:rPr>
          <w:rFonts w:ascii="Arial" w:cs="Arial" w:eastAsia="Arial" w:hAnsi="Arial"/>
          <w:sz w:val="19"/>
          <w:szCs w:val="19"/>
          <w:b w:val="1"/>
          <w:bCs w:val="1"/>
          <w:color w:val="auto"/>
        </w:rPr>
      </w:pPr>
    </w:p>
    <w:p>
      <w:pPr>
        <w:jc w:val="both"/>
        <w:ind w:firstLine="656"/>
        <w:spacing w:after="0" w:line="277" w:lineRule="auto"/>
        <w:tabs>
          <w:tab w:leader="none" w:pos="1287"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Successors</w:t>
      </w:r>
      <w:r>
        <w:rPr>
          <w:rFonts w:ascii="Arial" w:cs="Arial" w:eastAsia="Arial" w:hAnsi="Arial"/>
          <w:sz w:val="18"/>
          <w:szCs w:val="18"/>
          <w:color w:val="auto"/>
        </w:rPr>
        <w:t>. This Agreement shall be binding upon the Company and its successors and assigns, including any direct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 successor, by purchase, merger, consolidation or otherwise, to all or substantially all of the business or assets of the Company, and shall inure to the benefit of Indemnitee and Indemnitee’s heirs, executors and administrators. Further, the Company shall require and cause any successor (whether direct or indirect by purchase, merger, consolidation or otherwise) to all or substantially all of the business or assets of the Company, by written agreement, expressly to assume and agree to perform this Agreement in the same manner and to the same extent that the Company would be required to perform if no such succession had taken place.</w:t>
      </w:r>
    </w:p>
    <w:p>
      <w:pPr>
        <w:spacing w:after="0" w:line="105" w:lineRule="exact"/>
        <w:rPr>
          <w:rFonts w:ascii="Arial" w:cs="Arial" w:eastAsia="Arial" w:hAnsi="Arial"/>
          <w:sz w:val="18"/>
          <w:szCs w:val="18"/>
          <w:b w:val="1"/>
          <w:bCs w:val="1"/>
          <w:color w:val="auto"/>
        </w:rPr>
      </w:pPr>
    </w:p>
    <w:p>
      <w:pPr>
        <w:jc w:val="both"/>
        <w:ind w:firstLine="656"/>
        <w:spacing w:after="0" w:line="256" w:lineRule="auto"/>
        <w:tabs>
          <w:tab w:leader="none" w:pos="1287" w:val="left"/>
        </w:tabs>
        <w:numPr>
          <w:ilvl w:val="0"/>
          <w:numId w:val="324"/>
        </w:numPr>
        <w:rPr>
          <w:rFonts w:ascii="Arial" w:cs="Arial" w:eastAsia="Arial" w:hAnsi="Arial"/>
          <w:sz w:val="19"/>
          <w:szCs w:val="19"/>
          <w:b w:val="1"/>
          <w:bCs w:val="1"/>
          <w:color w:val="auto"/>
        </w:rPr>
      </w:pPr>
      <w:r>
        <w:rPr>
          <w:rFonts w:ascii="Arial" w:cs="Arial" w:eastAsia="Arial" w:hAnsi="Arial"/>
          <w:sz w:val="19"/>
          <w:szCs w:val="19"/>
          <w:b w:val="1"/>
          <w:bCs w:val="1"/>
          <w:color w:val="auto"/>
        </w:rPr>
        <w:t>Severability</w:t>
      </w:r>
      <w:r>
        <w:rPr>
          <w:rFonts w:ascii="Arial" w:cs="Arial" w:eastAsia="Arial" w:hAnsi="Arial"/>
          <w:sz w:val="19"/>
          <w:szCs w:val="19"/>
          <w:color w:val="auto"/>
        </w:rPr>
        <w:t>. Nothing in this Agreement is intended to require or shall be construed as requiring the Company to do or fail to</w:t>
      </w:r>
      <w:r>
        <w:rPr>
          <w:rFonts w:ascii="Arial" w:cs="Arial" w:eastAsia="Arial" w:hAnsi="Arial"/>
          <w:sz w:val="19"/>
          <w:szCs w:val="19"/>
          <w:b w:val="1"/>
          <w:bCs w:val="1"/>
          <w:color w:val="auto"/>
        </w:rPr>
        <w:t xml:space="preserve"> </w:t>
      </w:r>
      <w:r>
        <w:rPr>
          <w:rFonts w:ascii="Arial" w:cs="Arial" w:eastAsia="Arial" w:hAnsi="Arial"/>
          <w:sz w:val="19"/>
          <w:szCs w:val="19"/>
          <w:color w:val="auto"/>
        </w:rPr>
        <w:t>do any act in violation of applicable law. The Company’s inability, pursuant to court order or other applicable law, to perform its obligations under this Agreement shall not constitute a breach of this Agreement. If any provision or provisions of this Agreement shall be held to be invalid, illegal or unenforceable for any reason whatsoever: (i)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(ii) such provision or provisions shall be deemed reformed to the extent necessary to conform to applicable law and to give the maximum effect to the intent of the parties hereto; and (iii)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22" w:lineRule="exact"/>
        <w:rPr>
          <w:rFonts w:ascii="Arial" w:cs="Arial" w:eastAsia="Arial" w:hAnsi="Arial"/>
          <w:sz w:val="19"/>
          <w:szCs w:val="19"/>
          <w:b w:val="1"/>
          <w:bCs w:val="1"/>
          <w:color w:val="auto"/>
        </w:rPr>
      </w:pPr>
    </w:p>
    <w:p>
      <w:pPr>
        <w:jc w:val="both"/>
        <w:ind w:firstLine="656"/>
        <w:spacing w:after="0" w:line="272" w:lineRule="auto"/>
        <w:tabs>
          <w:tab w:leader="none" w:pos="1287" w:val="left"/>
        </w:tabs>
        <w:numPr>
          <w:ilvl w:val="0"/>
          <w:numId w:val="324"/>
        </w:numPr>
        <w:rPr>
          <w:rFonts w:ascii="Arial" w:cs="Arial" w:eastAsia="Arial" w:hAnsi="Arial"/>
          <w:sz w:val="19"/>
          <w:szCs w:val="19"/>
          <w:b w:val="1"/>
          <w:bCs w:val="1"/>
          <w:color w:val="auto"/>
        </w:rPr>
      </w:pPr>
      <w:r>
        <w:rPr>
          <w:rFonts w:ascii="Arial" w:cs="Arial" w:eastAsia="Arial" w:hAnsi="Arial"/>
          <w:sz w:val="19"/>
          <w:szCs w:val="19"/>
          <w:b w:val="1"/>
          <w:bCs w:val="1"/>
          <w:color w:val="auto"/>
        </w:rPr>
        <w:t>Enforcement</w:t>
      </w:r>
      <w:r>
        <w:rPr>
          <w:rFonts w:ascii="Arial" w:cs="Arial" w:eastAsia="Arial" w:hAnsi="Arial"/>
          <w:sz w:val="19"/>
          <w:szCs w:val="19"/>
          <w:color w:val="auto"/>
        </w:rPr>
        <w:t>. The Company expressly confirms and agrees that it has entered into this Agreement and assumed the</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obligations imposed on it hereby in order to induce Indemnitee to serve as a director or officer of the Company, and the Company acknowledges that Indemnitee is relying upon this Agreement in serving as a director or officer of the Company.</w:t>
      </w:r>
    </w:p>
    <w:p>
      <w:pPr>
        <w:spacing w:after="0" w:line="107" w:lineRule="exact"/>
        <w:rPr>
          <w:rFonts w:ascii="Arial" w:cs="Arial" w:eastAsia="Arial" w:hAnsi="Arial"/>
          <w:sz w:val="19"/>
          <w:szCs w:val="19"/>
          <w:b w:val="1"/>
          <w:bCs w:val="1"/>
          <w:color w:val="auto"/>
        </w:rPr>
      </w:pPr>
    </w:p>
    <w:p>
      <w:pPr>
        <w:jc w:val="both"/>
        <w:ind w:firstLine="656"/>
        <w:spacing w:after="0" w:line="265" w:lineRule="auto"/>
        <w:tabs>
          <w:tab w:leader="none" w:pos="1287" w:val="left"/>
        </w:tabs>
        <w:numPr>
          <w:ilvl w:val="0"/>
          <w:numId w:val="324"/>
        </w:numPr>
        <w:rPr>
          <w:rFonts w:ascii="Arial" w:cs="Arial" w:eastAsia="Arial" w:hAnsi="Arial"/>
          <w:sz w:val="19"/>
          <w:szCs w:val="19"/>
          <w:b w:val="1"/>
          <w:bCs w:val="1"/>
          <w:color w:val="auto"/>
        </w:rPr>
      </w:pPr>
      <w:r>
        <w:rPr>
          <w:rFonts w:ascii="Arial" w:cs="Arial" w:eastAsia="Arial" w:hAnsi="Arial"/>
          <w:sz w:val="19"/>
          <w:szCs w:val="19"/>
          <w:b w:val="1"/>
          <w:bCs w:val="1"/>
          <w:color w:val="auto"/>
        </w:rPr>
        <w:t>Entire Agreement</w:t>
      </w:r>
      <w:r>
        <w:rPr>
          <w:rFonts w:ascii="Arial" w:cs="Arial" w:eastAsia="Arial" w:hAnsi="Arial"/>
          <w:sz w:val="19"/>
          <w:szCs w:val="19"/>
          <w:color w:val="auto"/>
        </w:rPr>
        <w:t>. This Agreement constitutes the entire agreement between the parties hereto with respect to the subject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matter hereof and supersedes all prior agreements and understandings, oral, written and implied, between the parties hereto with respect to the subject matter hereof, including but not limited to the Prior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this Agreement is a supplement to and in furtherance of the Company’s certificate of incorporation and bylaws and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19" w:right="339" w:bottom="1440" w:gutter="0" w:footer="0" w:header="0"/>
        </w:sectPr>
      </w:pPr>
    </w:p>
    <w:bookmarkStart w:id="376" w:name="page377"/>
    <w:bookmarkEnd w:id="376"/>
    <w:p>
      <w:pPr>
        <w:jc w:val="both"/>
        <w:ind w:firstLine="656"/>
        <w:spacing w:after="0" w:line="246" w:lineRule="auto"/>
        <w:tabs>
          <w:tab w:leader="none" w:pos="1287" w:val="left"/>
        </w:tabs>
        <w:numPr>
          <w:ilvl w:val="0"/>
          <w:numId w:val="325"/>
        </w:numPr>
        <w:rPr>
          <w:rFonts w:ascii="Arial" w:cs="Arial" w:eastAsia="Arial" w:hAnsi="Arial"/>
          <w:sz w:val="20"/>
          <w:szCs w:val="20"/>
          <w:b w:val="1"/>
          <w:bCs w:val="1"/>
          <w:color w:val="auto"/>
        </w:rPr>
      </w:pPr>
      <w:r>
        <w:rPr>
          <w:rFonts w:ascii="Arial" w:cs="Arial" w:eastAsia="Arial" w:hAnsi="Arial"/>
          <w:sz w:val="20"/>
          <w:szCs w:val="20"/>
          <w:b w:val="1"/>
          <w:bCs w:val="1"/>
          <w:color w:val="auto"/>
        </w:rPr>
        <w:t>Modification and Waiver</w:t>
      </w:r>
      <w:r>
        <w:rPr>
          <w:rFonts w:ascii="Arial" w:cs="Arial" w:eastAsia="Arial" w:hAnsi="Arial"/>
          <w:sz w:val="20"/>
          <w:szCs w:val="20"/>
          <w:color w:val="auto"/>
        </w:rPr>
        <w:t>. No supplement, modification or amendment to this Agreement shall be binding unless executed</w:t>
      </w:r>
      <w:r>
        <w:rPr>
          <w:rFonts w:ascii="Arial" w:cs="Arial" w:eastAsia="Arial" w:hAnsi="Arial"/>
          <w:sz w:val="20"/>
          <w:szCs w:val="20"/>
          <w:b w:val="1"/>
          <w:bCs w:val="1"/>
          <w:color w:val="auto"/>
        </w:rPr>
        <w:t xml:space="preserve"> </w:t>
      </w:r>
      <w:r>
        <w:rPr>
          <w:rFonts w:ascii="Arial" w:cs="Arial" w:eastAsia="Arial" w:hAnsi="Arial"/>
          <w:sz w:val="20"/>
          <w:szCs w:val="20"/>
          <w:color w:val="auto"/>
        </w:rPr>
        <w:t>in writing by the parties hereto. No amendment, alteration or repeal of this Agreement shall adversely affect any right of Indemnitee under this Agreement in respect of any action taken or omitted by such Indemnitee in his or her Corporate Status prior to such amendment, alteration or repeal. No waiver of any of the provisions of this Agreement shall constitute or be deemed a waiver of any other provision of this Agreement nor shall any waiver constitute a continuing waiver.</w:t>
      </w:r>
    </w:p>
    <w:p>
      <w:pPr>
        <w:spacing w:after="0" w:line="130" w:lineRule="exact"/>
        <w:rPr>
          <w:rFonts w:ascii="Arial" w:cs="Arial" w:eastAsia="Arial" w:hAnsi="Arial"/>
          <w:sz w:val="20"/>
          <w:szCs w:val="20"/>
          <w:b w:val="1"/>
          <w:bCs w:val="1"/>
          <w:color w:val="auto"/>
        </w:rPr>
      </w:pPr>
    </w:p>
    <w:p>
      <w:pPr>
        <w:jc w:val="both"/>
        <w:ind w:firstLine="656"/>
        <w:spacing w:after="0" w:line="253" w:lineRule="auto"/>
        <w:tabs>
          <w:tab w:leader="none" w:pos="1287" w:val="left"/>
        </w:tabs>
        <w:numPr>
          <w:ilvl w:val="0"/>
          <w:numId w:val="325"/>
        </w:numPr>
        <w:rPr>
          <w:rFonts w:ascii="Arial" w:cs="Arial" w:eastAsia="Arial" w:hAnsi="Arial"/>
          <w:sz w:val="20"/>
          <w:szCs w:val="20"/>
          <w:b w:val="1"/>
          <w:bCs w:val="1"/>
          <w:color w:val="auto"/>
        </w:rPr>
      </w:pPr>
      <w:r>
        <w:rPr>
          <w:rFonts w:ascii="Arial" w:cs="Arial" w:eastAsia="Arial" w:hAnsi="Arial"/>
          <w:sz w:val="20"/>
          <w:szCs w:val="20"/>
          <w:b w:val="1"/>
          <w:bCs w:val="1"/>
          <w:color w:val="auto"/>
        </w:rPr>
        <w:t>Notices</w:t>
      </w:r>
      <w:r>
        <w:rPr>
          <w:rFonts w:ascii="Arial" w:cs="Arial" w:eastAsia="Arial" w:hAnsi="Arial"/>
          <w:sz w:val="20"/>
          <w:szCs w:val="20"/>
          <w:color w:val="auto"/>
        </w:rPr>
        <w:t>. All notices and other communications required or permitted hereunder shall be in writing and shall be mailed by</w:t>
      </w:r>
      <w:r>
        <w:rPr>
          <w:rFonts w:ascii="Arial" w:cs="Arial" w:eastAsia="Arial" w:hAnsi="Arial"/>
          <w:sz w:val="20"/>
          <w:szCs w:val="20"/>
          <w:b w:val="1"/>
          <w:bCs w:val="1"/>
          <w:color w:val="auto"/>
        </w:rPr>
        <w:t xml:space="preserve"> </w:t>
      </w:r>
      <w:r>
        <w:rPr>
          <w:rFonts w:ascii="Arial" w:cs="Arial" w:eastAsia="Arial" w:hAnsi="Arial"/>
          <w:sz w:val="20"/>
          <w:szCs w:val="20"/>
          <w:color w:val="auto"/>
        </w:rPr>
        <w:t>registered or certified mail, postage prepaid, sent by facsimile or electronic mail or otherwise delivered by hand, messenger or courier service addressed:</w:t>
      </w:r>
    </w:p>
    <w:p>
      <w:pPr>
        <w:spacing w:after="0" w:line="129" w:lineRule="exact"/>
        <w:rPr>
          <w:rFonts w:ascii="Arial" w:cs="Arial" w:eastAsia="Arial" w:hAnsi="Arial"/>
          <w:sz w:val="20"/>
          <w:szCs w:val="20"/>
          <w:b w:val="1"/>
          <w:bCs w:val="1"/>
          <w:color w:val="auto"/>
        </w:rPr>
      </w:pPr>
    </w:p>
    <w:p>
      <w:pPr>
        <w:ind w:firstLine="1304"/>
        <w:spacing w:after="0" w:line="260" w:lineRule="auto"/>
        <w:tabs>
          <w:tab w:leader="none" w:pos="1932" w:val="left"/>
        </w:tabs>
        <w:numPr>
          <w:ilvl w:val="1"/>
          <w:numId w:val="325"/>
        </w:numPr>
        <w:rPr>
          <w:rFonts w:ascii="Arial" w:cs="Arial" w:eastAsia="Arial" w:hAnsi="Arial"/>
          <w:sz w:val="20"/>
          <w:szCs w:val="20"/>
          <w:b w:val="1"/>
          <w:bCs w:val="1"/>
          <w:color w:val="auto"/>
        </w:rPr>
      </w:pPr>
      <w:r>
        <w:rPr>
          <w:rFonts w:ascii="Arial" w:cs="Arial" w:eastAsia="Arial" w:hAnsi="Arial"/>
          <w:sz w:val="20"/>
          <w:szCs w:val="20"/>
          <w:color w:val="auto"/>
        </w:rPr>
        <w:t>if to Indemnitee, to Indemnitee’s address, facsimile number or electronic mail address as shown on the signature page of this Agreement or in the Company’s records, as may be updated in accordance with the provisions hereof; or</w:t>
      </w:r>
    </w:p>
    <w:p>
      <w:pPr>
        <w:spacing w:after="0" w:line="122" w:lineRule="exact"/>
        <w:rPr>
          <w:rFonts w:ascii="Arial" w:cs="Arial" w:eastAsia="Arial" w:hAnsi="Arial"/>
          <w:sz w:val="20"/>
          <w:szCs w:val="20"/>
          <w:b w:val="1"/>
          <w:bCs w:val="1"/>
          <w:color w:val="auto"/>
        </w:rPr>
      </w:pPr>
    </w:p>
    <w:p>
      <w:pPr>
        <w:ind w:firstLine="1304"/>
        <w:spacing w:after="0" w:line="260" w:lineRule="auto"/>
        <w:tabs>
          <w:tab w:leader="none" w:pos="1943" w:val="left"/>
        </w:tabs>
        <w:numPr>
          <w:ilvl w:val="1"/>
          <w:numId w:val="325"/>
        </w:numPr>
        <w:rPr>
          <w:rFonts w:ascii="Arial" w:cs="Arial" w:eastAsia="Arial" w:hAnsi="Arial"/>
          <w:sz w:val="20"/>
          <w:szCs w:val="20"/>
          <w:b w:val="1"/>
          <w:bCs w:val="1"/>
          <w:color w:val="auto"/>
        </w:rPr>
      </w:pPr>
      <w:r>
        <w:rPr>
          <w:rFonts w:ascii="Arial" w:cs="Arial" w:eastAsia="Arial" w:hAnsi="Arial"/>
          <w:sz w:val="20"/>
          <w:szCs w:val="20"/>
          <w:color w:val="auto"/>
        </w:rPr>
        <w:t>if to the Company, to [875 Stevenson St, San Francisco, CA 94103]; Attention: General Counsel or at such other current address as the Company shall have furnished to Indemnitee.</w:t>
      </w:r>
    </w:p>
    <w:p>
      <w:pPr>
        <w:spacing w:after="0" w:line="12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Each such notice or other communication shall for all purposes of this Agreement be treated as effective or having been given (i) if delivered by hand, messenger or courier service, when delivered (or if sent </w:t>
      </w:r>
      <w:r>
        <w:rPr>
          <w:rFonts w:ascii="Arial" w:cs="Arial" w:eastAsia="Arial" w:hAnsi="Arial"/>
          <w:sz w:val="19"/>
          <w:szCs w:val="19"/>
          <w:i w:val="1"/>
          <w:iCs w:val="1"/>
          <w:color w:val="auto"/>
        </w:rPr>
        <w:t>via</w:t>
      </w:r>
      <w:r>
        <w:rPr>
          <w:rFonts w:ascii="Arial" w:cs="Arial" w:eastAsia="Arial" w:hAnsi="Arial"/>
          <w:sz w:val="19"/>
          <w:szCs w:val="19"/>
          <w:color w:val="auto"/>
        </w:rPr>
        <w:t xml:space="preserve"> a nationally-recognized overnight courier service, freight prepaid, specifying next-business-day delivery, one business day after deposit with the courier), or (ii) if sent via mail, at the earlier of its receipt or five days after the same has been deposited in a regularly-maintained receptacle for the deposit of the United States mail, addressed and mailed as aforesaid, or (iii) if sent via facsimile, upon confirmation of facsimile transfer or, if sent via electronic mail, upon confirmation of delivery when directed to the relevant electronic mail address, if sent during normal business hours of the recipient, or if not sent during normal business hours of the recipient, then on the recipient’s next business day.</w:t>
      </w:r>
    </w:p>
    <w:p>
      <w:pPr>
        <w:spacing w:after="0" w:line="125" w:lineRule="exact"/>
        <w:rPr>
          <w:sz w:val="20"/>
          <w:szCs w:val="20"/>
          <w:color w:val="auto"/>
        </w:rPr>
      </w:pPr>
    </w:p>
    <w:p>
      <w:pPr>
        <w:jc w:val="both"/>
        <w:ind w:firstLine="656"/>
        <w:spacing w:after="0" w:line="270" w:lineRule="auto"/>
        <w:tabs>
          <w:tab w:leader="none" w:pos="1287" w:val="left"/>
        </w:tabs>
        <w:numPr>
          <w:ilvl w:val="1"/>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Law and Consent to Jurisdiction</w:t>
      </w:r>
      <w:r>
        <w:rPr>
          <w:rFonts w:ascii="Arial" w:cs="Arial" w:eastAsia="Arial" w:hAnsi="Arial"/>
          <w:sz w:val="18"/>
          <w:szCs w:val="18"/>
          <w:color w:val="auto"/>
        </w:rPr>
        <w:t>. This Agreement shall be governed by, and construed and enforced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laws of the State of Delaware, without regard to its conflict of laws rules. Except with respect to any arbitration commenced by Indemnitee pursuant to Section 10(a), the Company and Indemnitee hereby irrevocably and unconditionally (i) agree that any action or proceeding arising out of or in connection with this Agreement shall be brought only in the Delaware Court of Chancery, and not in any other state or federal court in the United States of America or any court in any other country, (ii) consent to submit to the exclusive jurisdiction of the Delaware Court of Chancery for purposes of any action or proceeding arising out of or in connection with this Agreement,</w:t>
      </w:r>
    </w:p>
    <w:p>
      <w:pPr>
        <w:spacing w:after="0" w:line="1" w:lineRule="exact"/>
        <w:rPr>
          <w:rFonts w:ascii="Arial" w:cs="Arial" w:eastAsia="Arial" w:hAnsi="Arial"/>
          <w:sz w:val="18"/>
          <w:szCs w:val="18"/>
          <w:b w:val="1"/>
          <w:bCs w:val="1"/>
          <w:color w:val="auto"/>
        </w:rPr>
      </w:pPr>
    </w:p>
    <w:p>
      <w:pPr>
        <w:jc w:val="both"/>
        <w:ind w:firstLine="8"/>
        <w:spacing w:after="0"/>
        <w:tabs>
          <w:tab w:leader="none" w:pos="349" w:val="left"/>
        </w:tabs>
        <w:numPr>
          <w:ilvl w:val="0"/>
          <w:numId w:val="327"/>
        </w:numPr>
        <w:rPr>
          <w:rFonts w:ascii="Arial" w:cs="Arial" w:eastAsia="Arial" w:hAnsi="Arial"/>
          <w:sz w:val="20"/>
          <w:szCs w:val="20"/>
          <w:color w:val="auto"/>
        </w:rPr>
      </w:pPr>
      <w:r>
        <w:rPr>
          <w:rFonts w:ascii="Arial" w:cs="Arial" w:eastAsia="Arial" w:hAnsi="Arial"/>
          <w:sz w:val="20"/>
          <w:szCs w:val="20"/>
          <w:color w:val="auto"/>
        </w:rPr>
        <w:t>appoint, to the extent such party is not otherwise subject to service of process in the State of Delaware, The Corporation Trust Company, Wilmington, Delaware as its agent in the State of Delaware as such party’s agent for acceptance of legal process in connection with any such action or proceeding against such party with the same legal force and validity as if served upon such party personally within the State of Delaware, (iv) waive any objection to the laying of venue of any such action or proceeding in the Delaware Court of Chancery, and (v) waive, and agree not to plead or to make, any claim that any such action or proceeding brought in the Delaware Court of Chancery has been brought in an improper or inconvenient forum.</w:t>
      </w:r>
    </w:p>
    <w:p>
      <w:pPr>
        <w:spacing w:after="0" w:line="137" w:lineRule="exact"/>
        <w:rPr>
          <w:rFonts w:ascii="Arial" w:cs="Arial" w:eastAsia="Arial" w:hAnsi="Arial"/>
          <w:sz w:val="20"/>
          <w:szCs w:val="20"/>
          <w:color w:val="auto"/>
        </w:rPr>
      </w:pPr>
    </w:p>
    <w:p>
      <w:pPr>
        <w:jc w:val="both"/>
        <w:ind w:firstLine="656"/>
        <w:spacing w:after="0" w:line="246" w:lineRule="auto"/>
        <w:tabs>
          <w:tab w:leader="none" w:pos="1287" w:val="left"/>
        </w:tabs>
        <w:numPr>
          <w:ilvl w:val="1"/>
          <w:numId w:val="327"/>
        </w:numPr>
        <w:rPr>
          <w:rFonts w:ascii="Arial" w:cs="Arial" w:eastAsia="Arial" w:hAnsi="Arial"/>
          <w:sz w:val="20"/>
          <w:szCs w:val="20"/>
          <w:b w:val="1"/>
          <w:bCs w:val="1"/>
          <w:color w:val="auto"/>
        </w:rPr>
      </w:pPr>
      <w:r>
        <w:rPr>
          <w:rFonts w:ascii="Arial" w:cs="Arial" w:eastAsia="Arial" w:hAnsi="Arial"/>
          <w:sz w:val="20"/>
          <w:szCs w:val="20"/>
          <w:b w:val="1"/>
          <w:bCs w:val="1"/>
          <w:color w:val="auto"/>
        </w:rPr>
        <w:t>Counterparts</w:t>
      </w:r>
      <w:r>
        <w:rPr>
          <w:rFonts w:ascii="Arial" w:cs="Arial" w:eastAsia="Arial" w:hAnsi="Arial"/>
          <w:sz w:val="20"/>
          <w:szCs w:val="20"/>
          <w:color w:val="auto"/>
        </w:rPr>
        <w:t>. This Agreement may be executed in one or more counterparts, each of which shall for all purposes be</w:t>
      </w:r>
      <w:r>
        <w:rPr>
          <w:rFonts w:ascii="Arial" w:cs="Arial" w:eastAsia="Arial" w:hAnsi="Arial"/>
          <w:sz w:val="20"/>
          <w:szCs w:val="20"/>
          <w:b w:val="1"/>
          <w:bCs w:val="1"/>
          <w:color w:val="auto"/>
        </w:rPr>
        <w:t xml:space="preserve"> </w:t>
      </w:r>
      <w:r>
        <w:rPr>
          <w:rFonts w:ascii="Arial" w:cs="Arial" w:eastAsia="Arial" w:hAnsi="Arial"/>
          <w:sz w:val="20"/>
          <w:szCs w:val="20"/>
          <w:color w:val="auto"/>
        </w:rPr>
        <w:t>deemed to be an original but all of which together shall constitute one and the same Agreement. This Agreement may also be executed and delivered by facsimile signature and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13" w:right="339" w:bottom="1440" w:gutter="0" w:footer="0" w:header="0"/>
        </w:sectPr>
      </w:pPr>
    </w:p>
    <w:bookmarkStart w:id="377" w:name="page378"/>
    <w:bookmarkEnd w:id="377"/>
    <w:p>
      <w:pPr>
        <w:ind w:left="-20" w:firstLine="656"/>
        <w:spacing w:after="0" w:line="267" w:lineRule="auto"/>
        <w:tabs>
          <w:tab w:leader="none" w:pos="1267" w:val="left"/>
        </w:tabs>
        <w:numPr>
          <w:ilvl w:val="0"/>
          <w:numId w:val="328"/>
        </w:numPr>
        <w:rPr>
          <w:rFonts w:ascii="Arial" w:cs="Arial" w:eastAsia="Arial" w:hAnsi="Arial"/>
          <w:sz w:val="20"/>
          <w:szCs w:val="20"/>
          <w:b w:val="1"/>
          <w:bCs w:val="1"/>
          <w:color w:val="auto"/>
        </w:rPr>
      </w:pPr>
      <w:r>
        <w:rPr>
          <w:rFonts w:ascii="Arial" w:cs="Arial" w:eastAsia="Arial" w:hAnsi="Arial"/>
          <w:sz w:val="20"/>
          <w:szCs w:val="20"/>
          <w:b w:val="1"/>
          <w:bCs w:val="1"/>
          <w:color w:val="auto"/>
        </w:rPr>
        <w:t>Captions</w:t>
      </w:r>
      <w:r>
        <w:rPr>
          <w:rFonts w:ascii="Arial" w:cs="Arial" w:eastAsia="Arial" w:hAnsi="Arial"/>
          <w:sz w:val="20"/>
          <w:szCs w:val="20"/>
          <w:color w:val="auto"/>
        </w:rPr>
        <w:t>. The headings of the paragraphs of this Agreement are inserted for convenience only and shall not be deemed to</w:t>
      </w:r>
      <w:r>
        <w:rPr>
          <w:rFonts w:ascii="Arial" w:cs="Arial" w:eastAsia="Arial" w:hAnsi="Arial"/>
          <w:sz w:val="20"/>
          <w:szCs w:val="20"/>
          <w:b w:val="1"/>
          <w:bCs w:val="1"/>
          <w:color w:val="auto"/>
        </w:rPr>
        <w:t xml:space="preserve"> </w:t>
      </w:r>
      <w:r>
        <w:rPr>
          <w:rFonts w:ascii="Arial" w:cs="Arial" w:eastAsia="Arial" w:hAnsi="Arial"/>
          <w:sz w:val="20"/>
          <w:szCs w:val="20"/>
          <w:color w:val="auto"/>
        </w:rPr>
        <w:t>constitute part of this Agreement or to affect the construction thereof.</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20"/>
          </w:cols>
          <w:pgMar w:left="340" w:top="1413" w:right="339" w:bottom="1440" w:gutter="0" w:footer="0" w:header="0"/>
        </w:sectPr>
      </w:pPr>
    </w:p>
    <w:bookmarkStart w:id="378" w:name="page379"/>
    <w:bookmarkEnd w:id="378"/>
    <w:p>
      <w:pPr>
        <w:spacing w:after="0"/>
        <w:rPr>
          <w:sz w:val="20"/>
          <w:szCs w:val="20"/>
          <w:color w:val="auto"/>
        </w:rPr>
      </w:pPr>
      <w:r>
        <w:rPr>
          <w:rFonts w:ascii="Arial" w:cs="Arial" w:eastAsia="Arial" w:hAnsi="Arial"/>
          <w:sz w:val="16"/>
          <w:szCs w:val="16"/>
          <w:color w:val="auto"/>
        </w:rPr>
        <w:t>The parties are signing this Indemnification Agreement as of the date stated in the introductory sentence.</w:t>
      </w:r>
    </w:p>
    <w:p>
      <w:pPr>
        <w:spacing w:after="0" w:line="264" w:lineRule="exact"/>
        <w:rPr>
          <w:sz w:val="20"/>
          <w:szCs w:val="20"/>
          <w:color w:val="auto"/>
        </w:rPr>
      </w:pPr>
    </w:p>
    <w:p>
      <w:pPr>
        <w:ind w:left="4940"/>
        <w:spacing w:after="0"/>
        <w:rPr>
          <w:sz w:val="20"/>
          <w:szCs w:val="20"/>
          <w:color w:val="auto"/>
        </w:rPr>
      </w:pPr>
      <w:r>
        <w:rPr>
          <w:rFonts w:ascii="Arial" w:cs="Arial" w:eastAsia="Arial" w:hAnsi="Arial"/>
          <w:sz w:val="20"/>
          <w:szCs w:val="20"/>
          <w:b w:val="1"/>
          <w:bCs w:val="1"/>
          <w:color w:val="auto"/>
        </w:rPr>
        <w:t>NERDWALLET, INC.</w:t>
      </w:r>
    </w:p>
    <w:p>
      <w:pPr>
        <w:spacing w:after="0" w:line="361"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19050</wp:posOffset>
            </wp:positionV>
            <wp:extent cx="24771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304"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19050</wp:posOffset>
            </wp:positionV>
            <wp:extent cx="21856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304"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3126105</wp:posOffset>
            </wp:positionH>
            <wp:positionV relativeFrom="paragraph">
              <wp:posOffset>430530</wp:posOffset>
            </wp:positionV>
            <wp:extent cx="278574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785745" cy="8890"/>
                    </a:xfrm>
                    <a:prstGeom prst="rect">
                      <a:avLst/>
                    </a:prstGeom>
                    <a:noFill/>
                  </pic:spPr>
                </pic:pic>
              </a:graphicData>
            </a:graphic>
          </wp:anchor>
        </w:drawing>
        <w:drawing>
          <wp:anchor simplePos="0" relativeHeight="251657728" behindDoc="1" locked="0" layoutInCell="0" allowOverlap="1">
            <wp:simplePos x="0" y="0"/>
            <wp:positionH relativeFrom="column">
              <wp:posOffset>3580765</wp:posOffset>
            </wp:positionH>
            <wp:positionV relativeFrom="paragraph">
              <wp:posOffset>19050</wp:posOffset>
            </wp:positionV>
            <wp:extent cx="23317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940"/>
        <w:spacing w:after="0"/>
        <w:rPr>
          <w:sz w:val="20"/>
          <w:szCs w:val="20"/>
          <w:color w:val="auto"/>
        </w:rPr>
      </w:pPr>
      <w:r>
        <w:rPr>
          <w:rFonts w:ascii="Arial" w:cs="Arial" w:eastAsia="Arial" w:hAnsi="Arial"/>
          <w:sz w:val="20"/>
          <w:szCs w:val="20"/>
          <w:b w:val="1"/>
          <w:bCs w:val="1"/>
          <w:color w:val="auto"/>
        </w:rPr>
        <w:t>[INDEMNITEE NAME]</w:t>
      </w:r>
    </w:p>
    <w:p>
      <w:pPr>
        <w:spacing w:after="0" w:line="361"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3923665</wp:posOffset>
            </wp:positionH>
            <wp:positionV relativeFrom="paragraph">
              <wp:posOffset>344805</wp:posOffset>
            </wp:positionV>
            <wp:extent cx="19888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988820" cy="825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19050</wp:posOffset>
            </wp:positionV>
            <wp:extent cx="19888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9479"/>
          </w:cols>
          <w:pgMar w:left="980" w:top="1419" w:right="1440" w:bottom="1440" w:gutter="0" w:footer="0" w:header="0"/>
        </w:sectPr>
      </w:pPr>
    </w:p>
    <w:bookmarkStart w:id="379" w:name="page380"/>
    <w:bookmarkEnd w:id="379"/>
    <w:p>
      <w:pPr>
        <w:jc w:val="right"/>
        <w:spacing w:after="0"/>
        <w:rPr>
          <w:sz w:val="20"/>
          <w:szCs w:val="20"/>
          <w:color w:val="auto"/>
        </w:rPr>
      </w:pPr>
      <w:r>
        <w:rPr>
          <w:rFonts w:ascii="Arial" w:cs="Arial" w:eastAsia="Arial" w:hAnsi="Arial"/>
          <w:sz w:val="18"/>
          <w:szCs w:val="18"/>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spacing w:after="0"/>
        <w:rPr>
          <w:sz w:val="20"/>
          <w:szCs w:val="20"/>
          <w:color w:val="auto"/>
        </w:rPr>
      </w:pPr>
      <w:r>
        <w:rPr>
          <w:rFonts w:ascii="Arial" w:cs="Arial" w:eastAsia="Arial" w:hAnsi="Arial"/>
          <w:sz w:val="20"/>
          <w:szCs w:val="20"/>
          <w:b w:val="1"/>
          <w:bCs w:val="1"/>
          <w:color w:val="auto"/>
        </w:rPr>
        <w:t>AMENDED AND RESTATED SENIOR SECURED CREDIT FACILITIES</w:t>
      </w:r>
    </w:p>
    <w:p>
      <w:pPr>
        <w:spacing w:after="0" w:line="200" w:lineRule="exact"/>
        <w:rPr>
          <w:sz w:val="20"/>
          <w:szCs w:val="20"/>
          <w:color w:val="auto"/>
        </w:rPr>
      </w:pPr>
    </w:p>
    <w:p>
      <w:pPr>
        <w:spacing w:after="0" w:line="245" w:lineRule="exact"/>
        <w:rPr>
          <w:sz w:val="20"/>
          <w:szCs w:val="20"/>
          <w:color w:val="auto"/>
        </w:rPr>
      </w:pPr>
    </w:p>
    <w:p>
      <w:pPr>
        <w:ind w:left="3440"/>
        <w:spacing w:after="0"/>
        <w:rPr>
          <w:sz w:val="20"/>
          <w:szCs w:val="20"/>
          <w:color w:val="auto"/>
        </w:rPr>
      </w:pPr>
      <w:r>
        <w:rPr>
          <w:rFonts w:ascii="Arial" w:cs="Arial" w:eastAsia="Arial" w:hAnsi="Arial"/>
          <w:sz w:val="20"/>
          <w:szCs w:val="20"/>
          <w:b w:val="1"/>
          <w:bCs w:val="1"/>
          <w:color w:val="auto"/>
        </w:rPr>
        <w:t>CREDIT AGREEMENT</w:t>
      </w:r>
    </w:p>
    <w:p>
      <w:pPr>
        <w:spacing w:after="0" w:line="200" w:lineRule="exact"/>
        <w:rPr>
          <w:sz w:val="20"/>
          <w:szCs w:val="20"/>
          <w:color w:val="auto"/>
        </w:rPr>
      </w:pPr>
    </w:p>
    <w:p>
      <w:pPr>
        <w:spacing w:after="0" w:line="265"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dated as of February 19, 2021,</w:t>
      </w:r>
    </w:p>
    <w:p>
      <w:pPr>
        <w:spacing w:after="0" w:line="216"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among</w:t>
      </w:r>
    </w:p>
    <w:p>
      <w:pPr>
        <w:spacing w:after="0" w:line="200" w:lineRule="exact"/>
        <w:rPr>
          <w:sz w:val="20"/>
          <w:szCs w:val="20"/>
          <w:color w:val="auto"/>
        </w:rPr>
      </w:pPr>
    </w:p>
    <w:p>
      <w:pPr>
        <w:spacing w:after="0" w:line="226"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NERDWALLET, INC.</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and</w:t>
      </w:r>
    </w:p>
    <w:p>
      <w:pPr>
        <w:jc w:val="center"/>
        <w:ind w:right="1100"/>
        <w:spacing w:after="0"/>
        <w:rPr>
          <w:sz w:val="20"/>
          <w:szCs w:val="20"/>
          <w:color w:val="auto"/>
        </w:rPr>
      </w:pPr>
      <w:r>
        <w:rPr>
          <w:rFonts w:ascii="Arial" w:cs="Arial" w:eastAsia="Arial" w:hAnsi="Arial"/>
          <w:sz w:val="20"/>
          <w:szCs w:val="20"/>
          <w:b w:val="1"/>
          <w:bCs w:val="1"/>
          <w:color w:val="auto"/>
        </w:rPr>
        <w:t>NERDWALLET COMPARE, INC.,</w:t>
      </w:r>
    </w:p>
    <w:p>
      <w:pPr>
        <w:spacing w:after="0" w:line="254"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jointly and severally, individually and collectively,</w:t>
      </w:r>
    </w:p>
    <w:p>
      <w:pPr>
        <w:spacing w:after="0" w:line="16"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as the Borrower,</w:t>
      </w:r>
    </w:p>
    <w:p>
      <w:pPr>
        <w:spacing w:after="0" w:line="194" w:lineRule="exact"/>
        <w:rPr>
          <w:sz w:val="20"/>
          <w:szCs w:val="20"/>
          <w:color w:val="auto"/>
        </w:rPr>
      </w:pPr>
    </w:p>
    <w:p>
      <w:pPr>
        <w:ind w:left="1420"/>
        <w:spacing w:after="0"/>
        <w:rPr>
          <w:sz w:val="20"/>
          <w:szCs w:val="20"/>
          <w:color w:val="auto"/>
        </w:rPr>
      </w:pPr>
      <w:r>
        <w:rPr>
          <w:rFonts w:ascii="Arial" w:cs="Arial" w:eastAsia="Arial" w:hAnsi="Arial"/>
          <w:sz w:val="20"/>
          <w:szCs w:val="20"/>
          <w:b w:val="1"/>
          <w:bCs w:val="1"/>
          <w:color w:val="auto"/>
        </w:rPr>
        <w:t>THE SEVERAL LENDERS FROM TIME TO TIME PARTY HERETO,</w:t>
      </w:r>
    </w:p>
    <w:p>
      <w:pPr>
        <w:spacing w:after="0" w:line="200" w:lineRule="exact"/>
        <w:rPr>
          <w:sz w:val="20"/>
          <w:szCs w:val="20"/>
          <w:color w:val="auto"/>
        </w:rPr>
      </w:pPr>
    </w:p>
    <w:p>
      <w:pPr>
        <w:spacing w:after="0" w:line="245" w:lineRule="exact"/>
        <w:rPr>
          <w:sz w:val="20"/>
          <w:szCs w:val="20"/>
          <w:color w:val="auto"/>
        </w:rPr>
      </w:pPr>
    </w:p>
    <w:p>
      <w:pPr>
        <w:ind w:left="3320"/>
        <w:spacing w:after="0"/>
        <w:rPr>
          <w:sz w:val="20"/>
          <w:szCs w:val="20"/>
          <w:color w:val="auto"/>
        </w:rPr>
      </w:pPr>
      <w:r>
        <w:rPr>
          <w:rFonts w:ascii="Arial" w:cs="Arial" w:eastAsia="Arial" w:hAnsi="Arial"/>
          <w:sz w:val="20"/>
          <w:szCs w:val="20"/>
          <w:b w:val="1"/>
          <w:bCs w:val="1"/>
          <w:color w:val="auto"/>
        </w:rPr>
        <w:t>SILICON VALLEY BANK,</w:t>
      </w:r>
    </w:p>
    <w:p>
      <w:pPr>
        <w:spacing w:after="0" w:line="200" w:lineRule="exact"/>
        <w:rPr>
          <w:sz w:val="20"/>
          <w:szCs w:val="20"/>
          <w:color w:val="auto"/>
        </w:rPr>
      </w:pPr>
    </w:p>
    <w:p>
      <w:pPr>
        <w:spacing w:after="0" w:line="265"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as Administrative Agent, Issuing Lender and Swingline Lender,</w:t>
      </w:r>
    </w:p>
    <w:p>
      <w:pPr>
        <w:spacing w:after="0" w:line="200" w:lineRule="exact"/>
        <w:rPr>
          <w:sz w:val="20"/>
          <w:szCs w:val="20"/>
          <w:color w:val="auto"/>
        </w:rPr>
      </w:pPr>
    </w:p>
    <w:p>
      <w:pPr>
        <w:spacing w:after="0" w:line="245"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and</w:t>
      </w:r>
    </w:p>
    <w:p>
      <w:pPr>
        <w:spacing w:after="0" w:line="210"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SILICON VALLEY BANK,</w:t>
      </w:r>
    </w:p>
    <w:p>
      <w:pPr>
        <w:spacing w:after="0" w:line="222" w:lineRule="exact"/>
        <w:rPr>
          <w:sz w:val="20"/>
          <w:szCs w:val="20"/>
          <w:color w:val="auto"/>
        </w:rPr>
      </w:pPr>
    </w:p>
    <w:p>
      <w:pPr>
        <w:ind w:left="3800"/>
        <w:spacing w:after="0"/>
        <w:rPr>
          <w:sz w:val="20"/>
          <w:szCs w:val="20"/>
          <w:color w:val="auto"/>
        </w:rPr>
      </w:pPr>
      <w:r>
        <w:rPr>
          <w:rFonts w:ascii="Arial" w:cs="Arial" w:eastAsia="Arial" w:hAnsi="Arial"/>
          <w:sz w:val="20"/>
          <w:szCs w:val="20"/>
          <w:color w:val="auto"/>
        </w:rPr>
        <w:t>as Lead Arranger,</w:t>
      </w:r>
    </w:p>
    <w:p>
      <w:pPr>
        <w:sectPr>
          <w:pgSz w:w="11900" w:h="16838" w:orient="portrait"/>
          <w:cols w:equalWidth="0" w:num="1">
            <w:col w:w="10120"/>
          </w:cols>
          <w:pgMar w:left="1440" w:top="121" w:right="339" w:bottom="1440" w:gutter="0" w:footer="0" w:header="0"/>
        </w:sectPr>
      </w:pPr>
    </w:p>
    <w:bookmarkStart w:id="380" w:name="page381"/>
    <w:bookmarkEnd w:id="380"/>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520" w:type="dxa"/>
            <w:vAlign w:val="bottom"/>
          </w:tcPr>
          <w:p>
            <w:pPr>
              <w:spacing w:after="0"/>
              <w:rPr>
                <w:sz w:val="22"/>
                <w:szCs w:val="22"/>
                <w:color w:val="auto"/>
              </w:rPr>
            </w:pPr>
          </w:p>
        </w:tc>
        <w:tc>
          <w:tcPr>
            <w:tcW w:w="7720" w:type="dxa"/>
            <w:vAlign w:val="bottom"/>
          </w:tcPr>
          <w:p>
            <w:pPr>
              <w:spacing w:after="0"/>
              <w:rPr>
                <w:sz w:val="22"/>
                <w:szCs w:val="22"/>
                <w:color w:val="auto"/>
              </w:rPr>
            </w:pPr>
          </w:p>
        </w:tc>
        <w:tc>
          <w:tcPr>
            <w:tcW w:w="196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445"/>
        </w:trPr>
        <w:tc>
          <w:tcPr>
            <w:tcW w:w="9240" w:type="dxa"/>
            <w:vAlign w:val="bottom"/>
            <w:gridSpan w:val="2"/>
          </w:tcPr>
          <w:p>
            <w:pPr>
              <w:spacing w:after="0"/>
              <w:rPr>
                <w:sz w:val="20"/>
                <w:szCs w:val="20"/>
                <w:color w:val="auto"/>
              </w:rPr>
            </w:pPr>
            <w:r>
              <w:rPr>
                <w:rFonts w:ascii="Arial" w:cs="Arial" w:eastAsia="Arial" w:hAnsi="Arial"/>
                <w:sz w:val="20"/>
                <w:szCs w:val="20"/>
                <w:color w:val="auto"/>
              </w:rPr>
              <w:t>SECTION 1 DEFINITIONS</w:t>
            </w:r>
          </w:p>
        </w:tc>
        <w:tc>
          <w:tcPr>
            <w:tcW w:w="19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392"/>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1.1</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Defined Terms</w:t>
            </w:r>
          </w:p>
        </w:tc>
        <w:tc>
          <w:tcPr>
            <w:tcW w:w="19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392"/>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1.2</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Other Definitional Provisions.</w:t>
            </w:r>
          </w:p>
        </w:tc>
        <w:tc>
          <w:tcPr>
            <w:tcW w:w="196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391"/>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1.3</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Rounding</w:t>
            </w:r>
          </w:p>
        </w:tc>
        <w:tc>
          <w:tcPr>
            <w:tcW w:w="196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392"/>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1.4</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Exchange Rates.</w:t>
            </w:r>
          </w:p>
        </w:tc>
        <w:tc>
          <w:tcPr>
            <w:tcW w:w="196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392"/>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1.5</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Alternative Currencies.</w:t>
            </w:r>
          </w:p>
        </w:tc>
        <w:tc>
          <w:tcPr>
            <w:tcW w:w="196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392"/>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1.6</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Limited Condition Acquisitions</w:t>
            </w:r>
          </w:p>
        </w:tc>
        <w:tc>
          <w:tcPr>
            <w:tcW w:w="196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392"/>
        </w:trPr>
        <w:tc>
          <w:tcPr>
            <w:tcW w:w="9240" w:type="dxa"/>
            <w:vAlign w:val="bottom"/>
            <w:gridSpan w:val="2"/>
          </w:tcPr>
          <w:p>
            <w:pPr>
              <w:spacing w:after="0"/>
              <w:rPr>
                <w:sz w:val="20"/>
                <w:szCs w:val="20"/>
                <w:color w:val="auto"/>
              </w:rPr>
            </w:pPr>
            <w:r>
              <w:rPr>
                <w:rFonts w:ascii="Arial" w:cs="Arial" w:eastAsia="Arial" w:hAnsi="Arial"/>
                <w:sz w:val="20"/>
                <w:szCs w:val="20"/>
                <w:color w:val="auto"/>
              </w:rPr>
              <w:t>SECTION 2 AMOUNT AND TERMS OF COMMITMENTS</w:t>
            </w:r>
          </w:p>
        </w:tc>
        <w:tc>
          <w:tcPr>
            <w:tcW w:w="196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391"/>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2.1</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[Reserved]</w:t>
            </w:r>
          </w:p>
        </w:tc>
        <w:tc>
          <w:tcPr>
            <w:tcW w:w="196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392"/>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2.2</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[Reserved]</w:t>
            </w:r>
          </w:p>
        </w:tc>
        <w:tc>
          <w:tcPr>
            <w:tcW w:w="196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392"/>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2.3</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[Reserved]</w:t>
            </w:r>
          </w:p>
        </w:tc>
        <w:tc>
          <w:tcPr>
            <w:tcW w:w="196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392"/>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2.4</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Revolving Commitments.</w:t>
            </w:r>
          </w:p>
        </w:tc>
        <w:tc>
          <w:tcPr>
            <w:tcW w:w="196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391"/>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2.5</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Procedure for Revolving Loan Borrowing</w:t>
            </w:r>
          </w:p>
        </w:tc>
        <w:tc>
          <w:tcPr>
            <w:tcW w:w="196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392"/>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2.6</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Swingline Commitment</w:t>
            </w:r>
          </w:p>
        </w:tc>
        <w:tc>
          <w:tcPr>
            <w:tcW w:w="196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392"/>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2.7</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Procedure for Swingline Borrowing; Refunding of Swingline Loans.</w:t>
            </w:r>
          </w:p>
        </w:tc>
        <w:tc>
          <w:tcPr>
            <w:tcW w:w="196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391"/>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2.8</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Overadvances</w:t>
            </w:r>
          </w:p>
        </w:tc>
        <w:tc>
          <w:tcPr>
            <w:tcW w:w="196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392"/>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2.9</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Fees.</w:t>
            </w:r>
          </w:p>
        </w:tc>
        <w:tc>
          <w:tcPr>
            <w:tcW w:w="196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391"/>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2.10</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Termination or Reduction of Revolving Commitments; Prepayments.</w:t>
            </w:r>
          </w:p>
        </w:tc>
        <w:tc>
          <w:tcPr>
            <w:tcW w:w="196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392"/>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2.11</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[Reserved].</w:t>
            </w:r>
          </w:p>
        </w:tc>
        <w:tc>
          <w:tcPr>
            <w:tcW w:w="196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391"/>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2.12</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[Reserved].</w:t>
            </w:r>
          </w:p>
        </w:tc>
        <w:tc>
          <w:tcPr>
            <w:tcW w:w="196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392"/>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2.13</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Conversion and Continuation Options.</w:t>
            </w:r>
          </w:p>
        </w:tc>
        <w:tc>
          <w:tcPr>
            <w:tcW w:w="196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391"/>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2.14</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Limitations on Eurodollar Tranches</w:t>
            </w:r>
          </w:p>
        </w:tc>
        <w:tc>
          <w:tcPr>
            <w:tcW w:w="196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392"/>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2.15</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Interest Rates and Payment Dates.</w:t>
            </w:r>
          </w:p>
        </w:tc>
        <w:tc>
          <w:tcPr>
            <w:tcW w:w="196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392"/>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2.16</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Computation of Interest and Fees.</w:t>
            </w:r>
          </w:p>
        </w:tc>
        <w:tc>
          <w:tcPr>
            <w:tcW w:w="196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391"/>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2.17</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Inability to Determine Interest Rate.</w:t>
            </w:r>
          </w:p>
        </w:tc>
        <w:tc>
          <w:tcPr>
            <w:tcW w:w="196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392"/>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2.18</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Pro Rata Treatment and Payments.</w:t>
            </w:r>
          </w:p>
        </w:tc>
        <w:tc>
          <w:tcPr>
            <w:tcW w:w="196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391"/>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2.19</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Illegality; Requirements of Law.</w:t>
            </w:r>
          </w:p>
        </w:tc>
        <w:tc>
          <w:tcPr>
            <w:tcW w:w="196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391"/>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2.20</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Taxes.</w:t>
            </w:r>
          </w:p>
        </w:tc>
        <w:tc>
          <w:tcPr>
            <w:tcW w:w="196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391"/>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2.21</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Indemnity</w:t>
            </w:r>
          </w:p>
        </w:tc>
        <w:tc>
          <w:tcPr>
            <w:tcW w:w="196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391"/>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2.22</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Change of Lending Office</w:t>
            </w:r>
          </w:p>
        </w:tc>
        <w:tc>
          <w:tcPr>
            <w:tcW w:w="196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391"/>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2.23</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Substitution of Lenders</w:t>
            </w:r>
          </w:p>
        </w:tc>
        <w:tc>
          <w:tcPr>
            <w:tcW w:w="196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391"/>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2.24</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Defaulting Lenders.</w:t>
            </w:r>
          </w:p>
        </w:tc>
        <w:tc>
          <w:tcPr>
            <w:tcW w:w="1960" w:type="dxa"/>
            <w:vAlign w:val="bottom"/>
          </w:tcPr>
          <w:p>
            <w:pPr>
              <w:jc w:val="right"/>
              <w:spacing w:after="0"/>
              <w:rPr>
                <w:sz w:val="20"/>
                <w:szCs w:val="20"/>
                <w:color w:val="auto"/>
              </w:rPr>
            </w:pPr>
            <w:r>
              <w:rPr>
                <w:rFonts w:ascii="Arial" w:cs="Arial" w:eastAsia="Arial" w:hAnsi="Arial"/>
                <w:sz w:val="20"/>
                <w:szCs w:val="20"/>
                <w:color w:val="auto"/>
              </w:rPr>
              <w:t>57</w:t>
            </w:r>
          </w:p>
        </w:tc>
      </w:tr>
    </w:tbl>
    <w:p>
      <w:pPr>
        <w:sectPr>
          <w:pgSz w:w="11900" w:h="16838" w:orient="portrait"/>
          <w:cols w:equalWidth="0" w:num="1">
            <w:col w:w="11200"/>
          </w:cols>
          <w:pgMar w:left="340" w:top="115" w:right="359" w:bottom="1440" w:gutter="0" w:footer="0" w:header="0"/>
        </w:sectPr>
      </w:pPr>
    </w:p>
    <w:bookmarkStart w:id="381" w:name="page382"/>
    <w:bookmarkEnd w:id="381"/>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520" w:type="dxa"/>
            <w:vAlign w:val="bottom"/>
          </w:tcPr>
          <w:p>
            <w:pPr>
              <w:spacing w:after="0"/>
              <w:rPr>
                <w:sz w:val="22"/>
                <w:szCs w:val="22"/>
                <w:color w:val="auto"/>
              </w:rPr>
            </w:pPr>
          </w:p>
        </w:tc>
        <w:tc>
          <w:tcPr>
            <w:tcW w:w="6780" w:type="dxa"/>
            <w:vAlign w:val="bottom"/>
          </w:tcPr>
          <w:p>
            <w:pPr>
              <w:spacing w:after="0"/>
              <w:rPr>
                <w:sz w:val="22"/>
                <w:szCs w:val="22"/>
                <w:color w:val="auto"/>
              </w:rPr>
            </w:pPr>
          </w:p>
        </w:tc>
        <w:tc>
          <w:tcPr>
            <w:tcW w:w="290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445"/>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2.25</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Joint and Several Liability of the Borrowers.</w:t>
            </w:r>
          </w:p>
        </w:tc>
        <w:tc>
          <w:tcPr>
            <w:tcW w:w="290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2.26</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Notes</w:t>
            </w:r>
          </w:p>
        </w:tc>
        <w:tc>
          <w:tcPr>
            <w:tcW w:w="290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2.27</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Incremental Facility</w:t>
            </w:r>
          </w:p>
        </w:tc>
        <w:tc>
          <w:tcPr>
            <w:tcW w:w="290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378"/>
        </w:trPr>
        <w:tc>
          <w:tcPr>
            <w:tcW w:w="8300" w:type="dxa"/>
            <w:vAlign w:val="bottom"/>
            <w:gridSpan w:val="2"/>
          </w:tcPr>
          <w:p>
            <w:pPr>
              <w:spacing w:after="0"/>
              <w:rPr>
                <w:sz w:val="20"/>
                <w:szCs w:val="20"/>
                <w:color w:val="auto"/>
              </w:rPr>
            </w:pPr>
            <w:r>
              <w:rPr>
                <w:rFonts w:ascii="Arial" w:cs="Arial" w:eastAsia="Arial" w:hAnsi="Arial"/>
                <w:sz w:val="20"/>
                <w:szCs w:val="20"/>
                <w:color w:val="auto"/>
              </w:rPr>
              <w:t>SECTION 3 LETTERS OF CREDIT</w:t>
            </w:r>
          </w:p>
        </w:tc>
        <w:tc>
          <w:tcPr>
            <w:tcW w:w="290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3.1</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L/C Commitment.</w:t>
            </w:r>
          </w:p>
        </w:tc>
        <w:tc>
          <w:tcPr>
            <w:tcW w:w="290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3.2</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Procedure for Issuance of Letters of Credit</w:t>
            </w:r>
          </w:p>
        </w:tc>
        <w:tc>
          <w:tcPr>
            <w:tcW w:w="290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3.3</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Fees and Other Charges.</w:t>
            </w:r>
          </w:p>
        </w:tc>
        <w:tc>
          <w:tcPr>
            <w:tcW w:w="290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3.4</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L/C Participations; Existing Letters of Credit.</w:t>
            </w:r>
          </w:p>
        </w:tc>
        <w:tc>
          <w:tcPr>
            <w:tcW w:w="290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3.5</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Reimbursement.</w:t>
            </w:r>
          </w:p>
        </w:tc>
        <w:tc>
          <w:tcPr>
            <w:tcW w:w="290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3.6</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Obligations Absolute</w:t>
            </w:r>
          </w:p>
        </w:tc>
        <w:tc>
          <w:tcPr>
            <w:tcW w:w="290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3.7</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Letter of Credit Payments</w:t>
            </w:r>
          </w:p>
        </w:tc>
        <w:tc>
          <w:tcPr>
            <w:tcW w:w="290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3.8</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Applications</w:t>
            </w:r>
          </w:p>
        </w:tc>
        <w:tc>
          <w:tcPr>
            <w:tcW w:w="290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3.9</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Interim Interest</w:t>
            </w:r>
          </w:p>
        </w:tc>
        <w:tc>
          <w:tcPr>
            <w:tcW w:w="290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3.10</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Cash Collateral.</w:t>
            </w:r>
          </w:p>
        </w:tc>
        <w:tc>
          <w:tcPr>
            <w:tcW w:w="290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3.11</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Additional Issuing Lenders</w:t>
            </w:r>
          </w:p>
        </w:tc>
        <w:tc>
          <w:tcPr>
            <w:tcW w:w="290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3.12</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Resignation of the Issuing Lender</w:t>
            </w:r>
          </w:p>
        </w:tc>
        <w:tc>
          <w:tcPr>
            <w:tcW w:w="290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3.13</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Applicability of UCP and ISP</w:t>
            </w:r>
          </w:p>
        </w:tc>
        <w:tc>
          <w:tcPr>
            <w:tcW w:w="290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378"/>
        </w:trPr>
        <w:tc>
          <w:tcPr>
            <w:tcW w:w="8300" w:type="dxa"/>
            <w:vAlign w:val="bottom"/>
            <w:gridSpan w:val="2"/>
          </w:tcPr>
          <w:p>
            <w:pPr>
              <w:spacing w:after="0"/>
              <w:rPr>
                <w:sz w:val="20"/>
                <w:szCs w:val="20"/>
                <w:color w:val="auto"/>
              </w:rPr>
            </w:pPr>
            <w:r>
              <w:rPr>
                <w:rFonts w:ascii="Arial" w:cs="Arial" w:eastAsia="Arial" w:hAnsi="Arial"/>
                <w:sz w:val="20"/>
                <w:szCs w:val="20"/>
                <w:color w:val="auto"/>
              </w:rPr>
              <w:t>SECTION 4 REPRESENTATIONS AND WARRANTIES</w:t>
            </w:r>
          </w:p>
        </w:tc>
        <w:tc>
          <w:tcPr>
            <w:tcW w:w="290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4.1</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Financial Condition.</w:t>
            </w:r>
          </w:p>
        </w:tc>
        <w:tc>
          <w:tcPr>
            <w:tcW w:w="290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4.2</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No Change</w:t>
            </w:r>
          </w:p>
        </w:tc>
        <w:tc>
          <w:tcPr>
            <w:tcW w:w="290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4.3</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Existence; Compliance with Law</w:t>
            </w:r>
          </w:p>
        </w:tc>
        <w:tc>
          <w:tcPr>
            <w:tcW w:w="290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4.4</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Power, Authorization; Enforceable Obligations</w:t>
            </w:r>
          </w:p>
        </w:tc>
        <w:tc>
          <w:tcPr>
            <w:tcW w:w="290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4.5</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No Legal Bar</w:t>
            </w:r>
          </w:p>
        </w:tc>
        <w:tc>
          <w:tcPr>
            <w:tcW w:w="290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4.6</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Litigation</w:t>
            </w:r>
          </w:p>
        </w:tc>
        <w:tc>
          <w:tcPr>
            <w:tcW w:w="290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4.7</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No Default</w:t>
            </w:r>
          </w:p>
        </w:tc>
        <w:tc>
          <w:tcPr>
            <w:tcW w:w="290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4.8</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Ownership of Property; Liens; Investments</w:t>
            </w:r>
          </w:p>
        </w:tc>
        <w:tc>
          <w:tcPr>
            <w:tcW w:w="290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4.9</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Intellectual Property</w:t>
            </w:r>
          </w:p>
        </w:tc>
        <w:tc>
          <w:tcPr>
            <w:tcW w:w="290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4.10</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Taxes</w:t>
            </w:r>
          </w:p>
        </w:tc>
        <w:tc>
          <w:tcPr>
            <w:tcW w:w="290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4.11</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Federal Regulations</w:t>
            </w:r>
          </w:p>
        </w:tc>
        <w:tc>
          <w:tcPr>
            <w:tcW w:w="290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4.12</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Labor Matters</w:t>
            </w:r>
          </w:p>
        </w:tc>
        <w:tc>
          <w:tcPr>
            <w:tcW w:w="290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4.13</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ERISA</w:t>
            </w:r>
          </w:p>
        </w:tc>
        <w:tc>
          <w:tcPr>
            <w:tcW w:w="290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4.14</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Investment Company Act; Other Regulations</w:t>
            </w:r>
          </w:p>
        </w:tc>
        <w:tc>
          <w:tcPr>
            <w:tcW w:w="2900" w:type="dxa"/>
            <w:vAlign w:val="bottom"/>
          </w:tcPr>
          <w:p>
            <w:pPr>
              <w:jc w:val="right"/>
              <w:spacing w:after="0"/>
              <w:rPr>
                <w:sz w:val="20"/>
                <w:szCs w:val="20"/>
                <w:color w:val="auto"/>
              </w:rPr>
            </w:pPr>
            <w:r>
              <w:rPr>
                <w:rFonts w:ascii="Arial" w:cs="Arial" w:eastAsia="Arial" w:hAnsi="Arial"/>
                <w:sz w:val="20"/>
                <w:szCs w:val="20"/>
                <w:color w:val="auto"/>
              </w:rPr>
              <w:t>75</w:t>
            </w:r>
          </w:p>
        </w:tc>
      </w:tr>
    </w:tbl>
    <w:p>
      <w:pPr>
        <w:spacing w:after="0" w:line="200" w:lineRule="exact"/>
        <w:rPr>
          <w:sz w:val="20"/>
          <w:szCs w:val="20"/>
          <w:color w:val="auto"/>
        </w:rPr>
      </w:pPr>
    </w:p>
    <w:p>
      <w:pPr>
        <w:sectPr>
          <w:pgSz w:w="11900" w:h="16838" w:orient="portrait"/>
          <w:cols w:equalWidth="0" w:num="1">
            <w:col w:w="11200"/>
          </w:cols>
          <w:pgMar w:left="340" w:top="11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11200"/>
          </w:cols>
          <w:pgMar w:left="340" w:top="115" w:right="359" w:bottom="1440" w:gutter="0" w:footer="0" w:header="0"/>
          <w:type w:val="continuous"/>
        </w:sectPr>
      </w:pPr>
    </w:p>
    <w:bookmarkStart w:id="382" w:name="page383"/>
    <w:bookmarkEnd w:id="382"/>
    <w:tbl>
      <w:tblPr>
        <w:tblLayout w:type="fixed"/>
        <w:tblInd w:w="0" w:type="dxa"/>
        <w:tblCellMar>
          <w:top w:w="0" w:type="dxa"/>
          <w:left w:w="0" w:type="dxa"/>
          <w:bottom w:w="0" w:type="dxa"/>
          <w:right w:w="0" w:type="dxa"/>
        </w:tblCellMar>
      </w:tblPr>
      <w:tr>
        <w:trPr>
          <w:trHeight w:val="237"/>
        </w:trPr>
        <w:tc>
          <w:tcPr>
            <w:tcW w:w="1520" w:type="dxa"/>
            <w:vAlign w:val="bottom"/>
          </w:tcPr>
          <w:p>
            <w:pPr>
              <w:spacing w:after="0"/>
              <w:rPr>
                <w:sz w:val="20"/>
                <w:szCs w:val="20"/>
                <w:color w:val="auto"/>
              </w:rPr>
            </w:pPr>
          </w:p>
        </w:tc>
        <w:tc>
          <w:tcPr>
            <w:tcW w:w="7060" w:type="dxa"/>
            <w:vAlign w:val="bottom"/>
          </w:tcPr>
          <w:p>
            <w:pPr>
              <w:ind w:left="3340"/>
              <w:spacing w:after="0"/>
              <w:rPr>
                <w:sz w:val="20"/>
                <w:szCs w:val="20"/>
                <w:color w:val="auto"/>
              </w:rPr>
            </w:pPr>
            <w:r>
              <w:rPr>
                <w:rFonts w:ascii="Arial" w:cs="Arial" w:eastAsia="Arial" w:hAnsi="Arial"/>
                <w:sz w:val="20"/>
                <w:szCs w:val="20"/>
                <w:b w:val="1"/>
                <w:bCs w:val="1"/>
                <w:color w:val="auto"/>
              </w:rPr>
              <w:t>Table of Contents</w:t>
            </w:r>
          </w:p>
        </w:tc>
        <w:tc>
          <w:tcPr>
            <w:tcW w:w="2620" w:type="dxa"/>
            <w:vAlign w:val="bottom"/>
          </w:tcPr>
          <w:p>
            <w:pPr>
              <w:spacing w:after="0"/>
              <w:rPr>
                <w:sz w:val="20"/>
                <w:szCs w:val="20"/>
                <w:color w:val="auto"/>
              </w:rPr>
            </w:pPr>
          </w:p>
        </w:tc>
      </w:tr>
      <w:tr>
        <w:trPr>
          <w:trHeight w:val="250"/>
        </w:trPr>
        <w:tc>
          <w:tcPr>
            <w:tcW w:w="1520" w:type="dxa"/>
            <w:vAlign w:val="bottom"/>
          </w:tcPr>
          <w:p>
            <w:pPr>
              <w:spacing w:after="0"/>
              <w:rPr>
                <w:sz w:val="21"/>
                <w:szCs w:val="21"/>
                <w:color w:val="auto"/>
              </w:rPr>
            </w:pPr>
          </w:p>
        </w:tc>
        <w:tc>
          <w:tcPr>
            <w:tcW w:w="7060" w:type="dxa"/>
            <w:vAlign w:val="bottom"/>
          </w:tcPr>
          <w:p>
            <w:pPr>
              <w:ind w:left="3620"/>
              <w:spacing w:after="0"/>
              <w:rPr>
                <w:sz w:val="20"/>
                <w:szCs w:val="20"/>
                <w:color w:val="auto"/>
              </w:rPr>
            </w:pPr>
            <w:r>
              <w:rPr>
                <w:rFonts w:ascii="Arial" w:cs="Arial" w:eastAsia="Arial" w:hAnsi="Arial"/>
                <w:sz w:val="20"/>
                <w:szCs w:val="20"/>
                <w:color w:val="auto"/>
              </w:rPr>
              <w:t>(continued)</w:t>
            </w:r>
          </w:p>
        </w:tc>
        <w:tc>
          <w:tcPr>
            <w:tcW w:w="2620" w:type="dxa"/>
            <w:vAlign w:val="bottom"/>
          </w:tcPr>
          <w:p>
            <w:pPr>
              <w:spacing w:after="0"/>
              <w:rPr>
                <w:sz w:val="21"/>
                <w:szCs w:val="21"/>
                <w:color w:val="auto"/>
              </w:rPr>
            </w:pPr>
          </w:p>
        </w:tc>
      </w:tr>
      <w:tr>
        <w:trPr>
          <w:trHeight w:val="878"/>
        </w:trPr>
        <w:tc>
          <w:tcPr>
            <w:tcW w:w="15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62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445"/>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4.15</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Subsidiaries</w:t>
            </w:r>
          </w:p>
        </w:tc>
        <w:tc>
          <w:tcPr>
            <w:tcW w:w="2620" w:type="dxa"/>
            <w:vAlign w:val="bottom"/>
          </w:tcPr>
          <w:p>
            <w:pPr>
              <w:jc w:val="right"/>
              <w:spacing w:after="0"/>
              <w:rPr>
                <w:sz w:val="20"/>
                <w:szCs w:val="20"/>
                <w:color w:val="auto"/>
              </w:rPr>
            </w:pPr>
            <w:r>
              <w:rPr>
                <w:rFonts w:ascii="Arial" w:cs="Arial" w:eastAsia="Arial" w:hAnsi="Arial"/>
                <w:sz w:val="20"/>
                <w:szCs w:val="20"/>
                <w:color w:val="auto"/>
              </w:rPr>
              <w:t>75</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4.16</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Use of Proceeds</w:t>
            </w:r>
          </w:p>
        </w:tc>
        <w:tc>
          <w:tcPr>
            <w:tcW w:w="262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4.17</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Environmental Matters</w:t>
            </w:r>
          </w:p>
        </w:tc>
        <w:tc>
          <w:tcPr>
            <w:tcW w:w="262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4.18</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Accuracy of Information, etc.</w:t>
            </w:r>
          </w:p>
        </w:tc>
        <w:tc>
          <w:tcPr>
            <w:tcW w:w="262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4.19</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Security Documents.</w:t>
            </w:r>
          </w:p>
        </w:tc>
        <w:tc>
          <w:tcPr>
            <w:tcW w:w="262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4.20</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Solvency; Voidable Transaction</w:t>
            </w:r>
          </w:p>
        </w:tc>
        <w:tc>
          <w:tcPr>
            <w:tcW w:w="262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4.21</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Regulation H</w:t>
            </w:r>
          </w:p>
        </w:tc>
        <w:tc>
          <w:tcPr>
            <w:tcW w:w="262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4.22</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Designated Senior Indebtedness</w:t>
            </w:r>
          </w:p>
        </w:tc>
        <w:tc>
          <w:tcPr>
            <w:tcW w:w="262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4.23</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[Reserved]</w:t>
            </w:r>
          </w:p>
        </w:tc>
        <w:tc>
          <w:tcPr>
            <w:tcW w:w="262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4.24</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Insurance</w:t>
            </w:r>
          </w:p>
        </w:tc>
        <w:tc>
          <w:tcPr>
            <w:tcW w:w="262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4.25</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No Casualty</w:t>
            </w:r>
          </w:p>
        </w:tc>
        <w:tc>
          <w:tcPr>
            <w:tcW w:w="262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4.26</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[Reserved].</w:t>
            </w:r>
          </w:p>
        </w:tc>
        <w:tc>
          <w:tcPr>
            <w:tcW w:w="262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4.27</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[Reserved].</w:t>
            </w:r>
          </w:p>
        </w:tc>
        <w:tc>
          <w:tcPr>
            <w:tcW w:w="262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4.28</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OFAC</w:t>
            </w:r>
          </w:p>
        </w:tc>
        <w:tc>
          <w:tcPr>
            <w:tcW w:w="262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4.29</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Anti-Corruption Laws</w:t>
            </w:r>
          </w:p>
        </w:tc>
        <w:tc>
          <w:tcPr>
            <w:tcW w:w="262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378"/>
        </w:trPr>
        <w:tc>
          <w:tcPr>
            <w:tcW w:w="8580" w:type="dxa"/>
            <w:vAlign w:val="bottom"/>
            <w:gridSpan w:val="2"/>
          </w:tcPr>
          <w:p>
            <w:pPr>
              <w:spacing w:after="0"/>
              <w:rPr>
                <w:sz w:val="20"/>
                <w:szCs w:val="20"/>
                <w:color w:val="auto"/>
              </w:rPr>
            </w:pPr>
            <w:r>
              <w:rPr>
                <w:rFonts w:ascii="Arial" w:cs="Arial" w:eastAsia="Arial" w:hAnsi="Arial"/>
                <w:sz w:val="20"/>
                <w:szCs w:val="20"/>
                <w:color w:val="auto"/>
              </w:rPr>
              <w:t>SECTION 5 CONDITIONS PRECEDENT</w:t>
            </w:r>
          </w:p>
        </w:tc>
        <w:tc>
          <w:tcPr>
            <w:tcW w:w="262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5.1</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Conditions to Initial Extension of Credit</w:t>
            </w:r>
          </w:p>
        </w:tc>
        <w:tc>
          <w:tcPr>
            <w:tcW w:w="262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5.2</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Conditions to Each Extension of Credit</w:t>
            </w:r>
          </w:p>
        </w:tc>
        <w:tc>
          <w:tcPr>
            <w:tcW w:w="2620" w:type="dxa"/>
            <w:vAlign w:val="bottom"/>
          </w:tcPr>
          <w:p>
            <w:pPr>
              <w:jc w:val="right"/>
              <w:spacing w:after="0"/>
              <w:rPr>
                <w:sz w:val="20"/>
                <w:szCs w:val="20"/>
                <w:color w:val="auto"/>
              </w:rPr>
            </w:pPr>
            <w:r>
              <w:rPr>
                <w:rFonts w:ascii="Arial" w:cs="Arial" w:eastAsia="Arial" w:hAnsi="Arial"/>
                <w:sz w:val="20"/>
                <w:szCs w:val="20"/>
                <w:color w:val="auto"/>
              </w:rPr>
              <w:t>81</w:t>
            </w:r>
          </w:p>
        </w:tc>
      </w:tr>
      <w:tr>
        <w:trPr>
          <w:trHeight w:val="378"/>
        </w:trPr>
        <w:tc>
          <w:tcPr>
            <w:tcW w:w="8580" w:type="dxa"/>
            <w:vAlign w:val="bottom"/>
            <w:gridSpan w:val="2"/>
          </w:tcPr>
          <w:p>
            <w:pPr>
              <w:spacing w:after="0"/>
              <w:rPr>
                <w:sz w:val="20"/>
                <w:szCs w:val="20"/>
                <w:color w:val="auto"/>
              </w:rPr>
            </w:pPr>
            <w:r>
              <w:rPr>
                <w:rFonts w:ascii="Arial" w:cs="Arial" w:eastAsia="Arial" w:hAnsi="Arial"/>
                <w:sz w:val="20"/>
                <w:szCs w:val="20"/>
                <w:color w:val="auto"/>
              </w:rPr>
              <w:t>SECTION 6 AFFIRMATIVE COVENANTS</w:t>
            </w:r>
          </w:p>
        </w:tc>
        <w:tc>
          <w:tcPr>
            <w:tcW w:w="2620" w:type="dxa"/>
            <w:vAlign w:val="bottom"/>
          </w:tcPr>
          <w:p>
            <w:pPr>
              <w:jc w:val="right"/>
              <w:spacing w:after="0"/>
              <w:rPr>
                <w:sz w:val="20"/>
                <w:szCs w:val="20"/>
                <w:color w:val="auto"/>
              </w:rPr>
            </w:pPr>
            <w:r>
              <w:rPr>
                <w:rFonts w:ascii="Arial" w:cs="Arial" w:eastAsia="Arial" w:hAnsi="Arial"/>
                <w:sz w:val="20"/>
                <w:szCs w:val="20"/>
                <w:color w:val="auto"/>
              </w:rPr>
              <w:t>82</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6.1</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Financial Statements</w:t>
            </w:r>
          </w:p>
        </w:tc>
        <w:tc>
          <w:tcPr>
            <w:tcW w:w="2620" w:type="dxa"/>
            <w:vAlign w:val="bottom"/>
          </w:tcPr>
          <w:p>
            <w:pPr>
              <w:jc w:val="right"/>
              <w:spacing w:after="0"/>
              <w:rPr>
                <w:sz w:val="20"/>
                <w:szCs w:val="20"/>
                <w:color w:val="auto"/>
              </w:rPr>
            </w:pPr>
            <w:r>
              <w:rPr>
                <w:rFonts w:ascii="Arial" w:cs="Arial" w:eastAsia="Arial" w:hAnsi="Arial"/>
                <w:sz w:val="20"/>
                <w:szCs w:val="20"/>
                <w:color w:val="auto"/>
              </w:rPr>
              <w:t>82</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6.2</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Certificates; Reports; Other Information</w:t>
            </w:r>
          </w:p>
        </w:tc>
        <w:tc>
          <w:tcPr>
            <w:tcW w:w="2620" w:type="dxa"/>
            <w:vAlign w:val="bottom"/>
          </w:tcPr>
          <w:p>
            <w:pPr>
              <w:jc w:val="right"/>
              <w:spacing w:after="0"/>
              <w:rPr>
                <w:sz w:val="20"/>
                <w:szCs w:val="20"/>
                <w:color w:val="auto"/>
              </w:rPr>
            </w:pPr>
            <w:r>
              <w:rPr>
                <w:rFonts w:ascii="Arial" w:cs="Arial" w:eastAsia="Arial" w:hAnsi="Arial"/>
                <w:sz w:val="20"/>
                <w:szCs w:val="20"/>
                <w:color w:val="auto"/>
              </w:rPr>
              <w:t>83</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6.3</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[Reserved].</w:t>
            </w:r>
          </w:p>
        </w:tc>
        <w:tc>
          <w:tcPr>
            <w:tcW w:w="2620" w:type="dxa"/>
            <w:vAlign w:val="bottom"/>
          </w:tcPr>
          <w:p>
            <w:pPr>
              <w:jc w:val="right"/>
              <w:spacing w:after="0"/>
              <w:rPr>
                <w:sz w:val="20"/>
                <w:szCs w:val="20"/>
                <w:color w:val="auto"/>
              </w:rPr>
            </w:pPr>
            <w:r>
              <w:rPr>
                <w:rFonts w:ascii="Arial" w:cs="Arial" w:eastAsia="Arial" w:hAnsi="Arial"/>
                <w:sz w:val="20"/>
                <w:szCs w:val="20"/>
                <w:color w:val="auto"/>
              </w:rPr>
              <w:t>84</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6.4</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Payment of Obligations</w:t>
            </w:r>
          </w:p>
        </w:tc>
        <w:tc>
          <w:tcPr>
            <w:tcW w:w="2620" w:type="dxa"/>
            <w:vAlign w:val="bottom"/>
          </w:tcPr>
          <w:p>
            <w:pPr>
              <w:jc w:val="right"/>
              <w:spacing w:after="0"/>
              <w:rPr>
                <w:sz w:val="20"/>
                <w:szCs w:val="20"/>
                <w:color w:val="auto"/>
              </w:rPr>
            </w:pPr>
            <w:r>
              <w:rPr>
                <w:rFonts w:ascii="Arial" w:cs="Arial" w:eastAsia="Arial" w:hAnsi="Arial"/>
                <w:sz w:val="20"/>
                <w:szCs w:val="20"/>
                <w:color w:val="auto"/>
              </w:rPr>
              <w:t>84</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6.5</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Maintenance of Existence; Compliance</w:t>
            </w:r>
          </w:p>
        </w:tc>
        <w:tc>
          <w:tcPr>
            <w:tcW w:w="2620" w:type="dxa"/>
            <w:vAlign w:val="bottom"/>
          </w:tcPr>
          <w:p>
            <w:pPr>
              <w:jc w:val="right"/>
              <w:spacing w:after="0"/>
              <w:rPr>
                <w:sz w:val="20"/>
                <w:szCs w:val="20"/>
                <w:color w:val="auto"/>
              </w:rPr>
            </w:pPr>
            <w:r>
              <w:rPr>
                <w:rFonts w:ascii="Arial" w:cs="Arial" w:eastAsia="Arial" w:hAnsi="Arial"/>
                <w:sz w:val="20"/>
                <w:szCs w:val="20"/>
                <w:color w:val="auto"/>
              </w:rPr>
              <w:t>84</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6.6</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Maintenance of Property; Insurance</w:t>
            </w:r>
          </w:p>
        </w:tc>
        <w:tc>
          <w:tcPr>
            <w:tcW w:w="262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6.7</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Books and Records; Discussions</w:t>
            </w:r>
          </w:p>
        </w:tc>
        <w:tc>
          <w:tcPr>
            <w:tcW w:w="262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6.8</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Notices</w:t>
            </w:r>
          </w:p>
        </w:tc>
        <w:tc>
          <w:tcPr>
            <w:tcW w:w="262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6.9</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Environmental Laws.</w:t>
            </w:r>
          </w:p>
        </w:tc>
        <w:tc>
          <w:tcPr>
            <w:tcW w:w="262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6.10</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Operating Accounts</w:t>
            </w:r>
          </w:p>
        </w:tc>
        <w:tc>
          <w:tcPr>
            <w:tcW w:w="262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6.11</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Audits</w:t>
            </w:r>
          </w:p>
        </w:tc>
        <w:tc>
          <w:tcPr>
            <w:tcW w:w="262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6.12</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Additional Collateral, Etc.</w:t>
            </w:r>
          </w:p>
        </w:tc>
        <w:tc>
          <w:tcPr>
            <w:tcW w:w="262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6.13</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Use of Proceeds</w:t>
            </w:r>
          </w:p>
        </w:tc>
        <w:tc>
          <w:tcPr>
            <w:tcW w:w="2620" w:type="dxa"/>
            <w:vAlign w:val="bottom"/>
          </w:tcPr>
          <w:p>
            <w:pPr>
              <w:jc w:val="right"/>
              <w:spacing w:after="0"/>
              <w:rPr>
                <w:sz w:val="20"/>
                <w:szCs w:val="20"/>
                <w:color w:val="auto"/>
              </w:rPr>
            </w:pPr>
            <w:r>
              <w:rPr>
                <w:rFonts w:ascii="Arial" w:cs="Arial" w:eastAsia="Arial" w:hAnsi="Arial"/>
                <w:sz w:val="20"/>
                <w:szCs w:val="20"/>
                <w:color w:val="auto"/>
              </w:rPr>
              <w:t>89</w:t>
            </w:r>
          </w:p>
        </w:tc>
      </w:tr>
    </w:tbl>
    <w:p>
      <w:pPr>
        <w:spacing w:after="0" w:line="200" w:lineRule="exact"/>
        <w:rPr>
          <w:sz w:val="20"/>
          <w:szCs w:val="20"/>
          <w:color w:val="auto"/>
        </w:rPr>
      </w:pPr>
    </w:p>
    <w:p>
      <w:pPr>
        <w:sectPr>
          <w:pgSz w:w="11900" w:h="16838" w:orient="portrait"/>
          <w:cols w:equalWidth="0" w:num="1">
            <w:col w:w="11200"/>
          </w:cols>
          <w:pgMar w:left="340" w:top="11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-iii-</w:t>
      </w:r>
    </w:p>
    <w:p>
      <w:pPr>
        <w:sectPr>
          <w:pgSz w:w="11900" w:h="16838" w:orient="portrait"/>
          <w:cols w:equalWidth="0" w:num="1">
            <w:col w:w="11200"/>
          </w:cols>
          <w:pgMar w:left="340" w:top="115" w:right="359" w:bottom="1440" w:gutter="0" w:footer="0" w:header="0"/>
          <w:type w:val="continuous"/>
        </w:sectPr>
      </w:pPr>
    </w:p>
    <w:bookmarkStart w:id="383" w:name="page384"/>
    <w:bookmarkEnd w:id="383"/>
    <w:tbl>
      <w:tblPr>
        <w:tblLayout w:type="fixed"/>
        <w:tblInd w:w="0" w:type="dxa"/>
        <w:tblCellMar>
          <w:top w:w="0" w:type="dxa"/>
          <w:left w:w="0" w:type="dxa"/>
          <w:bottom w:w="0" w:type="dxa"/>
          <w:right w:w="0" w:type="dxa"/>
        </w:tblCellMar>
      </w:tblPr>
      <w:tr>
        <w:trPr>
          <w:trHeight w:val="237"/>
        </w:trPr>
        <w:tc>
          <w:tcPr>
            <w:tcW w:w="1520" w:type="dxa"/>
            <w:vAlign w:val="bottom"/>
          </w:tcPr>
          <w:p>
            <w:pPr>
              <w:spacing w:after="0"/>
              <w:rPr>
                <w:sz w:val="20"/>
                <w:szCs w:val="20"/>
                <w:color w:val="auto"/>
              </w:rPr>
            </w:pPr>
          </w:p>
        </w:tc>
        <w:tc>
          <w:tcPr>
            <w:tcW w:w="7560" w:type="dxa"/>
            <w:vAlign w:val="bottom"/>
          </w:tcPr>
          <w:p>
            <w:pPr>
              <w:ind w:left="3340"/>
              <w:spacing w:after="0"/>
              <w:rPr>
                <w:sz w:val="20"/>
                <w:szCs w:val="20"/>
                <w:color w:val="auto"/>
              </w:rPr>
            </w:pPr>
            <w:r>
              <w:rPr>
                <w:rFonts w:ascii="Arial" w:cs="Arial" w:eastAsia="Arial" w:hAnsi="Arial"/>
                <w:sz w:val="20"/>
                <w:szCs w:val="20"/>
                <w:b w:val="1"/>
                <w:bCs w:val="1"/>
                <w:color w:val="auto"/>
              </w:rPr>
              <w:t>Table of Contents</w:t>
            </w:r>
          </w:p>
        </w:tc>
        <w:tc>
          <w:tcPr>
            <w:tcW w:w="2120" w:type="dxa"/>
            <w:vAlign w:val="bottom"/>
          </w:tcPr>
          <w:p>
            <w:pPr>
              <w:spacing w:after="0"/>
              <w:rPr>
                <w:sz w:val="20"/>
                <w:szCs w:val="20"/>
                <w:color w:val="auto"/>
              </w:rPr>
            </w:pPr>
          </w:p>
        </w:tc>
      </w:tr>
      <w:tr>
        <w:trPr>
          <w:trHeight w:val="250"/>
        </w:trPr>
        <w:tc>
          <w:tcPr>
            <w:tcW w:w="1520" w:type="dxa"/>
            <w:vAlign w:val="bottom"/>
          </w:tcPr>
          <w:p>
            <w:pPr>
              <w:spacing w:after="0"/>
              <w:rPr>
                <w:sz w:val="21"/>
                <w:szCs w:val="21"/>
                <w:color w:val="auto"/>
              </w:rPr>
            </w:pPr>
          </w:p>
        </w:tc>
        <w:tc>
          <w:tcPr>
            <w:tcW w:w="7560" w:type="dxa"/>
            <w:vAlign w:val="bottom"/>
          </w:tcPr>
          <w:p>
            <w:pPr>
              <w:ind w:left="3620"/>
              <w:spacing w:after="0"/>
              <w:rPr>
                <w:sz w:val="20"/>
                <w:szCs w:val="20"/>
                <w:color w:val="auto"/>
              </w:rPr>
            </w:pPr>
            <w:r>
              <w:rPr>
                <w:rFonts w:ascii="Arial" w:cs="Arial" w:eastAsia="Arial" w:hAnsi="Arial"/>
                <w:sz w:val="20"/>
                <w:szCs w:val="20"/>
                <w:color w:val="auto"/>
              </w:rPr>
              <w:t>(continued)</w:t>
            </w:r>
          </w:p>
        </w:tc>
        <w:tc>
          <w:tcPr>
            <w:tcW w:w="2120" w:type="dxa"/>
            <w:vAlign w:val="bottom"/>
          </w:tcPr>
          <w:p>
            <w:pPr>
              <w:spacing w:after="0"/>
              <w:rPr>
                <w:sz w:val="21"/>
                <w:szCs w:val="21"/>
                <w:color w:val="auto"/>
              </w:rPr>
            </w:pPr>
          </w:p>
        </w:tc>
      </w:tr>
      <w:tr>
        <w:trPr>
          <w:trHeight w:val="878"/>
        </w:trPr>
        <w:tc>
          <w:tcPr>
            <w:tcW w:w="15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445"/>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6.14</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Designated Senior Indebtedness</w:t>
            </w:r>
          </w:p>
        </w:tc>
        <w:tc>
          <w:tcPr>
            <w:tcW w:w="2120" w:type="dxa"/>
            <w:vAlign w:val="bottom"/>
          </w:tcPr>
          <w:p>
            <w:pPr>
              <w:jc w:val="right"/>
              <w:spacing w:after="0"/>
              <w:rPr>
                <w:sz w:val="20"/>
                <w:szCs w:val="20"/>
                <w:color w:val="auto"/>
              </w:rPr>
            </w:pPr>
            <w:r>
              <w:rPr>
                <w:rFonts w:ascii="Arial" w:cs="Arial" w:eastAsia="Arial" w:hAnsi="Arial"/>
                <w:sz w:val="20"/>
                <w:szCs w:val="20"/>
                <w:color w:val="auto"/>
              </w:rPr>
              <w:t>89</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6.15</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Anti-Corruption Laws</w:t>
            </w:r>
          </w:p>
        </w:tc>
        <w:tc>
          <w:tcPr>
            <w:tcW w:w="2120" w:type="dxa"/>
            <w:vAlign w:val="bottom"/>
          </w:tcPr>
          <w:p>
            <w:pPr>
              <w:jc w:val="right"/>
              <w:spacing w:after="0"/>
              <w:rPr>
                <w:sz w:val="20"/>
                <w:szCs w:val="20"/>
                <w:color w:val="auto"/>
              </w:rPr>
            </w:pPr>
            <w:r>
              <w:rPr>
                <w:rFonts w:ascii="Arial" w:cs="Arial" w:eastAsia="Arial" w:hAnsi="Arial"/>
                <w:sz w:val="20"/>
                <w:szCs w:val="20"/>
                <w:color w:val="auto"/>
              </w:rPr>
              <w:t>90</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6.16</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Further Assurances</w:t>
            </w:r>
          </w:p>
        </w:tc>
        <w:tc>
          <w:tcPr>
            <w:tcW w:w="2120" w:type="dxa"/>
            <w:vAlign w:val="bottom"/>
          </w:tcPr>
          <w:p>
            <w:pPr>
              <w:jc w:val="right"/>
              <w:spacing w:after="0"/>
              <w:rPr>
                <w:sz w:val="20"/>
                <w:szCs w:val="20"/>
                <w:color w:val="auto"/>
              </w:rPr>
            </w:pPr>
            <w:r>
              <w:rPr>
                <w:rFonts w:ascii="Arial" w:cs="Arial" w:eastAsia="Arial" w:hAnsi="Arial"/>
                <w:sz w:val="20"/>
                <w:szCs w:val="20"/>
                <w:color w:val="auto"/>
              </w:rPr>
              <w:t>90</w:t>
            </w:r>
          </w:p>
        </w:tc>
      </w:tr>
      <w:tr>
        <w:trPr>
          <w:trHeight w:val="378"/>
        </w:trPr>
        <w:tc>
          <w:tcPr>
            <w:tcW w:w="9080" w:type="dxa"/>
            <w:vAlign w:val="bottom"/>
            <w:gridSpan w:val="2"/>
          </w:tcPr>
          <w:p>
            <w:pPr>
              <w:spacing w:after="0"/>
              <w:rPr>
                <w:sz w:val="20"/>
                <w:szCs w:val="20"/>
                <w:color w:val="auto"/>
              </w:rPr>
            </w:pPr>
            <w:r>
              <w:rPr>
                <w:rFonts w:ascii="Arial" w:cs="Arial" w:eastAsia="Arial" w:hAnsi="Arial"/>
                <w:sz w:val="20"/>
                <w:szCs w:val="20"/>
                <w:color w:val="auto"/>
              </w:rPr>
              <w:t>SECTION 7 NEGATIVE COVENANTS</w:t>
            </w:r>
          </w:p>
        </w:tc>
        <w:tc>
          <w:tcPr>
            <w:tcW w:w="2120" w:type="dxa"/>
            <w:vAlign w:val="bottom"/>
          </w:tcPr>
          <w:p>
            <w:pPr>
              <w:jc w:val="right"/>
              <w:spacing w:after="0"/>
              <w:rPr>
                <w:sz w:val="20"/>
                <w:szCs w:val="20"/>
                <w:color w:val="auto"/>
              </w:rPr>
            </w:pPr>
            <w:r>
              <w:rPr>
                <w:rFonts w:ascii="Arial" w:cs="Arial" w:eastAsia="Arial" w:hAnsi="Arial"/>
                <w:sz w:val="20"/>
                <w:szCs w:val="20"/>
                <w:color w:val="auto"/>
              </w:rPr>
              <w:t>90</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7.1</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Financial Condition Covenants.</w:t>
            </w:r>
          </w:p>
        </w:tc>
        <w:tc>
          <w:tcPr>
            <w:tcW w:w="2120" w:type="dxa"/>
            <w:vAlign w:val="bottom"/>
          </w:tcPr>
          <w:p>
            <w:pPr>
              <w:jc w:val="right"/>
              <w:spacing w:after="0"/>
              <w:rPr>
                <w:sz w:val="20"/>
                <w:szCs w:val="20"/>
                <w:color w:val="auto"/>
              </w:rPr>
            </w:pPr>
            <w:r>
              <w:rPr>
                <w:rFonts w:ascii="Arial" w:cs="Arial" w:eastAsia="Arial" w:hAnsi="Arial"/>
                <w:sz w:val="20"/>
                <w:szCs w:val="20"/>
                <w:color w:val="auto"/>
              </w:rPr>
              <w:t>90</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7.2</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Indebtedness</w:t>
            </w:r>
          </w:p>
        </w:tc>
        <w:tc>
          <w:tcPr>
            <w:tcW w:w="2120" w:type="dxa"/>
            <w:vAlign w:val="bottom"/>
          </w:tcPr>
          <w:p>
            <w:pPr>
              <w:jc w:val="right"/>
              <w:spacing w:after="0"/>
              <w:rPr>
                <w:sz w:val="20"/>
                <w:szCs w:val="20"/>
                <w:color w:val="auto"/>
              </w:rPr>
            </w:pPr>
            <w:r>
              <w:rPr>
                <w:rFonts w:ascii="Arial" w:cs="Arial" w:eastAsia="Arial" w:hAnsi="Arial"/>
                <w:sz w:val="20"/>
                <w:szCs w:val="20"/>
                <w:color w:val="auto"/>
              </w:rPr>
              <w:t>90</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7.3</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Liens</w:t>
            </w:r>
          </w:p>
        </w:tc>
        <w:tc>
          <w:tcPr>
            <w:tcW w:w="2120" w:type="dxa"/>
            <w:vAlign w:val="bottom"/>
          </w:tcPr>
          <w:p>
            <w:pPr>
              <w:jc w:val="right"/>
              <w:spacing w:after="0"/>
              <w:rPr>
                <w:sz w:val="20"/>
                <w:szCs w:val="20"/>
                <w:color w:val="auto"/>
              </w:rPr>
            </w:pPr>
            <w:r>
              <w:rPr>
                <w:rFonts w:ascii="Arial" w:cs="Arial" w:eastAsia="Arial" w:hAnsi="Arial"/>
                <w:sz w:val="20"/>
                <w:szCs w:val="20"/>
                <w:color w:val="auto"/>
              </w:rPr>
              <w:t>92</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7.4</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Fundamental Changes</w:t>
            </w:r>
          </w:p>
        </w:tc>
        <w:tc>
          <w:tcPr>
            <w:tcW w:w="2120" w:type="dxa"/>
            <w:vAlign w:val="bottom"/>
          </w:tcPr>
          <w:p>
            <w:pPr>
              <w:jc w:val="right"/>
              <w:spacing w:after="0"/>
              <w:rPr>
                <w:sz w:val="20"/>
                <w:szCs w:val="20"/>
                <w:color w:val="auto"/>
              </w:rPr>
            </w:pPr>
            <w:r>
              <w:rPr>
                <w:rFonts w:ascii="Arial" w:cs="Arial" w:eastAsia="Arial" w:hAnsi="Arial"/>
                <w:sz w:val="20"/>
                <w:szCs w:val="20"/>
                <w:color w:val="auto"/>
              </w:rPr>
              <w:t>94</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7.5</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Disposition of Property</w:t>
            </w:r>
          </w:p>
        </w:tc>
        <w:tc>
          <w:tcPr>
            <w:tcW w:w="2120" w:type="dxa"/>
            <w:vAlign w:val="bottom"/>
          </w:tcPr>
          <w:p>
            <w:pPr>
              <w:jc w:val="right"/>
              <w:spacing w:after="0"/>
              <w:rPr>
                <w:sz w:val="20"/>
                <w:szCs w:val="20"/>
                <w:color w:val="auto"/>
              </w:rPr>
            </w:pPr>
            <w:r>
              <w:rPr>
                <w:rFonts w:ascii="Arial" w:cs="Arial" w:eastAsia="Arial" w:hAnsi="Arial"/>
                <w:sz w:val="20"/>
                <w:szCs w:val="20"/>
                <w:color w:val="auto"/>
              </w:rPr>
              <w:t>94</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7.6</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Restricted Payments</w:t>
            </w:r>
          </w:p>
        </w:tc>
        <w:tc>
          <w:tcPr>
            <w:tcW w:w="2120" w:type="dxa"/>
            <w:vAlign w:val="bottom"/>
          </w:tcPr>
          <w:p>
            <w:pPr>
              <w:jc w:val="right"/>
              <w:spacing w:after="0"/>
              <w:rPr>
                <w:sz w:val="20"/>
                <w:szCs w:val="20"/>
                <w:color w:val="auto"/>
              </w:rPr>
            </w:pPr>
            <w:r>
              <w:rPr>
                <w:rFonts w:ascii="Arial" w:cs="Arial" w:eastAsia="Arial" w:hAnsi="Arial"/>
                <w:sz w:val="20"/>
                <w:szCs w:val="20"/>
                <w:color w:val="auto"/>
              </w:rPr>
              <w:t>95</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7.7</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[Reserved]</w:t>
            </w:r>
          </w:p>
        </w:tc>
        <w:tc>
          <w:tcPr>
            <w:tcW w:w="2120" w:type="dxa"/>
            <w:vAlign w:val="bottom"/>
          </w:tcPr>
          <w:p>
            <w:pPr>
              <w:jc w:val="right"/>
              <w:spacing w:after="0"/>
              <w:rPr>
                <w:sz w:val="20"/>
                <w:szCs w:val="20"/>
                <w:color w:val="auto"/>
              </w:rPr>
            </w:pPr>
            <w:r>
              <w:rPr>
                <w:rFonts w:ascii="Arial" w:cs="Arial" w:eastAsia="Arial" w:hAnsi="Arial"/>
                <w:sz w:val="20"/>
                <w:szCs w:val="20"/>
                <w:color w:val="auto"/>
              </w:rPr>
              <w:t>97</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7.8</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Investments</w:t>
            </w:r>
          </w:p>
        </w:tc>
        <w:tc>
          <w:tcPr>
            <w:tcW w:w="2120" w:type="dxa"/>
            <w:vAlign w:val="bottom"/>
          </w:tcPr>
          <w:p>
            <w:pPr>
              <w:jc w:val="right"/>
              <w:spacing w:after="0"/>
              <w:rPr>
                <w:sz w:val="20"/>
                <w:szCs w:val="20"/>
                <w:color w:val="auto"/>
              </w:rPr>
            </w:pPr>
            <w:r>
              <w:rPr>
                <w:rFonts w:ascii="Arial" w:cs="Arial" w:eastAsia="Arial" w:hAnsi="Arial"/>
                <w:sz w:val="20"/>
                <w:szCs w:val="20"/>
                <w:color w:val="auto"/>
              </w:rPr>
              <w:t>97</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7.9</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ERISA</w:t>
            </w:r>
          </w:p>
        </w:tc>
        <w:tc>
          <w:tcPr>
            <w:tcW w:w="2120" w:type="dxa"/>
            <w:vAlign w:val="bottom"/>
          </w:tcPr>
          <w:p>
            <w:pPr>
              <w:jc w:val="right"/>
              <w:spacing w:after="0"/>
              <w:rPr>
                <w:sz w:val="20"/>
                <w:szCs w:val="20"/>
                <w:color w:val="auto"/>
              </w:rPr>
            </w:pPr>
            <w:r>
              <w:rPr>
                <w:rFonts w:ascii="Arial" w:cs="Arial" w:eastAsia="Arial" w:hAnsi="Arial"/>
                <w:sz w:val="20"/>
                <w:szCs w:val="20"/>
                <w:color w:val="auto"/>
              </w:rPr>
              <w:t>100</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7.10</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Optional Payments and Modifications of Certain Preferred Stock</w:t>
            </w:r>
          </w:p>
        </w:tc>
        <w:tc>
          <w:tcPr>
            <w:tcW w:w="2120" w:type="dxa"/>
            <w:vAlign w:val="bottom"/>
          </w:tcPr>
          <w:p>
            <w:pPr>
              <w:jc w:val="right"/>
              <w:spacing w:after="0"/>
              <w:rPr>
                <w:sz w:val="20"/>
                <w:szCs w:val="20"/>
                <w:color w:val="auto"/>
              </w:rPr>
            </w:pPr>
            <w:r>
              <w:rPr>
                <w:rFonts w:ascii="Arial" w:cs="Arial" w:eastAsia="Arial" w:hAnsi="Arial"/>
                <w:sz w:val="20"/>
                <w:szCs w:val="20"/>
                <w:color w:val="auto"/>
              </w:rPr>
              <w:t>100</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7.11</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Transactions with Affiliates</w:t>
            </w:r>
          </w:p>
        </w:tc>
        <w:tc>
          <w:tcPr>
            <w:tcW w:w="2120" w:type="dxa"/>
            <w:vAlign w:val="bottom"/>
          </w:tcPr>
          <w:p>
            <w:pPr>
              <w:jc w:val="right"/>
              <w:spacing w:after="0"/>
              <w:rPr>
                <w:sz w:val="20"/>
                <w:szCs w:val="20"/>
                <w:color w:val="auto"/>
              </w:rPr>
            </w:pPr>
            <w:r>
              <w:rPr>
                <w:rFonts w:ascii="Arial" w:cs="Arial" w:eastAsia="Arial" w:hAnsi="Arial"/>
                <w:sz w:val="20"/>
                <w:szCs w:val="20"/>
                <w:color w:val="auto"/>
              </w:rPr>
              <w:t>100</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7.12</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Sale Leaseback Transactions</w:t>
            </w:r>
          </w:p>
        </w:tc>
        <w:tc>
          <w:tcPr>
            <w:tcW w:w="2120" w:type="dxa"/>
            <w:vAlign w:val="bottom"/>
          </w:tcPr>
          <w:p>
            <w:pPr>
              <w:jc w:val="right"/>
              <w:spacing w:after="0"/>
              <w:rPr>
                <w:sz w:val="20"/>
                <w:szCs w:val="20"/>
                <w:color w:val="auto"/>
              </w:rPr>
            </w:pPr>
            <w:r>
              <w:rPr>
                <w:rFonts w:ascii="Arial" w:cs="Arial" w:eastAsia="Arial" w:hAnsi="Arial"/>
                <w:sz w:val="20"/>
                <w:szCs w:val="20"/>
                <w:color w:val="auto"/>
              </w:rPr>
              <w:t>101</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7.13</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Swap Agreements</w:t>
            </w:r>
          </w:p>
        </w:tc>
        <w:tc>
          <w:tcPr>
            <w:tcW w:w="2120" w:type="dxa"/>
            <w:vAlign w:val="bottom"/>
          </w:tcPr>
          <w:p>
            <w:pPr>
              <w:jc w:val="right"/>
              <w:spacing w:after="0"/>
              <w:rPr>
                <w:sz w:val="20"/>
                <w:szCs w:val="20"/>
                <w:color w:val="auto"/>
              </w:rPr>
            </w:pPr>
            <w:r>
              <w:rPr>
                <w:rFonts w:ascii="Arial" w:cs="Arial" w:eastAsia="Arial" w:hAnsi="Arial"/>
                <w:sz w:val="20"/>
                <w:szCs w:val="20"/>
                <w:color w:val="auto"/>
              </w:rPr>
              <w:t>101</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7.14</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Accounting Changes</w:t>
            </w:r>
          </w:p>
        </w:tc>
        <w:tc>
          <w:tcPr>
            <w:tcW w:w="2120" w:type="dxa"/>
            <w:vAlign w:val="bottom"/>
          </w:tcPr>
          <w:p>
            <w:pPr>
              <w:jc w:val="right"/>
              <w:spacing w:after="0"/>
              <w:rPr>
                <w:sz w:val="20"/>
                <w:szCs w:val="20"/>
                <w:color w:val="auto"/>
              </w:rPr>
            </w:pPr>
            <w:r>
              <w:rPr>
                <w:rFonts w:ascii="Arial" w:cs="Arial" w:eastAsia="Arial" w:hAnsi="Arial"/>
                <w:sz w:val="20"/>
                <w:szCs w:val="20"/>
                <w:color w:val="auto"/>
              </w:rPr>
              <w:t>101</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7.15</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Negative Pledge Clauses</w:t>
            </w:r>
          </w:p>
        </w:tc>
        <w:tc>
          <w:tcPr>
            <w:tcW w:w="2120" w:type="dxa"/>
            <w:vAlign w:val="bottom"/>
          </w:tcPr>
          <w:p>
            <w:pPr>
              <w:jc w:val="right"/>
              <w:spacing w:after="0"/>
              <w:rPr>
                <w:sz w:val="20"/>
                <w:szCs w:val="20"/>
                <w:color w:val="auto"/>
              </w:rPr>
            </w:pPr>
            <w:r>
              <w:rPr>
                <w:rFonts w:ascii="Arial" w:cs="Arial" w:eastAsia="Arial" w:hAnsi="Arial"/>
                <w:sz w:val="20"/>
                <w:szCs w:val="20"/>
                <w:color w:val="auto"/>
              </w:rPr>
              <w:t>101</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7.16</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Clauses Restricting Subsidiary Distributions</w:t>
            </w:r>
          </w:p>
        </w:tc>
        <w:tc>
          <w:tcPr>
            <w:tcW w:w="2120" w:type="dxa"/>
            <w:vAlign w:val="bottom"/>
          </w:tcPr>
          <w:p>
            <w:pPr>
              <w:jc w:val="right"/>
              <w:spacing w:after="0"/>
              <w:rPr>
                <w:sz w:val="20"/>
                <w:szCs w:val="20"/>
                <w:color w:val="auto"/>
              </w:rPr>
            </w:pPr>
            <w:r>
              <w:rPr>
                <w:rFonts w:ascii="Arial" w:cs="Arial" w:eastAsia="Arial" w:hAnsi="Arial"/>
                <w:sz w:val="20"/>
                <w:szCs w:val="20"/>
                <w:color w:val="auto"/>
              </w:rPr>
              <w:t>101</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7.17</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Lines of Business</w:t>
            </w:r>
          </w:p>
        </w:tc>
        <w:tc>
          <w:tcPr>
            <w:tcW w:w="2120" w:type="dxa"/>
            <w:vAlign w:val="bottom"/>
          </w:tcPr>
          <w:p>
            <w:pPr>
              <w:jc w:val="right"/>
              <w:spacing w:after="0"/>
              <w:rPr>
                <w:sz w:val="20"/>
                <w:szCs w:val="20"/>
                <w:color w:val="auto"/>
              </w:rPr>
            </w:pPr>
            <w:r>
              <w:rPr>
                <w:rFonts w:ascii="Arial" w:cs="Arial" w:eastAsia="Arial" w:hAnsi="Arial"/>
                <w:sz w:val="20"/>
                <w:szCs w:val="20"/>
                <w:color w:val="auto"/>
              </w:rPr>
              <w:t>102</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7.18</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Designation of other Indebtedness</w:t>
            </w:r>
          </w:p>
        </w:tc>
        <w:tc>
          <w:tcPr>
            <w:tcW w:w="2120" w:type="dxa"/>
            <w:vAlign w:val="bottom"/>
          </w:tcPr>
          <w:p>
            <w:pPr>
              <w:jc w:val="right"/>
              <w:spacing w:after="0"/>
              <w:rPr>
                <w:sz w:val="20"/>
                <w:szCs w:val="20"/>
                <w:color w:val="auto"/>
              </w:rPr>
            </w:pPr>
            <w:r>
              <w:rPr>
                <w:rFonts w:ascii="Arial" w:cs="Arial" w:eastAsia="Arial" w:hAnsi="Arial"/>
                <w:sz w:val="20"/>
                <w:szCs w:val="20"/>
                <w:color w:val="auto"/>
              </w:rPr>
              <w:t>102</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7.19</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[Reserved]</w:t>
            </w:r>
          </w:p>
        </w:tc>
        <w:tc>
          <w:tcPr>
            <w:tcW w:w="2120" w:type="dxa"/>
            <w:vAlign w:val="bottom"/>
          </w:tcPr>
          <w:p>
            <w:pPr>
              <w:jc w:val="right"/>
              <w:spacing w:after="0"/>
              <w:rPr>
                <w:sz w:val="20"/>
                <w:szCs w:val="20"/>
                <w:color w:val="auto"/>
              </w:rPr>
            </w:pPr>
            <w:r>
              <w:rPr>
                <w:rFonts w:ascii="Arial" w:cs="Arial" w:eastAsia="Arial" w:hAnsi="Arial"/>
                <w:sz w:val="20"/>
                <w:szCs w:val="20"/>
                <w:color w:val="auto"/>
              </w:rPr>
              <w:t>102</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7.20</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Amendments to Operating Documents and Material Contracts</w:t>
            </w:r>
          </w:p>
        </w:tc>
        <w:tc>
          <w:tcPr>
            <w:tcW w:w="2120" w:type="dxa"/>
            <w:vAlign w:val="bottom"/>
          </w:tcPr>
          <w:p>
            <w:pPr>
              <w:jc w:val="right"/>
              <w:spacing w:after="0"/>
              <w:rPr>
                <w:sz w:val="20"/>
                <w:szCs w:val="20"/>
                <w:color w:val="auto"/>
              </w:rPr>
            </w:pPr>
            <w:r>
              <w:rPr>
                <w:rFonts w:ascii="Arial" w:cs="Arial" w:eastAsia="Arial" w:hAnsi="Arial"/>
                <w:sz w:val="20"/>
                <w:szCs w:val="20"/>
                <w:color w:val="auto"/>
              </w:rPr>
              <w:t>102</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7.21</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Use of Proceeds</w:t>
            </w:r>
          </w:p>
        </w:tc>
        <w:tc>
          <w:tcPr>
            <w:tcW w:w="2120" w:type="dxa"/>
            <w:vAlign w:val="bottom"/>
          </w:tcPr>
          <w:p>
            <w:pPr>
              <w:jc w:val="right"/>
              <w:spacing w:after="0"/>
              <w:rPr>
                <w:sz w:val="20"/>
                <w:szCs w:val="20"/>
                <w:color w:val="auto"/>
              </w:rPr>
            </w:pPr>
            <w:r>
              <w:rPr>
                <w:rFonts w:ascii="Arial" w:cs="Arial" w:eastAsia="Arial" w:hAnsi="Arial"/>
                <w:sz w:val="20"/>
                <w:szCs w:val="20"/>
                <w:color w:val="auto"/>
              </w:rPr>
              <w:t>102</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7.22</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Subordinated Indebtedness.</w:t>
            </w:r>
          </w:p>
        </w:tc>
        <w:tc>
          <w:tcPr>
            <w:tcW w:w="2120" w:type="dxa"/>
            <w:vAlign w:val="bottom"/>
          </w:tcPr>
          <w:p>
            <w:pPr>
              <w:jc w:val="right"/>
              <w:spacing w:after="0"/>
              <w:rPr>
                <w:sz w:val="20"/>
                <w:szCs w:val="20"/>
                <w:color w:val="auto"/>
              </w:rPr>
            </w:pPr>
            <w:r>
              <w:rPr>
                <w:rFonts w:ascii="Arial" w:cs="Arial" w:eastAsia="Arial" w:hAnsi="Arial"/>
                <w:sz w:val="20"/>
                <w:szCs w:val="20"/>
                <w:color w:val="auto"/>
              </w:rPr>
              <w:t>102</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7.23</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Anti-Terrorism Laws</w:t>
            </w:r>
          </w:p>
        </w:tc>
        <w:tc>
          <w:tcPr>
            <w:tcW w:w="2120" w:type="dxa"/>
            <w:vAlign w:val="bottom"/>
          </w:tcPr>
          <w:p>
            <w:pPr>
              <w:jc w:val="right"/>
              <w:spacing w:after="0"/>
              <w:rPr>
                <w:sz w:val="20"/>
                <w:szCs w:val="20"/>
                <w:color w:val="auto"/>
              </w:rPr>
            </w:pPr>
            <w:r>
              <w:rPr>
                <w:rFonts w:ascii="Arial" w:cs="Arial" w:eastAsia="Arial" w:hAnsi="Arial"/>
                <w:sz w:val="20"/>
                <w:szCs w:val="20"/>
                <w:color w:val="auto"/>
              </w:rPr>
              <w:t>102</w:t>
            </w:r>
          </w:p>
        </w:tc>
      </w:tr>
      <w:tr>
        <w:trPr>
          <w:trHeight w:val="378"/>
        </w:trPr>
        <w:tc>
          <w:tcPr>
            <w:tcW w:w="9080" w:type="dxa"/>
            <w:vAlign w:val="bottom"/>
            <w:gridSpan w:val="2"/>
          </w:tcPr>
          <w:p>
            <w:pPr>
              <w:spacing w:after="0"/>
              <w:rPr>
                <w:sz w:val="20"/>
                <w:szCs w:val="20"/>
                <w:color w:val="auto"/>
              </w:rPr>
            </w:pPr>
            <w:r>
              <w:rPr>
                <w:rFonts w:ascii="Arial" w:cs="Arial" w:eastAsia="Arial" w:hAnsi="Arial"/>
                <w:sz w:val="20"/>
                <w:szCs w:val="20"/>
                <w:color w:val="auto"/>
              </w:rPr>
              <w:t>SECTION 8 EVENTS OF DEFAULT</w:t>
            </w:r>
          </w:p>
        </w:tc>
        <w:tc>
          <w:tcPr>
            <w:tcW w:w="2120" w:type="dxa"/>
            <w:vAlign w:val="bottom"/>
          </w:tcPr>
          <w:p>
            <w:pPr>
              <w:jc w:val="right"/>
              <w:spacing w:after="0"/>
              <w:rPr>
                <w:sz w:val="20"/>
                <w:szCs w:val="20"/>
                <w:color w:val="auto"/>
              </w:rPr>
            </w:pPr>
            <w:r>
              <w:rPr>
                <w:rFonts w:ascii="Arial" w:cs="Arial" w:eastAsia="Arial" w:hAnsi="Arial"/>
                <w:sz w:val="20"/>
                <w:szCs w:val="20"/>
                <w:color w:val="auto"/>
              </w:rPr>
              <w:t>103</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8.1</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Events of Default</w:t>
            </w:r>
          </w:p>
        </w:tc>
        <w:tc>
          <w:tcPr>
            <w:tcW w:w="2120" w:type="dxa"/>
            <w:vAlign w:val="bottom"/>
          </w:tcPr>
          <w:p>
            <w:pPr>
              <w:jc w:val="right"/>
              <w:spacing w:after="0"/>
              <w:rPr>
                <w:sz w:val="20"/>
                <w:szCs w:val="20"/>
                <w:color w:val="auto"/>
              </w:rPr>
            </w:pPr>
            <w:r>
              <w:rPr>
                <w:rFonts w:ascii="Arial" w:cs="Arial" w:eastAsia="Arial" w:hAnsi="Arial"/>
                <w:sz w:val="20"/>
                <w:szCs w:val="20"/>
                <w:color w:val="auto"/>
              </w:rPr>
              <w:t>103</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8.2</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Remedies Upon Event of Default</w:t>
            </w:r>
          </w:p>
        </w:tc>
        <w:tc>
          <w:tcPr>
            <w:tcW w:w="2120" w:type="dxa"/>
            <w:vAlign w:val="bottom"/>
          </w:tcPr>
          <w:p>
            <w:pPr>
              <w:jc w:val="right"/>
              <w:spacing w:after="0"/>
              <w:rPr>
                <w:sz w:val="20"/>
                <w:szCs w:val="20"/>
                <w:color w:val="auto"/>
              </w:rPr>
            </w:pPr>
            <w:r>
              <w:rPr>
                <w:rFonts w:ascii="Arial" w:cs="Arial" w:eastAsia="Arial" w:hAnsi="Arial"/>
                <w:sz w:val="20"/>
                <w:szCs w:val="20"/>
                <w:color w:val="auto"/>
              </w:rPr>
              <w:t>105</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8.3</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Application of Funds</w:t>
            </w:r>
          </w:p>
        </w:tc>
        <w:tc>
          <w:tcPr>
            <w:tcW w:w="2120" w:type="dxa"/>
            <w:vAlign w:val="bottom"/>
          </w:tcPr>
          <w:p>
            <w:pPr>
              <w:jc w:val="right"/>
              <w:spacing w:after="0"/>
              <w:rPr>
                <w:sz w:val="20"/>
                <w:szCs w:val="20"/>
                <w:color w:val="auto"/>
              </w:rPr>
            </w:pPr>
            <w:r>
              <w:rPr>
                <w:rFonts w:ascii="Arial" w:cs="Arial" w:eastAsia="Arial" w:hAnsi="Arial"/>
                <w:sz w:val="20"/>
                <w:szCs w:val="20"/>
                <w:color w:val="auto"/>
              </w:rPr>
              <w:t>106</w:t>
            </w:r>
          </w:p>
        </w:tc>
      </w:tr>
      <w:tr>
        <w:trPr>
          <w:trHeight w:val="378"/>
        </w:trPr>
        <w:tc>
          <w:tcPr>
            <w:tcW w:w="9080" w:type="dxa"/>
            <w:vAlign w:val="bottom"/>
            <w:gridSpan w:val="2"/>
          </w:tcPr>
          <w:p>
            <w:pPr>
              <w:spacing w:after="0"/>
              <w:rPr>
                <w:sz w:val="20"/>
                <w:szCs w:val="20"/>
                <w:color w:val="auto"/>
              </w:rPr>
            </w:pPr>
            <w:r>
              <w:rPr>
                <w:rFonts w:ascii="Arial" w:cs="Arial" w:eastAsia="Arial" w:hAnsi="Arial"/>
                <w:sz w:val="20"/>
                <w:szCs w:val="20"/>
                <w:color w:val="auto"/>
              </w:rPr>
              <w:t>SECTION 9 THE ADMINISTRATIVE AGENT</w:t>
            </w:r>
          </w:p>
        </w:tc>
        <w:tc>
          <w:tcPr>
            <w:tcW w:w="2120" w:type="dxa"/>
            <w:vAlign w:val="bottom"/>
          </w:tcPr>
          <w:p>
            <w:pPr>
              <w:jc w:val="right"/>
              <w:spacing w:after="0"/>
              <w:rPr>
                <w:sz w:val="20"/>
                <w:szCs w:val="20"/>
                <w:color w:val="auto"/>
              </w:rPr>
            </w:pPr>
            <w:r>
              <w:rPr>
                <w:rFonts w:ascii="Arial" w:cs="Arial" w:eastAsia="Arial" w:hAnsi="Arial"/>
                <w:sz w:val="20"/>
                <w:szCs w:val="20"/>
                <w:color w:val="auto"/>
              </w:rPr>
              <w:t>108</w:t>
            </w:r>
          </w:p>
        </w:tc>
      </w:tr>
    </w:tbl>
    <w:p>
      <w:pPr>
        <w:spacing w:after="0" w:line="200" w:lineRule="exact"/>
        <w:rPr>
          <w:sz w:val="20"/>
          <w:szCs w:val="20"/>
          <w:color w:val="auto"/>
        </w:rPr>
      </w:pPr>
    </w:p>
    <w:p>
      <w:pPr>
        <w:sectPr>
          <w:pgSz w:w="11900" w:h="16838" w:orient="portrait"/>
          <w:cols w:equalWidth="0" w:num="1">
            <w:col w:w="11200"/>
          </w:cols>
          <w:pgMar w:left="340" w:top="11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-iv-</w:t>
      </w:r>
    </w:p>
    <w:p>
      <w:pPr>
        <w:sectPr>
          <w:pgSz w:w="11900" w:h="16838" w:orient="portrait"/>
          <w:cols w:equalWidth="0" w:num="1">
            <w:col w:w="11200"/>
          </w:cols>
          <w:pgMar w:left="340" w:top="115" w:right="359" w:bottom="1440" w:gutter="0" w:footer="0" w:header="0"/>
          <w:type w:val="continuous"/>
        </w:sectPr>
      </w:pPr>
    </w:p>
    <w:bookmarkStart w:id="384" w:name="page385"/>
    <w:bookmarkEnd w:id="384"/>
    <w:tbl>
      <w:tblPr>
        <w:tblLayout w:type="fixed"/>
        <w:tblInd w:w="0" w:type="dxa"/>
        <w:tblCellMar>
          <w:top w:w="0" w:type="dxa"/>
          <w:left w:w="0" w:type="dxa"/>
          <w:bottom w:w="0" w:type="dxa"/>
          <w:right w:w="0" w:type="dxa"/>
        </w:tblCellMar>
      </w:tblPr>
      <w:tr>
        <w:trPr>
          <w:trHeight w:val="237"/>
        </w:trPr>
        <w:tc>
          <w:tcPr>
            <w:tcW w:w="1560" w:type="dxa"/>
            <w:vAlign w:val="bottom"/>
          </w:tcPr>
          <w:p>
            <w:pPr>
              <w:spacing w:after="0"/>
              <w:rPr>
                <w:sz w:val="20"/>
                <w:szCs w:val="20"/>
                <w:color w:val="auto"/>
              </w:rPr>
            </w:pPr>
          </w:p>
        </w:tc>
        <w:tc>
          <w:tcPr>
            <w:tcW w:w="7380" w:type="dxa"/>
            <w:vAlign w:val="bottom"/>
          </w:tcPr>
          <w:p>
            <w:pPr>
              <w:ind w:left="3300"/>
              <w:spacing w:after="0"/>
              <w:rPr>
                <w:sz w:val="20"/>
                <w:szCs w:val="20"/>
                <w:color w:val="auto"/>
              </w:rPr>
            </w:pPr>
            <w:r>
              <w:rPr>
                <w:rFonts w:ascii="Arial" w:cs="Arial" w:eastAsia="Arial" w:hAnsi="Arial"/>
                <w:sz w:val="20"/>
                <w:szCs w:val="20"/>
                <w:b w:val="1"/>
                <w:bCs w:val="1"/>
                <w:color w:val="auto"/>
              </w:rPr>
              <w:t>Table of Contents</w:t>
            </w:r>
          </w:p>
        </w:tc>
        <w:tc>
          <w:tcPr>
            <w:tcW w:w="2260" w:type="dxa"/>
            <w:vAlign w:val="bottom"/>
          </w:tcPr>
          <w:p>
            <w:pPr>
              <w:spacing w:after="0"/>
              <w:rPr>
                <w:sz w:val="20"/>
                <w:szCs w:val="20"/>
                <w:color w:val="auto"/>
              </w:rPr>
            </w:pPr>
          </w:p>
        </w:tc>
      </w:tr>
      <w:tr>
        <w:trPr>
          <w:trHeight w:val="250"/>
        </w:trPr>
        <w:tc>
          <w:tcPr>
            <w:tcW w:w="1560" w:type="dxa"/>
            <w:vAlign w:val="bottom"/>
          </w:tcPr>
          <w:p>
            <w:pPr>
              <w:spacing w:after="0"/>
              <w:rPr>
                <w:sz w:val="21"/>
                <w:szCs w:val="21"/>
                <w:color w:val="auto"/>
              </w:rPr>
            </w:pPr>
          </w:p>
        </w:tc>
        <w:tc>
          <w:tcPr>
            <w:tcW w:w="7380" w:type="dxa"/>
            <w:vAlign w:val="bottom"/>
          </w:tcPr>
          <w:p>
            <w:pPr>
              <w:ind w:left="3580"/>
              <w:spacing w:after="0"/>
              <w:rPr>
                <w:sz w:val="20"/>
                <w:szCs w:val="20"/>
                <w:color w:val="auto"/>
              </w:rPr>
            </w:pPr>
            <w:r>
              <w:rPr>
                <w:rFonts w:ascii="Arial" w:cs="Arial" w:eastAsia="Arial" w:hAnsi="Arial"/>
                <w:sz w:val="20"/>
                <w:szCs w:val="20"/>
                <w:color w:val="auto"/>
              </w:rPr>
              <w:t>(continued)</w:t>
            </w:r>
          </w:p>
        </w:tc>
        <w:tc>
          <w:tcPr>
            <w:tcW w:w="2260" w:type="dxa"/>
            <w:vAlign w:val="bottom"/>
          </w:tcPr>
          <w:p>
            <w:pPr>
              <w:spacing w:after="0"/>
              <w:rPr>
                <w:sz w:val="21"/>
                <w:szCs w:val="21"/>
                <w:color w:val="auto"/>
              </w:rPr>
            </w:pPr>
          </w:p>
        </w:tc>
      </w:tr>
      <w:tr>
        <w:trPr>
          <w:trHeight w:val="878"/>
        </w:trPr>
        <w:tc>
          <w:tcPr>
            <w:tcW w:w="156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445"/>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9.1</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Appointment and Authority</w:t>
            </w:r>
          </w:p>
        </w:tc>
        <w:tc>
          <w:tcPr>
            <w:tcW w:w="2260" w:type="dxa"/>
            <w:vAlign w:val="bottom"/>
          </w:tcPr>
          <w:p>
            <w:pPr>
              <w:jc w:val="right"/>
              <w:spacing w:after="0"/>
              <w:rPr>
                <w:sz w:val="20"/>
                <w:szCs w:val="20"/>
                <w:color w:val="auto"/>
              </w:rPr>
            </w:pPr>
            <w:r>
              <w:rPr>
                <w:rFonts w:ascii="Arial" w:cs="Arial" w:eastAsia="Arial" w:hAnsi="Arial"/>
                <w:sz w:val="20"/>
                <w:szCs w:val="20"/>
                <w:color w:val="auto"/>
              </w:rPr>
              <w:t>108</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9.2</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Delegation of Duties</w:t>
            </w:r>
          </w:p>
        </w:tc>
        <w:tc>
          <w:tcPr>
            <w:tcW w:w="2260" w:type="dxa"/>
            <w:vAlign w:val="bottom"/>
          </w:tcPr>
          <w:p>
            <w:pPr>
              <w:jc w:val="right"/>
              <w:spacing w:after="0"/>
              <w:rPr>
                <w:sz w:val="20"/>
                <w:szCs w:val="20"/>
                <w:color w:val="auto"/>
              </w:rPr>
            </w:pPr>
            <w:r>
              <w:rPr>
                <w:rFonts w:ascii="Arial" w:cs="Arial" w:eastAsia="Arial" w:hAnsi="Arial"/>
                <w:sz w:val="20"/>
                <w:szCs w:val="20"/>
                <w:color w:val="auto"/>
              </w:rPr>
              <w:t>109</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9.3</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Exculpatory Provisions</w:t>
            </w:r>
          </w:p>
        </w:tc>
        <w:tc>
          <w:tcPr>
            <w:tcW w:w="2260" w:type="dxa"/>
            <w:vAlign w:val="bottom"/>
          </w:tcPr>
          <w:p>
            <w:pPr>
              <w:jc w:val="right"/>
              <w:spacing w:after="0"/>
              <w:rPr>
                <w:sz w:val="20"/>
                <w:szCs w:val="20"/>
                <w:color w:val="auto"/>
              </w:rPr>
            </w:pPr>
            <w:r>
              <w:rPr>
                <w:rFonts w:ascii="Arial" w:cs="Arial" w:eastAsia="Arial" w:hAnsi="Arial"/>
                <w:sz w:val="20"/>
                <w:szCs w:val="20"/>
                <w:color w:val="auto"/>
              </w:rPr>
              <w:t>109</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9.4</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Reliance by Administrative Agent</w:t>
            </w:r>
          </w:p>
        </w:tc>
        <w:tc>
          <w:tcPr>
            <w:tcW w:w="2260" w:type="dxa"/>
            <w:vAlign w:val="bottom"/>
          </w:tcPr>
          <w:p>
            <w:pPr>
              <w:jc w:val="right"/>
              <w:spacing w:after="0"/>
              <w:rPr>
                <w:sz w:val="20"/>
                <w:szCs w:val="20"/>
                <w:color w:val="auto"/>
              </w:rPr>
            </w:pPr>
            <w:r>
              <w:rPr>
                <w:rFonts w:ascii="Arial" w:cs="Arial" w:eastAsia="Arial" w:hAnsi="Arial"/>
                <w:sz w:val="20"/>
                <w:szCs w:val="20"/>
                <w:color w:val="auto"/>
              </w:rPr>
              <w:t>110</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9.5</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Notice of Default</w:t>
            </w:r>
          </w:p>
        </w:tc>
        <w:tc>
          <w:tcPr>
            <w:tcW w:w="2260" w:type="dxa"/>
            <w:vAlign w:val="bottom"/>
          </w:tcPr>
          <w:p>
            <w:pPr>
              <w:jc w:val="right"/>
              <w:spacing w:after="0"/>
              <w:rPr>
                <w:sz w:val="20"/>
                <w:szCs w:val="20"/>
                <w:color w:val="auto"/>
              </w:rPr>
            </w:pPr>
            <w:r>
              <w:rPr>
                <w:rFonts w:ascii="Arial" w:cs="Arial" w:eastAsia="Arial" w:hAnsi="Arial"/>
                <w:sz w:val="20"/>
                <w:szCs w:val="20"/>
                <w:color w:val="auto"/>
              </w:rPr>
              <w:t>110</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9.6</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Non-Reliance on Administrative Agent and Other Lenders</w:t>
            </w:r>
          </w:p>
        </w:tc>
        <w:tc>
          <w:tcPr>
            <w:tcW w:w="2260" w:type="dxa"/>
            <w:vAlign w:val="bottom"/>
          </w:tcPr>
          <w:p>
            <w:pPr>
              <w:jc w:val="right"/>
              <w:spacing w:after="0"/>
              <w:rPr>
                <w:sz w:val="20"/>
                <w:szCs w:val="20"/>
                <w:color w:val="auto"/>
              </w:rPr>
            </w:pPr>
            <w:r>
              <w:rPr>
                <w:rFonts w:ascii="Arial" w:cs="Arial" w:eastAsia="Arial" w:hAnsi="Arial"/>
                <w:sz w:val="20"/>
                <w:szCs w:val="20"/>
                <w:color w:val="auto"/>
              </w:rPr>
              <w:t>110</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9.7</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Indemnification</w:t>
            </w:r>
          </w:p>
        </w:tc>
        <w:tc>
          <w:tcPr>
            <w:tcW w:w="2260" w:type="dxa"/>
            <w:vAlign w:val="bottom"/>
          </w:tcPr>
          <w:p>
            <w:pPr>
              <w:jc w:val="right"/>
              <w:spacing w:after="0"/>
              <w:rPr>
                <w:sz w:val="20"/>
                <w:szCs w:val="20"/>
                <w:color w:val="auto"/>
              </w:rPr>
            </w:pPr>
            <w:r>
              <w:rPr>
                <w:rFonts w:ascii="Arial" w:cs="Arial" w:eastAsia="Arial" w:hAnsi="Arial"/>
                <w:sz w:val="20"/>
                <w:szCs w:val="20"/>
                <w:color w:val="auto"/>
              </w:rPr>
              <w:t>111</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9.8</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Agent in Its Individual Capacity</w:t>
            </w:r>
          </w:p>
        </w:tc>
        <w:tc>
          <w:tcPr>
            <w:tcW w:w="2260" w:type="dxa"/>
            <w:vAlign w:val="bottom"/>
          </w:tcPr>
          <w:p>
            <w:pPr>
              <w:jc w:val="right"/>
              <w:spacing w:after="0"/>
              <w:rPr>
                <w:sz w:val="20"/>
                <w:szCs w:val="20"/>
                <w:color w:val="auto"/>
              </w:rPr>
            </w:pPr>
            <w:r>
              <w:rPr>
                <w:rFonts w:ascii="Arial" w:cs="Arial" w:eastAsia="Arial" w:hAnsi="Arial"/>
                <w:sz w:val="20"/>
                <w:szCs w:val="20"/>
                <w:color w:val="auto"/>
              </w:rPr>
              <w:t>111</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9.9</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Successor Administrative Agent.</w:t>
            </w:r>
          </w:p>
        </w:tc>
        <w:tc>
          <w:tcPr>
            <w:tcW w:w="2260" w:type="dxa"/>
            <w:vAlign w:val="bottom"/>
          </w:tcPr>
          <w:p>
            <w:pPr>
              <w:jc w:val="right"/>
              <w:spacing w:after="0"/>
              <w:rPr>
                <w:sz w:val="20"/>
                <w:szCs w:val="20"/>
                <w:color w:val="auto"/>
              </w:rPr>
            </w:pPr>
            <w:r>
              <w:rPr>
                <w:rFonts w:ascii="Arial" w:cs="Arial" w:eastAsia="Arial" w:hAnsi="Arial"/>
                <w:sz w:val="20"/>
                <w:szCs w:val="20"/>
                <w:color w:val="auto"/>
              </w:rPr>
              <w:t>112</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9.10</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Collateral and Guaranty Matters</w:t>
            </w:r>
          </w:p>
        </w:tc>
        <w:tc>
          <w:tcPr>
            <w:tcW w:w="2260" w:type="dxa"/>
            <w:vAlign w:val="bottom"/>
          </w:tcPr>
          <w:p>
            <w:pPr>
              <w:jc w:val="right"/>
              <w:spacing w:after="0"/>
              <w:rPr>
                <w:sz w:val="20"/>
                <w:szCs w:val="20"/>
                <w:color w:val="auto"/>
              </w:rPr>
            </w:pPr>
            <w:r>
              <w:rPr>
                <w:rFonts w:ascii="Arial" w:cs="Arial" w:eastAsia="Arial" w:hAnsi="Arial"/>
                <w:sz w:val="20"/>
                <w:szCs w:val="20"/>
                <w:color w:val="auto"/>
              </w:rPr>
              <w:t>112</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9.11</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Administrative Agent May File Proofs of Claim</w:t>
            </w:r>
          </w:p>
        </w:tc>
        <w:tc>
          <w:tcPr>
            <w:tcW w:w="2260" w:type="dxa"/>
            <w:vAlign w:val="bottom"/>
          </w:tcPr>
          <w:p>
            <w:pPr>
              <w:jc w:val="right"/>
              <w:spacing w:after="0"/>
              <w:rPr>
                <w:sz w:val="20"/>
                <w:szCs w:val="20"/>
                <w:color w:val="auto"/>
              </w:rPr>
            </w:pPr>
            <w:r>
              <w:rPr>
                <w:rFonts w:ascii="Arial" w:cs="Arial" w:eastAsia="Arial" w:hAnsi="Arial"/>
                <w:sz w:val="20"/>
                <w:szCs w:val="20"/>
                <w:color w:val="auto"/>
              </w:rPr>
              <w:t>114</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9.12</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No Other Duties, etc.</w:t>
            </w:r>
          </w:p>
        </w:tc>
        <w:tc>
          <w:tcPr>
            <w:tcW w:w="2260" w:type="dxa"/>
            <w:vAlign w:val="bottom"/>
          </w:tcPr>
          <w:p>
            <w:pPr>
              <w:jc w:val="right"/>
              <w:spacing w:after="0"/>
              <w:rPr>
                <w:sz w:val="20"/>
                <w:szCs w:val="20"/>
                <w:color w:val="auto"/>
              </w:rPr>
            </w:pPr>
            <w:r>
              <w:rPr>
                <w:rFonts w:ascii="Arial" w:cs="Arial" w:eastAsia="Arial" w:hAnsi="Arial"/>
                <w:sz w:val="20"/>
                <w:szCs w:val="20"/>
                <w:color w:val="auto"/>
              </w:rPr>
              <w:t>114</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9.13</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Cash Management Bank and Qualified Counterparty Reports</w:t>
            </w:r>
          </w:p>
        </w:tc>
        <w:tc>
          <w:tcPr>
            <w:tcW w:w="2260" w:type="dxa"/>
            <w:vAlign w:val="bottom"/>
          </w:tcPr>
          <w:p>
            <w:pPr>
              <w:jc w:val="right"/>
              <w:spacing w:after="0"/>
              <w:rPr>
                <w:sz w:val="20"/>
                <w:szCs w:val="20"/>
                <w:color w:val="auto"/>
              </w:rPr>
            </w:pPr>
            <w:r>
              <w:rPr>
                <w:rFonts w:ascii="Arial" w:cs="Arial" w:eastAsia="Arial" w:hAnsi="Arial"/>
                <w:sz w:val="20"/>
                <w:szCs w:val="20"/>
                <w:color w:val="auto"/>
              </w:rPr>
              <w:t>114</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9.14</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Certain ERISA Matters</w:t>
            </w:r>
          </w:p>
        </w:tc>
        <w:tc>
          <w:tcPr>
            <w:tcW w:w="2260" w:type="dxa"/>
            <w:vAlign w:val="bottom"/>
          </w:tcPr>
          <w:p>
            <w:pPr>
              <w:jc w:val="right"/>
              <w:spacing w:after="0"/>
              <w:rPr>
                <w:sz w:val="20"/>
                <w:szCs w:val="20"/>
                <w:color w:val="auto"/>
              </w:rPr>
            </w:pPr>
            <w:r>
              <w:rPr>
                <w:rFonts w:ascii="Arial" w:cs="Arial" w:eastAsia="Arial" w:hAnsi="Arial"/>
                <w:sz w:val="20"/>
                <w:szCs w:val="20"/>
                <w:color w:val="auto"/>
              </w:rPr>
              <w:t>115</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9.15</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Survival</w:t>
            </w:r>
          </w:p>
        </w:tc>
        <w:tc>
          <w:tcPr>
            <w:tcW w:w="2260" w:type="dxa"/>
            <w:vAlign w:val="bottom"/>
          </w:tcPr>
          <w:p>
            <w:pPr>
              <w:jc w:val="right"/>
              <w:spacing w:after="0"/>
              <w:rPr>
                <w:sz w:val="20"/>
                <w:szCs w:val="20"/>
                <w:color w:val="auto"/>
              </w:rPr>
            </w:pPr>
            <w:r>
              <w:rPr>
                <w:rFonts w:ascii="Arial" w:cs="Arial" w:eastAsia="Arial" w:hAnsi="Arial"/>
                <w:sz w:val="20"/>
                <w:szCs w:val="20"/>
                <w:color w:val="auto"/>
              </w:rPr>
              <w:t>116</w:t>
            </w:r>
          </w:p>
        </w:tc>
      </w:tr>
      <w:tr>
        <w:trPr>
          <w:trHeight w:val="378"/>
        </w:trPr>
        <w:tc>
          <w:tcPr>
            <w:tcW w:w="8940" w:type="dxa"/>
            <w:vAlign w:val="bottom"/>
            <w:gridSpan w:val="2"/>
          </w:tcPr>
          <w:p>
            <w:pPr>
              <w:spacing w:after="0"/>
              <w:rPr>
                <w:sz w:val="20"/>
                <w:szCs w:val="20"/>
                <w:color w:val="auto"/>
              </w:rPr>
            </w:pPr>
            <w:r>
              <w:rPr>
                <w:rFonts w:ascii="Arial" w:cs="Arial" w:eastAsia="Arial" w:hAnsi="Arial"/>
                <w:sz w:val="20"/>
                <w:szCs w:val="20"/>
                <w:color w:val="auto"/>
              </w:rPr>
              <w:t>SECTION 10 MISCELLANEOUS</w:t>
            </w:r>
          </w:p>
        </w:tc>
        <w:tc>
          <w:tcPr>
            <w:tcW w:w="2260" w:type="dxa"/>
            <w:vAlign w:val="bottom"/>
          </w:tcPr>
          <w:p>
            <w:pPr>
              <w:jc w:val="right"/>
              <w:spacing w:after="0"/>
              <w:rPr>
                <w:sz w:val="20"/>
                <w:szCs w:val="20"/>
                <w:color w:val="auto"/>
              </w:rPr>
            </w:pPr>
            <w:r>
              <w:rPr>
                <w:rFonts w:ascii="Arial" w:cs="Arial" w:eastAsia="Arial" w:hAnsi="Arial"/>
                <w:sz w:val="20"/>
                <w:szCs w:val="20"/>
                <w:color w:val="auto"/>
              </w:rPr>
              <w:t>116</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10.1</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Amendments and Waivers.</w:t>
            </w:r>
          </w:p>
        </w:tc>
        <w:tc>
          <w:tcPr>
            <w:tcW w:w="2260" w:type="dxa"/>
            <w:vAlign w:val="bottom"/>
          </w:tcPr>
          <w:p>
            <w:pPr>
              <w:jc w:val="right"/>
              <w:spacing w:after="0"/>
              <w:rPr>
                <w:sz w:val="20"/>
                <w:szCs w:val="20"/>
                <w:color w:val="auto"/>
              </w:rPr>
            </w:pPr>
            <w:r>
              <w:rPr>
                <w:rFonts w:ascii="Arial" w:cs="Arial" w:eastAsia="Arial" w:hAnsi="Arial"/>
                <w:sz w:val="20"/>
                <w:szCs w:val="20"/>
                <w:color w:val="auto"/>
              </w:rPr>
              <w:t>116</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10.2</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Notices</w:t>
            </w:r>
          </w:p>
        </w:tc>
        <w:tc>
          <w:tcPr>
            <w:tcW w:w="2260" w:type="dxa"/>
            <w:vAlign w:val="bottom"/>
          </w:tcPr>
          <w:p>
            <w:pPr>
              <w:jc w:val="right"/>
              <w:spacing w:after="0"/>
              <w:rPr>
                <w:sz w:val="20"/>
                <w:szCs w:val="20"/>
                <w:color w:val="auto"/>
              </w:rPr>
            </w:pPr>
            <w:r>
              <w:rPr>
                <w:rFonts w:ascii="Arial" w:cs="Arial" w:eastAsia="Arial" w:hAnsi="Arial"/>
                <w:sz w:val="20"/>
                <w:szCs w:val="20"/>
                <w:color w:val="auto"/>
              </w:rPr>
              <w:t>118</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10.3</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No Waiver; Cumulative Remedies</w:t>
            </w:r>
          </w:p>
        </w:tc>
        <w:tc>
          <w:tcPr>
            <w:tcW w:w="2260" w:type="dxa"/>
            <w:vAlign w:val="bottom"/>
          </w:tcPr>
          <w:p>
            <w:pPr>
              <w:jc w:val="right"/>
              <w:spacing w:after="0"/>
              <w:rPr>
                <w:sz w:val="20"/>
                <w:szCs w:val="20"/>
                <w:color w:val="auto"/>
              </w:rPr>
            </w:pPr>
            <w:r>
              <w:rPr>
                <w:rFonts w:ascii="Arial" w:cs="Arial" w:eastAsia="Arial" w:hAnsi="Arial"/>
                <w:sz w:val="20"/>
                <w:szCs w:val="20"/>
                <w:color w:val="auto"/>
              </w:rPr>
              <w:t>120</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10.4</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Survival of Representations and Warranties</w:t>
            </w:r>
          </w:p>
        </w:tc>
        <w:tc>
          <w:tcPr>
            <w:tcW w:w="2260" w:type="dxa"/>
            <w:vAlign w:val="bottom"/>
          </w:tcPr>
          <w:p>
            <w:pPr>
              <w:jc w:val="right"/>
              <w:spacing w:after="0"/>
              <w:rPr>
                <w:sz w:val="20"/>
                <w:szCs w:val="20"/>
                <w:color w:val="auto"/>
              </w:rPr>
            </w:pPr>
            <w:r>
              <w:rPr>
                <w:rFonts w:ascii="Arial" w:cs="Arial" w:eastAsia="Arial" w:hAnsi="Arial"/>
                <w:sz w:val="20"/>
                <w:szCs w:val="20"/>
                <w:color w:val="auto"/>
              </w:rPr>
              <w:t>120</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10.5</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Expenses; Indemnity; Damage Waiver.</w:t>
            </w:r>
          </w:p>
        </w:tc>
        <w:tc>
          <w:tcPr>
            <w:tcW w:w="2260" w:type="dxa"/>
            <w:vAlign w:val="bottom"/>
          </w:tcPr>
          <w:p>
            <w:pPr>
              <w:jc w:val="right"/>
              <w:spacing w:after="0"/>
              <w:rPr>
                <w:sz w:val="20"/>
                <w:szCs w:val="20"/>
                <w:color w:val="auto"/>
              </w:rPr>
            </w:pPr>
            <w:r>
              <w:rPr>
                <w:rFonts w:ascii="Arial" w:cs="Arial" w:eastAsia="Arial" w:hAnsi="Arial"/>
                <w:sz w:val="20"/>
                <w:szCs w:val="20"/>
                <w:color w:val="auto"/>
              </w:rPr>
              <w:t>120</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10.6</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Successors and Assigns; Participations and Assignments.</w:t>
            </w:r>
          </w:p>
        </w:tc>
        <w:tc>
          <w:tcPr>
            <w:tcW w:w="2260" w:type="dxa"/>
            <w:vAlign w:val="bottom"/>
          </w:tcPr>
          <w:p>
            <w:pPr>
              <w:jc w:val="right"/>
              <w:spacing w:after="0"/>
              <w:rPr>
                <w:sz w:val="20"/>
                <w:szCs w:val="20"/>
                <w:color w:val="auto"/>
              </w:rPr>
            </w:pPr>
            <w:r>
              <w:rPr>
                <w:rFonts w:ascii="Arial" w:cs="Arial" w:eastAsia="Arial" w:hAnsi="Arial"/>
                <w:sz w:val="20"/>
                <w:szCs w:val="20"/>
                <w:color w:val="auto"/>
              </w:rPr>
              <w:t>122</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10.7</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Adjustments; Set-off.</w:t>
            </w:r>
          </w:p>
        </w:tc>
        <w:tc>
          <w:tcPr>
            <w:tcW w:w="2260" w:type="dxa"/>
            <w:vAlign w:val="bottom"/>
          </w:tcPr>
          <w:p>
            <w:pPr>
              <w:jc w:val="right"/>
              <w:spacing w:after="0"/>
              <w:rPr>
                <w:sz w:val="20"/>
                <w:szCs w:val="20"/>
                <w:color w:val="auto"/>
              </w:rPr>
            </w:pPr>
            <w:r>
              <w:rPr>
                <w:rFonts w:ascii="Arial" w:cs="Arial" w:eastAsia="Arial" w:hAnsi="Arial"/>
                <w:sz w:val="20"/>
                <w:szCs w:val="20"/>
                <w:color w:val="auto"/>
              </w:rPr>
              <w:t>125</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10.8</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Payments Set Aside</w:t>
            </w:r>
          </w:p>
        </w:tc>
        <w:tc>
          <w:tcPr>
            <w:tcW w:w="2260" w:type="dxa"/>
            <w:vAlign w:val="bottom"/>
          </w:tcPr>
          <w:p>
            <w:pPr>
              <w:jc w:val="right"/>
              <w:spacing w:after="0"/>
              <w:rPr>
                <w:sz w:val="20"/>
                <w:szCs w:val="20"/>
                <w:color w:val="auto"/>
              </w:rPr>
            </w:pPr>
            <w:r>
              <w:rPr>
                <w:rFonts w:ascii="Arial" w:cs="Arial" w:eastAsia="Arial" w:hAnsi="Arial"/>
                <w:sz w:val="20"/>
                <w:szCs w:val="20"/>
                <w:color w:val="auto"/>
              </w:rPr>
              <w:t>126</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10.9</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Interest Rate Limitation</w:t>
            </w:r>
          </w:p>
        </w:tc>
        <w:tc>
          <w:tcPr>
            <w:tcW w:w="2260" w:type="dxa"/>
            <w:vAlign w:val="bottom"/>
          </w:tcPr>
          <w:p>
            <w:pPr>
              <w:jc w:val="right"/>
              <w:spacing w:after="0"/>
              <w:rPr>
                <w:sz w:val="20"/>
                <w:szCs w:val="20"/>
                <w:color w:val="auto"/>
              </w:rPr>
            </w:pPr>
            <w:r>
              <w:rPr>
                <w:rFonts w:ascii="Arial" w:cs="Arial" w:eastAsia="Arial" w:hAnsi="Arial"/>
                <w:sz w:val="20"/>
                <w:szCs w:val="20"/>
                <w:color w:val="auto"/>
              </w:rPr>
              <w:t>126</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10.10</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Counterparts; Electronic Execution of Assignments.</w:t>
            </w:r>
          </w:p>
        </w:tc>
        <w:tc>
          <w:tcPr>
            <w:tcW w:w="2260" w:type="dxa"/>
            <w:vAlign w:val="bottom"/>
          </w:tcPr>
          <w:p>
            <w:pPr>
              <w:jc w:val="right"/>
              <w:spacing w:after="0"/>
              <w:rPr>
                <w:sz w:val="20"/>
                <w:szCs w:val="20"/>
                <w:color w:val="auto"/>
              </w:rPr>
            </w:pPr>
            <w:r>
              <w:rPr>
                <w:rFonts w:ascii="Arial" w:cs="Arial" w:eastAsia="Arial" w:hAnsi="Arial"/>
                <w:sz w:val="20"/>
                <w:szCs w:val="20"/>
                <w:color w:val="auto"/>
              </w:rPr>
              <w:t>127</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10.11</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Severability</w:t>
            </w:r>
          </w:p>
        </w:tc>
        <w:tc>
          <w:tcPr>
            <w:tcW w:w="2260" w:type="dxa"/>
            <w:vAlign w:val="bottom"/>
          </w:tcPr>
          <w:p>
            <w:pPr>
              <w:jc w:val="right"/>
              <w:spacing w:after="0"/>
              <w:rPr>
                <w:sz w:val="20"/>
                <w:szCs w:val="20"/>
                <w:color w:val="auto"/>
              </w:rPr>
            </w:pPr>
            <w:r>
              <w:rPr>
                <w:rFonts w:ascii="Arial" w:cs="Arial" w:eastAsia="Arial" w:hAnsi="Arial"/>
                <w:sz w:val="20"/>
                <w:szCs w:val="20"/>
                <w:color w:val="auto"/>
              </w:rPr>
              <w:t>127</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10.12</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Integration</w:t>
            </w:r>
          </w:p>
        </w:tc>
        <w:tc>
          <w:tcPr>
            <w:tcW w:w="2260" w:type="dxa"/>
            <w:vAlign w:val="bottom"/>
          </w:tcPr>
          <w:p>
            <w:pPr>
              <w:jc w:val="right"/>
              <w:spacing w:after="0"/>
              <w:rPr>
                <w:sz w:val="20"/>
                <w:szCs w:val="20"/>
                <w:color w:val="auto"/>
              </w:rPr>
            </w:pPr>
            <w:r>
              <w:rPr>
                <w:rFonts w:ascii="Arial" w:cs="Arial" w:eastAsia="Arial" w:hAnsi="Arial"/>
                <w:sz w:val="20"/>
                <w:szCs w:val="20"/>
                <w:color w:val="auto"/>
              </w:rPr>
              <w:t>127</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10.13</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GOVERNING LAW</w:t>
            </w:r>
          </w:p>
        </w:tc>
        <w:tc>
          <w:tcPr>
            <w:tcW w:w="2260" w:type="dxa"/>
            <w:vAlign w:val="bottom"/>
          </w:tcPr>
          <w:p>
            <w:pPr>
              <w:jc w:val="right"/>
              <w:spacing w:after="0"/>
              <w:rPr>
                <w:sz w:val="20"/>
                <w:szCs w:val="20"/>
                <w:color w:val="auto"/>
              </w:rPr>
            </w:pPr>
            <w:r>
              <w:rPr>
                <w:rFonts w:ascii="Arial" w:cs="Arial" w:eastAsia="Arial" w:hAnsi="Arial"/>
                <w:sz w:val="20"/>
                <w:szCs w:val="20"/>
                <w:color w:val="auto"/>
              </w:rPr>
              <w:t>127</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10.14</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Submission to Jurisdiction; Waivers</w:t>
            </w:r>
          </w:p>
        </w:tc>
        <w:tc>
          <w:tcPr>
            <w:tcW w:w="2260" w:type="dxa"/>
            <w:vAlign w:val="bottom"/>
          </w:tcPr>
          <w:p>
            <w:pPr>
              <w:jc w:val="right"/>
              <w:spacing w:after="0"/>
              <w:rPr>
                <w:sz w:val="20"/>
                <w:szCs w:val="20"/>
                <w:color w:val="auto"/>
              </w:rPr>
            </w:pPr>
            <w:r>
              <w:rPr>
                <w:rFonts w:ascii="Arial" w:cs="Arial" w:eastAsia="Arial" w:hAnsi="Arial"/>
                <w:sz w:val="20"/>
                <w:szCs w:val="20"/>
                <w:color w:val="auto"/>
              </w:rPr>
              <w:t>128</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10.15</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Acknowledgements</w:t>
            </w:r>
          </w:p>
        </w:tc>
        <w:tc>
          <w:tcPr>
            <w:tcW w:w="2260" w:type="dxa"/>
            <w:vAlign w:val="bottom"/>
          </w:tcPr>
          <w:p>
            <w:pPr>
              <w:jc w:val="right"/>
              <w:spacing w:after="0"/>
              <w:rPr>
                <w:sz w:val="20"/>
                <w:szCs w:val="20"/>
                <w:color w:val="auto"/>
              </w:rPr>
            </w:pPr>
            <w:r>
              <w:rPr>
                <w:rFonts w:ascii="Arial" w:cs="Arial" w:eastAsia="Arial" w:hAnsi="Arial"/>
                <w:sz w:val="20"/>
                <w:szCs w:val="20"/>
                <w:color w:val="auto"/>
              </w:rPr>
              <w:t>128</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10.16</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Releases of Guarantees and Liens.</w:t>
            </w:r>
          </w:p>
        </w:tc>
        <w:tc>
          <w:tcPr>
            <w:tcW w:w="2260" w:type="dxa"/>
            <w:vAlign w:val="bottom"/>
          </w:tcPr>
          <w:p>
            <w:pPr>
              <w:jc w:val="right"/>
              <w:spacing w:after="0"/>
              <w:rPr>
                <w:sz w:val="20"/>
                <w:szCs w:val="20"/>
                <w:color w:val="auto"/>
              </w:rPr>
            </w:pPr>
            <w:r>
              <w:rPr>
                <w:rFonts w:ascii="Arial" w:cs="Arial" w:eastAsia="Arial" w:hAnsi="Arial"/>
                <w:sz w:val="20"/>
                <w:szCs w:val="20"/>
                <w:color w:val="auto"/>
              </w:rPr>
              <w:t>129</w:t>
            </w:r>
          </w:p>
        </w:tc>
      </w:tr>
    </w:tbl>
    <w:p>
      <w:pPr>
        <w:spacing w:after="0" w:line="200" w:lineRule="exact"/>
        <w:rPr>
          <w:sz w:val="20"/>
          <w:szCs w:val="20"/>
          <w:color w:val="auto"/>
        </w:rPr>
      </w:pPr>
    </w:p>
    <w:p>
      <w:pPr>
        <w:sectPr>
          <w:pgSz w:w="11900" w:h="16838" w:orient="portrait"/>
          <w:cols w:equalWidth="0" w:num="1">
            <w:col w:w="11200"/>
          </w:cols>
          <w:pgMar w:left="340" w:top="11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-v-</w:t>
      </w:r>
    </w:p>
    <w:p>
      <w:pPr>
        <w:sectPr>
          <w:pgSz w:w="11900" w:h="16838" w:orient="portrait"/>
          <w:cols w:equalWidth="0" w:num="1">
            <w:col w:w="11200"/>
          </w:cols>
          <w:pgMar w:left="340" w:top="115" w:right="359" w:bottom="1440" w:gutter="0" w:footer="0" w:header="0"/>
          <w:type w:val="continuous"/>
        </w:sectPr>
      </w:pPr>
    </w:p>
    <w:bookmarkStart w:id="385" w:name="page386"/>
    <w:bookmarkEnd w:id="385"/>
    <w:p>
      <w:pPr>
        <w:jc w:val="center"/>
        <w:ind w:right="840"/>
        <w:spacing w:after="0"/>
        <w:rPr>
          <w:sz w:val="20"/>
          <w:szCs w:val="20"/>
          <w:color w:val="auto"/>
        </w:rPr>
      </w:pPr>
      <w:r>
        <w:rPr>
          <w:rFonts w:ascii="Arial" w:cs="Arial" w:eastAsia="Arial" w:hAnsi="Arial"/>
          <w:sz w:val="20"/>
          <w:szCs w:val="20"/>
          <w:b w:val="1"/>
          <w:bCs w:val="1"/>
          <w:color w:val="auto"/>
        </w:rPr>
        <w:t>Table of Contents</w:t>
      </w:r>
    </w:p>
    <w:p>
      <w:pPr>
        <w:spacing w:after="0" w:line="23" w:lineRule="exact"/>
        <w:rPr>
          <w:sz w:val="20"/>
          <w:szCs w:val="20"/>
          <w:color w:val="auto"/>
        </w:rPr>
      </w:pPr>
    </w:p>
    <w:p>
      <w:pPr>
        <w:jc w:val="center"/>
        <w:ind w:right="840"/>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20" w:type="dxa"/>
            <w:vAlign w:val="bottom"/>
          </w:tcPr>
          <w:p>
            <w:pPr>
              <w:spacing w:after="0"/>
              <w:rPr>
                <w:sz w:val="22"/>
                <w:szCs w:val="22"/>
                <w:color w:val="auto"/>
              </w:rPr>
            </w:pPr>
          </w:p>
        </w:tc>
        <w:tc>
          <w:tcPr>
            <w:tcW w:w="89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445"/>
        </w:trPr>
        <w:tc>
          <w:tcPr>
            <w:tcW w:w="720" w:type="dxa"/>
            <w:vAlign w:val="bottom"/>
          </w:tcPr>
          <w:p>
            <w:pPr>
              <w:jc w:val="right"/>
              <w:ind w:right="181"/>
              <w:spacing w:after="0"/>
              <w:rPr>
                <w:sz w:val="20"/>
                <w:szCs w:val="20"/>
                <w:color w:val="auto"/>
              </w:rPr>
            </w:pPr>
            <w:r>
              <w:rPr>
                <w:rFonts w:ascii="Arial" w:cs="Arial" w:eastAsia="Arial" w:hAnsi="Arial"/>
                <w:sz w:val="20"/>
                <w:szCs w:val="20"/>
                <w:b w:val="1"/>
                <w:bCs w:val="1"/>
                <w:color w:val="auto"/>
                <w:w w:val="83"/>
              </w:rPr>
              <w:t>10.17</w:t>
            </w:r>
          </w:p>
        </w:tc>
        <w:tc>
          <w:tcPr>
            <w:tcW w:w="8980" w:type="dxa"/>
            <w:vAlign w:val="bottom"/>
          </w:tcPr>
          <w:p>
            <w:pPr>
              <w:ind w:left="280"/>
              <w:spacing w:after="0"/>
              <w:rPr>
                <w:sz w:val="20"/>
                <w:szCs w:val="20"/>
                <w:color w:val="auto"/>
              </w:rPr>
            </w:pPr>
            <w:r>
              <w:rPr>
                <w:rFonts w:ascii="Arial" w:cs="Arial" w:eastAsia="Arial" w:hAnsi="Arial"/>
                <w:sz w:val="20"/>
                <w:szCs w:val="20"/>
                <w:b w:val="1"/>
                <w:bCs w:val="1"/>
                <w:color w:val="auto"/>
              </w:rPr>
              <w:t>Treatment of Certain Information; Confidentiality</w:t>
            </w:r>
          </w:p>
        </w:tc>
        <w:tc>
          <w:tcPr>
            <w:tcW w:w="660" w:type="dxa"/>
            <w:vAlign w:val="bottom"/>
          </w:tcPr>
          <w:p>
            <w:pPr>
              <w:jc w:val="right"/>
              <w:spacing w:after="0"/>
              <w:rPr>
                <w:sz w:val="20"/>
                <w:szCs w:val="20"/>
                <w:color w:val="auto"/>
              </w:rPr>
            </w:pPr>
            <w:r>
              <w:rPr>
                <w:rFonts w:ascii="Arial" w:cs="Arial" w:eastAsia="Arial" w:hAnsi="Arial"/>
                <w:sz w:val="20"/>
                <w:szCs w:val="20"/>
                <w:color w:val="auto"/>
              </w:rPr>
              <w:t>129</w:t>
            </w:r>
          </w:p>
        </w:tc>
      </w:tr>
      <w:tr>
        <w:trPr>
          <w:trHeight w:val="378"/>
        </w:trPr>
        <w:tc>
          <w:tcPr>
            <w:tcW w:w="720" w:type="dxa"/>
            <w:vAlign w:val="bottom"/>
          </w:tcPr>
          <w:p>
            <w:pPr>
              <w:jc w:val="right"/>
              <w:ind w:right="181"/>
              <w:spacing w:after="0"/>
              <w:rPr>
                <w:sz w:val="20"/>
                <w:szCs w:val="20"/>
                <w:color w:val="auto"/>
              </w:rPr>
            </w:pPr>
            <w:r>
              <w:rPr>
                <w:rFonts w:ascii="Arial" w:cs="Arial" w:eastAsia="Arial" w:hAnsi="Arial"/>
                <w:sz w:val="20"/>
                <w:szCs w:val="20"/>
                <w:b w:val="1"/>
                <w:bCs w:val="1"/>
                <w:color w:val="auto"/>
                <w:w w:val="83"/>
              </w:rPr>
              <w:t>10.18</w:t>
            </w:r>
          </w:p>
        </w:tc>
        <w:tc>
          <w:tcPr>
            <w:tcW w:w="8980" w:type="dxa"/>
            <w:vAlign w:val="bottom"/>
          </w:tcPr>
          <w:p>
            <w:pPr>
              <w:ind w:left="280"/>
              <w:spacing w:after="0"/>
              <w:rPr>
                <w:sz w:val="20"/>
                <w:szCs w:val="20"/>
                <w:color w:val="auto"/>
              </w:rPr>
            </w:pPr>
            <w:r>
              <w:rPr>
                <w:rFonts w:ascii="Arial" w:cs="Arial" w:eastAsia="Arial" w:hAnsi="Arial"/>
                <w:sz w:val="20"/>
                <w:szCs w:val="20"/>
                <w:b w:val="1"/>
                <w:bCs w:val="1"/>
                <w:color w:val="auto"/>
              </w:rPr>
              <w:t>Automatic Debits</w:t>
            </w:r>
          </w:p>
        </w:tc>
        <w:tc>
          <w:tcPr>
            <w:tcW w:w="660" w:type="dxa"/>
            <w:vAlign w:val="bottom"/>
          </w:tcPr>
          <w:p>
            <w:pPr>
              <w:jc w:val="right"/>
              <w:spacing w:after="0"/>
              <w:rPr>
                <w:sz w:val="20"/>
                <w:szCs w:val="20"/>
                <w:color w:val="auto"/>
              </w:rPr>
            </w:pPr>
            <w:r>
              <w:rPr>
                <w:rFonts w:ascii="Arial" w:cs="Arial" w:eastAsia="Arial" w:hAnsi="Arial"/>
                <w:sz w:val="20"/>
                <w:szCs w:val="20"/>
                <w:color w:val="auto"/>
              </w:rPr>
              <w:t>130</w:t>
            </w:r>
          </w:p>
        </w:tc>
      </w:tr>
      <w:tr>
        <w:trPr>
          <w:trHeight w:val="378"/>
        </w:trPr>
        <w:tc>
          <w:tcPr>
            <w:tcW w:w="720" w:type="dxa"/>
            <w:vAlign w:val="bottom"/>
          </w:tcPr>
          <w:p>
            <w:pPr>
              <w:jc w:val="right"/>
              <w:ind w:right="181"/>
              <w:spacing w:after="0"/>
              <w:rPr>
                <w:sz w:val="20"/>
                <w:szCs w:val="20"/>
                <w:color w:val="auto"/>
              </w:rPr>
            </w:pPr>
            <w:r>
              <w:rPr>
                <w:rFonts w:ascii="Arial" w:cs="Arial" w:eastAsia="Arial" w:hAnsi="Arial"/>
                <w:sz w:val="20"/>
                <w:szCs w:val="20"/>
                <w:b w:val="1"/>
                <w:bCs w:val="1"/>
                <w:color w:val="auto"/>
                <w:w w:val="83"/>
              </w:rPr>
              <w:t>10.19</w:t>
            </w:r>
          </w:p>
        </w:tc>
        <w:tc>
          <w:tcPr>
            <w:tcW w:w="8980" w:type="dxa"/>
            <w:vAlign w:val="bottom"/>
          </w:tcPr>
          <w:p>
            <w:pPr>
              <w:ind w:left="280"/>
              <w:spacing w:after="0"/>
              <w:rPr>
                <w:sz w:val="20"/>
                <w:szCs w:val="20"/>
                <w:color w:val="auto"/>
              </w:rPr>
            </w:pPr>
            <w:r>
              <w:rPr>
                <w:rFonts w:ascii="Arial" w:cs="Arial" w:eastAsia="Arial" w:hAnsi="Arial"/>
                <w:sz w:val="20"/>
                <w:szCs w:val="20"/>
                <w:b w:val="1"/>
                <w:bCs w:val="1"/>
                <w:color w:val="auto"/>
              </w:rPr>
              <w:t>Judgment Currency</w:t>
            </w:r>
          </w:p>
        </w:tc>
        <w:tc>
          <w:tcPr>
            <w:tcW w:w="660" w:type="dxa"/>
            <w:vAlign w:val="bottom"/>
          </w:tcPr>
          <w:p>
            <w:pPr>
              <w:jc w:val="right"/>
              <w:spacing w:after="0"/>
              <w:rPr>
                <w:sz w:val="20"/>
                <w:szCs w:val="20"/>
                <w:color w:val="auto"/>
              </w:rPr>
            </w:pPr>
            <w:r>
              <w:rPr>
                <w:rFonts w:ascii="Arial" w:cs="Arial" w:eastAsia="Arial" w:hAnsi="Arial"/>
                <w:sz w:val="20"/>
                <w:szCs w:val="20"/>
                <w:color w:val="auto"/>
              </w:rPr>
              <w:t>131</w:t>
            </w:r>
          </w:p>
        </w:tc>
      </w:tr>
      <w:tr>
        <w:trPr>
          <w:trHeight w:val="378"/>
        </w:trPr>
        <w:tc>
          <w:tcPr>
            <w:tcW w:w="720" w:type="dxa"/>
            <w:vAlign w:val="bottom"/>
          </w:tcPr>
          <w:p>
            <w:pPr>
              <w:jc w:val="right"/>
              <w:ind w:right="181"/>
              <w:spacing w:after="0"/>
              <w:rPr>
                <w:sz w:val="20"/>
                <w:szCs w:val="20"/>
                <w:color w:val="auto"/>
              </w:rPr>
            </w:pPr>
            <w:r>
              <w:rPr>
                <w:rFonts w:ascii="Arial" w:cs="Arial" w:eastAsia="Arial" w:hAnsi="Arial"/>
                <w:sz w:val="20"/>
                <w:szCs w:val="20"/>
                <w:b w:val="1"/>
                <w:bCs w:val="1"/>
                <w:color w:val="auto"/>
                <w:w w:val="83"/>
              </w:rPr>
              <w:t>10.20</w:t>
            </w:r>
          </w:p>
        </w:tc>
        <w:tc>
          <w:tcPr>
            <w:tcW w:w="8980" w:type="dxa"/>
            <w:vAlign w:val="bottom"/>
          </w:tcPr>
          <w:p>
            <w:pPr>
              <w:ind w:left="280"/>
              <w:spacing w:after="0"/>
              <w:rPr>
                <w:sz w:val="20"/>
                <w:szCs w:val="20"/>
                <w:color w:val="auto"/>
              </w:rPr>
            </w:pPr>
            <w:r>
              <w:rPr>
                <w:rFonts w:ascii="Arial" w:cs="Arial" w:eastAsia="Arial" w:hAnsi="Arial"/>
                <w:sz w:val="20"/>
                <w:szCs w:val="20"/>
                <w:b w:val="1"/>
                <w:bCs w:val="1"/>
                <w:color w:val="auto"/>
              </w:rPr>
              <w:t>Patriot Act; Other Regulations</w:t>
            </w:r>
          </w:p>
        </w:tc>
        <w:tc>
          <w:tcPr>
            <w:tcW w:w="660" w:type="dxa"/>
            <w:vAlign w:val="bottom"/>
          </w:tcPr>
          <w:p>
            <w:pPr>
              <w:jc w:val="right"/>
              <w:spacing w:after="0"/>
              <w:rPr>
                <w:sz w:val="20"/>
                <w:szCs w:val="20"/>
                <w:color w:val="auto"/>
              </w:rPr>
            </w:pPr>
            <w:r>
              <w:rPr>
                <w:rFonts w:ascii="Arial" w:cs="Arial" w:eastAsia="Arial" w:hAnsi="Arial"/>
                <w:sz w:val="20"/>
                <w:szCs w:val="20"/>
                <w:color w:val="auto"/>
              </w:rPr>
              <w:t>131</w:t>
            </w:r>
          </w:p>
        </w:tc>
      </w:tr>
      <w:tr>
        <w:trPr>
          <w:trHeight w:val="378"/>
        </w:trPr>
        <w:tc>
          <w:tcPr>
            <w:tcW w:w="720" w:type="dxa"/>
            <w:vAlign w:val="bottom"/>
          </w:tcPr>
          <w:p>
            <w:pPr>
              <w:jc w:val="right"/>
              <w:ind w:right="181"/>
              <w:spacing w:after="0"/>
              <w:rPr>
                <w:sz w:val="20"/>
                <w:szCs w:val="20"/>
                <w:color w:val="auto"/>
              </w:rPr>
            </w:pPr>
            <w:r>
              <w:rPr>
                <w:rFonts w:ascii="Arial" w:cs="Arial" w:eastAsia="Arial" w:hAnsi="Arial"/>
                <w:sz w:val="20"/>
                <w:szCs w:val="20"/>
                <w:b w:val="1"/>
                <w:bCs w:val="1"/>
                <w:color w:val="auto"/>
                <w:w w:val="83"/>
              </w:rPr>
              <w:t>10.21</w:t>
            </w:r>
          </w:p>
        </w:tc>
        <w:tc>
          <w:tcPr>
            <w:tcW w:w="8980" w:type="dxa"/>
            <w:vAlign w:val="bottom"/>
          </w:tcPr>
          <w:p>
            <w:pPr>
              <w:ind w:left="280"/>
              <w:spacing w:after="0"/>
              <w:rPr>
                <w:sz w:val="20"/>
                <w:szCs w:val="20"/>
                <w:color w:val="auto"/>
              </w:rPr>
            </w:pPr>
            <w:r>
              <w:rPr>
                <w:rFonts w:ascii="Arial" w:cs="Arial" w:eastAsia="Arial" w:hAnsi="Arial"/>
                <w:sz w:val="20"/>
                <w:szCs w:val="20"/>
                <w:b w:val="1"/>
                <w:bCs w:val="1"/>
                <w:color w:val="auto"/>
              </w:rPr>
              <w:t>Acknowledgement and Consent to Bail-In of EEA Financial Institutions</w:t>
            </w:r>
          </w:p>
        </w:tc>
        <w:tc>
          <w:tcPr>
            <w:tcW w:w="660" w:type="dxa"/>
            <w:vAlign w:val="bottom"/>
          </w:tcPr>
          <w:p>
            <w:pPr>
              <w:jc w:val="right"/>
              <w:spacing w:after="0"/>
              <w:rPr>
                <w:sz w:val="20"/>
                <w:szCs w:val="20"/>
                <w:color w:val="auto"/>
              </w:rPr>
            </w:pPr>
            <w:r>
              <w:rPr>
                <w:rFonts w:ascii="Arial" w:cs="Arial" w:eastAsia="Arial" w:hAnsi="Arial"/>
                <w:sz w:val="20"/>
                <w:szCs w:val="20"/>
                <w:color w:val="auto"/>
              </w:rPr>
              <w:t>131</w:t>
            </w:r>
          </w:p>
        </w:tc>
      </w:tr>
      <w:tr>
        <w:trPr>
          <w:trHeight w:val="351"/>
        </w:trPr>
        <w:tc>
          <w:tcPr>
            <w:tcW w:w="720" w:type="dxa"/>
            <w:vAlign w:val="bottom"/>
          </w:tcPr>
          <w:p>
            <w:pPr>
              <w:jc w:val="right"/>
              <w:ind w:right="181"/>
              <w:spacing w:after="0"/>
              <w:rPr>
                <w:sz w:val="20"/>
                <w:szCs w:val="20"/>
                <w:color w:val="auto"/>
              </w:rPr>
            </w:pPr>
            <w:r>
              <w:rPr>
                <w:rFonts w:ascii="Arial" w:cs="Arial" w:eastAsia="Arial" w:hAnsi="Arial"/>
                <w:sz w:val="20"/>
                <w:szCs w:val="20"/>
                <w:b w:val="1"/>
                <w:bCs w:val="1"/>
                <w:color w:val="auto"/>
                <w:w w:val="83"/>
              </w:rPr>
              <w:t>10.22</w:t>
            </w:r>
          </w:p>
        </w:tc>
        <w:tc>
          <w:tcPr>
            <w:tcW w:w="8980" w:type="dxa"/>
            <w:vAlign w:val="bottom"/>
          </w:tcPr>
          <w:p>
            <w:pPr>
              <w:ind w:left="280"/>
              <w:spacing w:after="0"/>
              <w:rPr>
                <w:sz w:val="20"/>
                <w:szCs w:val="20"/>
                <w:color w:val="auto"/>
              </w:rPr>
            </w:pPr>
            <w:r>
              <w:rPr>
                <w:rFonts w:ascii="Arial" w:cs="Arial" w:eastAsia="Arial" w:hAnsi="Arial"/>
                <w:sz w:val="20"/>
                <w:szCs w:val="20"/>
                <w:b w:val="1"/>
                <w:bCs w:val="1"/>
                <w:color w:val="auto"/>
                <w:w w:val="92"/>
              </w:rPr>
              <w:t>Amendment and Restatement of Existing Credit Agreement; Acknowledgment of Prior Obligations;</w:t>
            </w:r>
          </w:p>
        </w:tc>
        <w:tc>
          <w:tcPr>
            <w:tcW w:w="660" w:type="dxa"/>
            <w:vAlign w:val="bottom"/>
          </w:tcPr>
          <w:p>
            <w:pPr>
              <w:spacing w:after="0"/>
              <w:rPr>
                <w:sz w:val="24"/>
                <w:szCs w:val="24"/>
                <w:color w:val="auto"/>
              </w:rPr>
            </w:pPr>
          </w:p>
        </w:tc>
      </w:tr>
      <w:tr>
        <w:trPr>
          <w:trHeight w:val="256"/>
        </w:trPr>
        <w:tc>
          <w:tcPr>
            <w:tcW w:w="720" w:type="dxa"/>
            <w:vAlign w:val="bottom"/>
          </w:tcPr>
          <w:p>
            <w:pPr>
              <w:spacing w:after="0"/>
              <w:rPr>
                <w:sz w:val="22"/>
                <w:szCs w:val="22"/>
                <w:color w:val="auto"/>
              </w:rPr>
            </w:pPr>
          </w:p>
        </w:tc>
        <w:tc>
          <w:tcPr>
            <w:tcW w:w="8980" w:type="dxa"/>
            <w:vAlign w:val="bottom"/>
          </w:tcPr>
          <w:p>
            <w:pPr>
              <w:ind w:left="280"/>
              <w:spacing w:after="0"/>
              <w:rPr>
                <w:sz w:val="20"/>
                <w:szCs w:val="20"/>
                <w:color w:val="auto"/>
              </w:rPr>
            </w:pPr>
            <w:r>
              <w:rPr>
                <w:rFonts w:ascii="Arial" w:cs="Arial" w:eastAsia="Arial" w:hAnsi="Arial"/>
                <w:sz w:val="20"/>
                <w:szCs w:val="20"/>
                <w:b w:val="1"/>
                <w:bCs w:val="1"/>
                <w:color w:val="auto"/>
              </w:rPr>
              <w:t>No Novation</w:t>
            </w:r>
          </w:p>
        </w:tc>
        <w:tc>
          <w:tcPr>
            <w:tcW w:w="660" w:type="dxa"/>
            <w:vAlign w:val="bottom"/>
          </w:tcPr>
          <w:p>
            <w:pPr>
              <w:jc w:val="right"/>
              <w:spacing w:after="0"/>
              <w:rPr>
                <w:sz w:val="20"/>
                <w:szCs w:val="20"/>
                <w:color w:val="auto"/>
              </w:rPr>
            </w:pPr>
            <w:r>
              <w:rPr>
                <w:rFonts w:ascii="Arial" w:cs="Arial" w:eastAsia="Arial" w:hAnsi="Arial"/>
                <w:sz w:val="20"/>
                <w:szCs w:val="20"/>
                <w:color w:val="auto"/>
              </w:rPr>
              <w:t>132</w:t>
            </w:r>
          </w:p>
        </w:tc>
      </w:tr>
      <w:tr>
        <w:trPr>
          <w:trHeight w:val="378"/>
        </w:trPr>
        <w:tc>
          <w:tcPr>
            <w:tcW w:w="720" w:type="dxa"/>
            <w:vAlign w:val="bottom"/>
          </w:tcPr>
          <w:p>
            <w:pPr>
              <w:jc w:val="right"/>
              <w:ind w:right="181"/>
              <w:spacing w:after="0"/>
              <w:rPr>
                <w:sz w:val="20"/>
                <w:szCs w:val="20"/>
                <w:color w:val="auto"/>
              </w:rPr>
            </w:pPr>
            <w:r>
              <w:rPr>
                <w:rFonts w:ascii="Arial" w:cs="Arial" w:eastAsia="Arial" w:hAnsi="Arial"/>
                <w:sz w:val="20"/>
                <w:szCs w:val="20"/>
                <w:b w:val="1"/>
                <w:bCs w:val="1"/>
                <w:color w:val="auto"/>
                <w:w w:val="83"/>
              </w:rPr>
              <w:t>10.23</w:t>
            </w:r>
          </w:p>
        </w:tc>
        <w:tc>
          <w:tcPr>
            <w:tcW w:w="8980" w:type="dxa"/>
            <w:vAlign w:val="bottom"/>
          </w:tcPr>
          <w:p>
            <w:pPr>
              <w:ind w:left="280"/>
              <w:spacing w:after="0"/>
              <w:rPr>
                <w:sz w:val="20"/>
                <w:szCs w:val="20"/>
                <w:color w:val="auto"/>
              </w:rPr>
            </w:pPr>
            <w:r>
              <w:rPr>
                <w:rFonts w:ascii="Arial" w:cs="Arial" w:eastAsia="Arial" w:hAnsi="Arial"/>
                <w:sz w:val="20"/>
                <w:szCs w:val="20"/>
                <w:b w:val="1"/>
                <w:bCs w:val="1"/>
                <w:color w:val="auto"/>
              </w:rPr>
              <w:t>Acknowledgement Regarding Any Supported QFCs</w:t>
            </w:r>
          </w:p>
        </w:tc>
        <w:tc>
          <w:tcPr>
            <w:tcW w:w="660" w:type="dxa"/>
            <w:vAlign w:val="bottom"/>
          </w:tcPr>
          <w:p>
            <w:pPr>
              <w:jc w:val="right"/>
              <w:spacing w:after="0"/>
              <w:rPr>
                <w:sz w:val="20"/>
                <w:szCs w:val="20"/>
                <w:color w:val="auto"/>
              </w:rPr>
            </w:pPr>
            <w:r>
              <w:rPr>
                <w:rFonts w:ascii="Arial" w:cs="Arial" w:eastAsia="Arial" w:hAnsi="Arial"/>
                <w:sz w:val="20"/>
                <w:szCs w:val="20"/>
                <w:color w:val="auto"/>
              </w:rPr>
              <w:t>133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-vi-</w:t>
      </w:r>
    </w:p>
    <w:p>
      <w:pPr>
        <w:sectPr>
          <w:pgSz w:w="11900" w:h="16838" w:orient="portrait"/>
          <w:cols w:equalWidth="0" w:num="1">
            <w:col w:w="10360"/>
          </w:cols>
          <w:pgMar w:left="1180" w:top="115" w:right="359" w:bottom="1440" w:gutter="0" w:footer="0" w:header="0"/>
        </w:sectPr>
      </w:pPr>
    </w:p>
    <w:bookmarkStart w:id="386" w:name="page387"/>
    <w:bookmarkEnd w:id="386"/>
    <w:p>
      <w:pPr>
        <w:jc w:val="center"/>
        <w:ind w:right="-1080"/>
        <w:spacing w:after="0"/>
        <w:rPr>
          <w:sz w:val="20"/>
          <w:szCs w:val="20"/>
          <w:color w:val="auto"/>
        </w:rPr>
      </w:pPr>
      <w:r>
        <w:rPr>
          <w:rFonts w:ascii="Arial" w:cs="Arial" w:eastAsia="Arial" w:hAnsi="Arial"/>
          <w:sz w:val="16"/>
          <w:szCs w:val="16"/>
          <w:b w:val="1"/>
          <w:bCs w:val="1"/>
          <w:color w:val="auto"/>
        </w:rPr>
        <w:t>Table of Contents</w:t>
      </w:r>
    </w:p>
    <w:p>
      <w:pPr>
        <w:spacing w:after="0" w:line="69" w:lineRule="exact"/>
        <w:rPr>
          <w:sz w:val="20"/>
          <w:szCs w:val="20"/>
          <w:color w:val="auto"/>
        </w:rPr>
      </w:pPr>
    </w:p>
    <w:p>
      <w:pPr>
        <w:jc w:val="center"/>
        <w:ind w:right="-1080"/>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000"/>
        <w:spacing w:after="0"/>
        <w:rPr>
          <w:sz w:val="20"/>
          <w:szCs w:val="20"/>
          <w:color w:val="auto"/>
        </w:rPr>
      </w:pPr>
      <w:r>
        <w:rPr>
          <w:rFonts w:ascii="Arial" w:cs="Arial" w:eastAsia="Arial" w:hAnsi="Arial"/>
          <w:sz w:val="20"/>
          <w:szCs w:val="20"/>
          <w:b w:val="1"/>
          <w:bCs w:val="1"/>
          <w:color w:val="auto"/>
        </w:rPr>
        <w:t>SCHEDULES</w:t>
      </w:r>
    </w:p>
    <w:p>
      <w:pPr>
        <w:sectPr>
          <w:pgSz w:w="11900" w:h="16838" w:orient="portrait"/>
          <w:cols w:equalWidth="0" w:num="1">
            <w:col w:w="10119"/>
          </w:cols>
          <w:pgMar w:left="340" w:top="115" w:right="1440" w:bottom="1440" w:gutter="0" w:footer="0" w:header="0"/>
        </w:sect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Schedule 1.1A:</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Schedule 1.1B:</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Schedule 4.4:</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Schedule 4.13:</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Schedule 4.15:</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Schedule 4.17:</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Schedule 4.19(a):</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color w:val="auto"/>
        </w:rPr>
        <w:t>Schedule 7.2(d):</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Schedule 7.3(f):</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Schedule 7.8(e):</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Commitments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Existing Letters of Credit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Governmental Approvals, Consents, Authorizations, Filings and Notices</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auto"/>
        </w:rPr>
        <w:t>Pension Plans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Subsidiaries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Environmental Matters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Financing Statements and Other Filings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Existing Indebtedness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Existing Liens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Existing Investments</w:t>
      </w:r>
    </w:p>
    <w:p>
      <w:pPr>
        <w:spacing w:after="0" w:line="200" w:lineRule="exact"/>
        <w:rPr>
          <w:sz w:val="20"/>
          <w:szCs w:val="20"/>
          <w:color w:val="auto"/>
        </w:rPr>
      </w:pPr>
    </w:p>
    <w:p>
      <w:pPr>
        <w:sectPr>
          <w:pgSz w:w="11900" w:h="16838" w:orient="portrait"/>
          <w:cols w:equalWidth="0" w:num="2">
            <w:col w:w="2000" w:space="720"/>
            <w:col w:w="7399"/>
          </w:cols>
          <w:pgMar w:left="340" w:top="115" w:right="1440" w:bottom="1440" w:gutter="0" w:footer="0" w:header="0"/>
          <w:type w:val="continuous"/>
        </w:sectPr>
      </w:pPr>
    </w:p>
    <w:p>
      <w:pPr>
        <w:spacing w:after="0" w:line="77" w:lineRule="exact"/>
        <w:rPr>
          <w:sz w:val="20"/>
          <w:szCs w:val="20"/>
          <w:color w:val="auto"/>
        </w:rPr>
      </w:pPr>
    </w:p>
    <w:p>
      <w:pPr>
        <w:ind w:left="5120"/>
        <w:spacing w:after="0"/>
        <w:rPr>
          <w:sz w:val="20"/>
          <w:szCs w:val="20"/>
          <w:color w:val="auto"/>
        </w:rPr>
      </w:pPr>
      <w:r>
        <w:rPr>
          <w:rFonts w:ascii="Arial" w:cs="Arial" w:eastAsia="Arial" w:hAnsi="Arial"/>
          <w:sz w:val="20"/>
          <w:szCs w:val="20"/>
          <w:b w:val="1"/>
          <w:bCs w:val="1"/>
          <w:color w:val="auto"/>
        </w:rPr>
        <w:t>EXHIBITS</w:t>
      </w:r>
    </w:p>
    <w:p>
      <w:pPr>
        <w:sectPr>
          <w:pgSz w:w="11900" w:h="16838" w:orient="portrait"/>
          <w:cols w:equalWidth="0" w:num="1">
            <w:col w:w="10119"/>
          </w:cols>
          <w:pgMar w:left="340" w:top="115" w:right="1440" w:bottom="1440" w:gutter="0" w:footer="0" w:header="0"/>
          <w:type w:val="continuous"/>
        </w:sect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Exhibit A:</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Exhibit B:</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Exhibit 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Exhibit D:</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Exhibit 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Exhibits F-1 – F-4:</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auto"/>
        </w:rPr>
        <w:t>Exhibit G:</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Exhibit H-1:</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Exhibit H-2:</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Exhibit I:</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Exhibit J:</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Exhibit K:</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Exhibit L:</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[Reserved]</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Form of Compliance Certificate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Form of Secretary’s/Managing Member’s Certificate</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auto"/>
        </w:rPr>
        <w:t>Form of Solvency Certificate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Form of Assignment and Assumption</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Forms of U.S. Tax Compliance Certificate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[Reserved]</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Form of Revolving Loan Note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Form of Swingline Loan Note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[Reserved]</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Form of Collateral Information Certificate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Form of Notice of Borrowing</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Form of Notice of Conversion/Continuation</w:t>
      </w:r>
    </w:p>
    <w:p>
      <w:pPr>
        <w:spacing w:after="0" w:line="200" w:lineRule="exact"/>
        <w:rPr>
          <w:sz w:val="20"/>
          <w:szCs w:val="20"/>
          <w:color w:val="auto"/>
        </w:rPr>
      </w:pPr>
    </w:p>
    <w:p>
      <w:pPr>
        <w:sectPr>
          <w:pgSz w:w="11900" w:h="16838" w:orient="portrait"/>
          <w:cols w:equalWidth="0" w:num="2">
            <w:col w:w="2100" w:space="720"/>
            <w:col w:w="7299"/>
          </w:cols>
          <w:pgMar w:left="340" w:top="11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-vii-</w:t>
      </w:r>
    </w:p>
    <w:p>
      <w:pPr>
        <w:sectPr>
          <w:pgSz w:w="11900" w:h="16838" w:orient="portrait"/>
          <w:cols w:equalWidth="0" w:num="1">
            <w:col w:w="10119"/>
          </w:cols>
          <w:pgMar w:left="340" w:top="115" w:right="1440" w:bottom="1440" w:gutter="0" w:footer="0" w:header="0"/>
          <w:type w:val="continuous"/>
        </w:sectPr>
      </w:pPr>
    </w:p>
    <w:bookmarkStart w:id="387" w:name="page388"/>
    <w:bookmarkEnd w:id="387"/>
    <w:p>
      <w:pPr>
        <w:jc w:val="center"/>
        <w:spacing w:after="0"/>
        <w:rPr>
          <w:sz w:val="20"/>
          <w:szCs w:val="20"/>
          <w:color w:val="auto"/>
        </w:rPr>
      </w:pPr>
      <w:r>
        <w:rPr>
          <w:rFonts w:ascii="Arial" w:cs="Arial" w:eastAsia="Arial" w:hAnsi="Arial"/>
          <w:sz w:val="20"/>
          <w:szCs w:val="20"/>
          <w:b w:val="1"/>
          <w:bCs w:val="1"/>
          <w:color w:val="auto"/>
        </w:rPr>
        <w:t>AMENDED AND RESTATED CREDIT AGREEMENT</w:t>
      </w:r>
    </w:p>
    <w:p>
      <w:pPr>
        <w:spacing w:after="0" w:line="16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color w:val="auto"/>
        </w:rPr>
        <w:t xml:space="preserve">THIS AMENDED AND RESTATED CREDIT AGREEMENT </w:t>
      </w:r>
      <w:r>
        <w:rPr>
          <w:rFonts w:ascii="Arial" w:cs="Arial" w:eastAsia="Arial" w:hAnsi="Arial"/>
          <w:sz w:val="20"/>
          <w:szCs w:val="20"/>
          <w:color w:val="auto"/>
        </w:rPr>
        <w:t>(this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dated as of February 19, 2021, is entered into</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by and among </w:t>
      </w:r>
      <w:r>
        <w:rPr>
          <w:rFonts w:ascii="Arial" w:cs="Arial" w:eastAsia="Arial" w:hAnsi="Arial"/>
          <w:sz w:val="20"/>
          <w:szCs w:val="20"/>
          <w:b w:val="1"/>
          <w:bCs w:val="1"/>
          <w:color w:val="auto"/>
        </w:rPr>
        <w:t>NERDWALLET, INC.</w:t>
      </w:r>
      <w:r>
        <w:rPr>
          <w:rFonts w:ascii="Arial" w:cs="Arial" w:eastAsia="Arial" w:hAnsi="Arial"/>
          <w:sz w:val="20"/>
          <w:szCs w:val="20"/>
          <w:color w:val="auto"/>
        </w:rPr>
        <w:t>, a Delaware corporation (“</w:t>
      </w:r>
      <w:r>
        <w:rPr>
          <w:rFonts w:ascii="Arial" w:cs="Arial" w:eastAsia="Arial" w:hAnsi="Arial"/>
          <w:sz w:val="20"/>
          <w:szCs w:val="20"/>
          <w:b w:val="1"/>
          <w:bCs w:val="1"/>
          <w:i w:val="1"/>
          <w:iCs w:val="1"/>
          <w:color w:val="auto"/>
        </w:rPr>
        <w:t>NerdWallet</w:t>
      </w:r>
      <w:r>
        <w:rPr>
          <w:rFonts w:ascii="Arial" w:cs="Arial" w:eastAsia="Arial" w:hAnsi="Arial"/>
          <w:sz w:val="20"/>
          <w:szCs w:val="20"/>
          <w:color w:val="auto"/>
        </w:rPr>
        <w:t xml:space="preserve">”), </w:t>
      </w:r>
      <w:r>
        <w:rPr>
          <w:rFonts w:ascii="Arial" w:cs="Arial" w:eastAsia="Arial" w:hAnsi="Arial"/>
          <w:sz w:val="20"/>
          <w:szCs w:val="20"/>
          <w:b w:val="1"/>
          <w:bCs w:val="1"/>
          <w:color w:val="auto"/>
        </w:rPr>
        <w:t>NERDWALLET COMPARE, INC.</w:t>
      </w:r>
      <w:r>
        <w:rPr>
          <w:rFonts w:ascii="Arial" w:cs="Arial" w:eastAsia="Arial" w:hAnsi="Arial"/>
          <w:sz w:val="20"/>
          <w:szCs w:val="20"/>
          <w:color w:val="auto"/>
        </w:rPr>
        <w:t>, a Delaware corporation (“</w:t>
      </w:r>
      <w:r>
        <w:rPr>
          <w:rFonts w:ascii="Arial" w:cs="Arial" w:eastAsia="Arial" w:hAnsi="Arial"/>
          <w:sz w:val="20"/>
          <w:szCs w:val="20"/>
          <w:b w:val="1"/>
          <w:bCs w:val="1"/>
          <w:i w:val="1"/>
          <w:iCs w:val="1"/>
          <w:color w:val="auto"/>
        </w:rPr>
        <w:t>NW Compare</w:t>
      </w:r>
      <w:r>
        <w:rPr>
          <w:rFonts w:ascii="Arial" w:cs="Arial" w:eastAsia="Arial" w:hAnsi="Arial"/>
          <w:sz w:val="20"/>
          <w:szCs w:val="20"/>
          <w:color w:val="auto"/>
        </w:rPr>
        <w:t>” and together with NerdWallet, individually and collectively as the context requires, jointly and severally, the “</w:t>
      </w:r>
      <w:r>
        <w:rPr>
          <w:rFonts w:ascii="Arial" w:cs="Arial" w:eastAsia="Arial" w:hAnsi="Arial"/>
          <w:sz w:val="20"/>
          <w:szCs w:val="20"/>
          <w:b w:val="1"/>
          <w:bCs w:val="1"/>
          <w:i w:val="1"/>
          <w:iCs w:val="1"/>
          <w:color w:val="auto"/>
        </w:rPr>
        <w:t>Borrower</w:t>
      </w:r>
      <w:r>
        <w:rPr>
          <w:rFonts w:ascii="Arial" w:cs="Arial" w:eastAsia="Arial" w:hAnsi="Arial"/>
          <w:sz w:val="20"/>
          <w:szCs w:val="20"/>
          <w:color w:val="auto"/>
        </w:rPr>
        <w:t>”), the several banks and other financial institutions or entities from time to time party to this Agreement (each a “</w:t>
      </w:r>
      <w:r>
        <w:rPr>
          <w:rFonts w:ascii="Arial" w:cs="Arial" w:eastAsia="Arial" w:hAnsi="Arial"/>
          <w:sz w:val="20"/>
          <w:szCs w:val="20"/>
          <w:b w:val="1"/>
          <w:bCs w:val="1"/>
          <w:i w:val="1"/>
          <w:iCs w:val="1"/>
          <w:color w:val="auto"/>
        </w:rPr>
        <w:t>Lender</w:t>
      </w:r>
      <w:r>
        <w:rPr>
          <w:rFonts w:ascii="Arial" w:cs="Arial" w:eastAsia="Arial" w:hAnsi="Arial"/>
          <w:sz w:val="20"/>
          <w:szCs w:val="20"/>
          <w:color w:val="auto"/>
        </w:rPr>
        <w:t>” and, collectively, the “</w:t>
      </w:r>
      <w:r>
        <w:rPr>
          <w:rFonts w:ascii="Arial" w:cs="Arial" w:eastAsia="Arial" w:hAnsi="Arial"/>
          <w:sz w:val="20"/>
          <w:szCs w:val="20"/>
          <w:b w:val="1"/>
          <w:bCs w:val="1"/>
          <w:i w:val="1"/>
          <w:iCs w:val="1"/>
          <w:color w:val="auto"/>
        </w:rPr>
        <w:t>Lenders</w:t>
      </w:r>
      <w:r>
        <w:rPr>
          <w:rFonts w:ascii="Arial" w:cs="Arial" w:eastAsia="Arial" w:hAnsi="Arial"/>
          <w:sz w:val="20"/>
          <w:szCs w:val="20"/>
          <w:color w:val="auto"/>
        </w:rPr>
        <w:t xml:space="preserve">”), </w:t>
      </w:r>
      <w:r>
        <w:rPr>
          <w:rFonts w:ascii="Arial" w:cs="Arial" w:eastAsia="Arial" w:hAnsi="Arial"/>
          <w:sz w:val="20"/>
          <w:szCs w:val="20"/>
          <w:b w:val="1"/>
          <w:bCs w:val="1"/>
          <w:color w:val="auto"/>
        </w:rPr>
        <w:t>SILICON VALLEY BANK</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SVB</w:t>
      </w:r>
      <w:r>
        <w:rPr>
          <w:rFonts w:ascii="Arial" w:cs="Arial" w:eastAsia="Arial" w:hAnsi="Arial"/>
          <w:sz w:val="20"/>
          <w:szCs w:val="20"/>
          <w:color w:val="auto"/>
        </w:rPr>
        <w:t xml:space="preserve">”), as the Issuing Lender and the Swingline Lender, and SVB, as administrative agent and collateral agent for the Lenders (in such capacities, together with any successors and assigns in such capacities, the </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Administrative Agent</w:t>
      </w:r>
      <w:r>
        <w:rPr>
          <w:rFonts w:ascii="Arial" w:cs="Arial" w:eastAsia="Arial" w:hAnsi="Arial"/>
          <w:sz w:val="20"/>
          <w:szCs w:val="20"/>
          <w:i w:val="1"/>
          <w:iCs w:val="1"/>
          <w:color w:val="auto"/>
        </w:rPr>
        <w:t>”</w:t>
      </w:r>
      <w:r>
        <w:rPr>
          <w:rFonts w:ascii="Arial" w:cs="Arial" w:eastAsia="Arial" w:hAnsi="Arial"/>
          <w:sz w:val="20"/>
          <w:szCs w:val="20"/>
          <w:color w:val="auto"/>
        </w:rPr>
        <w: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16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Borrower is a party to that certain Credit Agreement, originally dated as of September 2, 2020 (as amended,</w:t>
      </w:r>
      <w:r>
        <w:rPr>
          <w:rFonts w:ascii="Arial" w:cs="Arial" w:eastAsia="Arial" w:hAnsi="Arial"/>
          <w:sz w:val="19"/>
          <w:szCs w:val="19"/>
          <w:b w:val="1"/>
          <w:bCs w:val="1"/>
          <w:color w:val="auto"/>
        </w:rPr>
        <w:t xml:space="preserve"> </w:t>
      </w:r>
      <w:r>
        <w:rPr>
          <w:rFonts w:ascii="Arial" w:cs="Arial" w:eastAsia="Arial" w:hAnsi="Arial"/>
          <w:sz w:val="19"/>
          <w:szCs w:val="19"/>
          <w:color w:val="auto"/>
        </w:rPr>
        <w:t>restated or otherwise modified prior to date hereof, the “</w:t>
      </w:r>
      <w:r>
        <w:rPr>
          <w:rFonts w:ascii="Arial" w:cs="Arial" w:eastAsia="Arial" w:hAnsi="Arial"/>
          <w:sz w:val="19"/>
          <w:szCs w:val="19"/>
          <w:b w:val="1"/>
          <w:bCs w:val="1"/>
          <w:i w:val="1"/>
          <w:iCs w:val="1"/>
          <w:color w:val="auto"/>
        </w:rPr>
        <w:t>Existing Credit Agreement</w:t>
      </w:r>
      <w:r>
        <w:rPr>
          <w:rFonts w:ascii="Arial" w:cs="Arial" w:eastAsia="Arial" w:hAnsi="Arial"/>
          <w:sz w:val="19"/>
          <w:szCs w:val="19"/>
          <w:color w:val="auto"/>
        </w:rPr>
        <w:t>”), among the Borrower, the lenders party thereto from time to time, and SVB, as the administrative agent and collateral agent for the lenders, pursuant to which the lenders, the issuing lenders and the swingline lenders have made available to the Borrower certain extensions of credit;</w:t>
      </w:r>
    </w:p>
    <w:p>
      <w:pPr>
        <w:spacing w:after="0" w:line="1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Borrower, the Lenders and the Administrative Agent have agreed to enter into this Agreement in order to (a) amend</w:t>
      </w:r>
      <w:r>
        <w:rPr>
          <w:rFonts w:ascii="Arial" w:cs="Arial" w:eastAsia="Arial" w:hAnsi="Arial"/>
          <w:sz w:val="20"/>
          <w:szCs w:val="20"/>
          <w:b w:val="1"/>
          <w:bCs w:val="1"/>
          <w:color w:val="auto"/>
        </w:rPr>
        <w:t xml:space="preserve"> </w:t>
      </w:r>
      <w:r>
        <w:rPr>
          <w:rFonts w:ascii="Arial" w:cs="Arial" w:eastAsia="Arial" w:hAnsi="Arial"/>
          <w:sz w:val="20"/>
          <w:szCs w:val="20"/>
          <w:color w:val="auto"/>
        </w:rPr>
        <w:t>and restate the Existing Credit Agreement in its entirety and (b) set forth the terms and conditions under which the Lenders will from time to time make loans and extend other financial accommodations to the Borrower, as set forth below;</w:t>
      </w:r>
    </w:p>
    <w:p>
      <w:pPr>
        <w:spacing w:after="0" w:line="12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Lenders have agreed to extend a revolving credit facility to the Borrower, upon the terms and conditions specified</w:t>
      </w:r>
      <w:r>
        <w:rPr>
          <w:rFonts w:ascii="Arial" w:cs="Arial" w:eastAsia="Arial" w:hAnsi="Arial"/>
          <w:sz w:val="20"/>
          <w:szCs w:val="20"/>
          <w:b w:val="1"/>
          <w:bCs w:val="1"/>
          <w:color w:val="auto"/>
        </w:rPr>
        <w:t xml:space="preserve"> </w:t>
      </w:r>
      <w:r>
        <w:rPr>
          <w:rFonts w:ascii="Arial" w:cs="Arial" w:eastAsia="Arial" w:hAnsi="Arial"/>
          <w:sz w:val="20"/>
          <w:szCs w:val="20"/>
          <w:color w:val="auto"/>
        </w:rPr>
        <w:t>in this Agreement, in an aggregate principal amount not to exceed $100,000,000, including a letter of credit sub-facility in the aggregate availability amount of $10,000,000 (as a sublimit of the revolving loan facility), and a swingline sub-facility in the aggregate availability amount of $10,000,000; (as a sublimit of the revolving loan facility);</w:t>
      </w:r>
    </w:p>
    <w:p>
      <w:pPr>
        <w:spacing w:after="0" w:line="129"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Borrower has agreed to secure all of its Obligations by granting to the Administrative Agent, for the benefit of the</w:t>
      </w:r>
      <w:r>
        <w:rPr>
          <w:rFonts w:ascii="Arial" w:cs="Arial" w:eastAsia="Arial" w:hAnsi="Arial"/>
          <w:sz w:val="20"/>
          <w:szCs w:val="20"/>
          <w:b w:val="1"/>
          <w:bCs w:val="1"/>
          <w:color w:val="auto"/>
        </w:rPr>
        <w:t xml:space="preserve"> </w:t>
      </w:r>
      <w:r>
        <w:rPr>
          <w:rFonts w:ascii="Arial" w:cs="Arial" w:eastAsia="Arial" w:hAnsi="Arial"/>
          <w:sz w:val="20"/>
          <w:szCs w:val="20"/>
          <w:color w:val="auto"/>
        </w:rPr>
        <w:t>Secured Parties, a first priority lien on substantially all of its assets; and</w:t>
      </w:r>
    </w:p>
    <w:p>
      <w:pPr>
        <w:spacing w:after="0" w:line="10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each of the Guarantors has agreed to guarantee the Obligations of the Borrower and to secure its respective Obligations</w:t>
      </w:r>
      <w:r>
        <w:rPr>
          <w:rFonts w:ascii="Arial" w:cs="Arial" w:eastAsia="Arial" w:hAnsi="Arial"/>
          <w:sz w:val="20"/>
          <w:szCs w:val="20"/>
          <w:b w:val="1"/>
          <w:bCs w:val="1"/>
          <w:color w:val="auto"/>
        </w:rPr>
        <w:t xml:space="preserve"> </w:t>
      </w:r>
      <w:r>
        <w:rPr>
          <w:rFonts w:ascii="Arial" w:cs="Arial" w:eastAsia="Arial" w:hAnsi="Arial"/>
          <w:sz w:val="20"/>
          <w:szCs w:val="20"/>
          <w:color w:val="auto"/>
        </w:rPr>
        <w:t>in respect of such guarantee by granting to the Administrative Agent, for the benefit of the Secured Parties, a first priority lien on substantially all of its assets.</w:t>
      </w:r>
    </w:p>
    <w:p>
      <w:pPr>
        <w:spacing w:after="0" w:line="12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conditions and agreements set forth in this Agreement, and for good and</w:t>
      </w:r>
      <w:r>
        <w:rPr>
          <w:rFonts w:ascii="Arial" w:cs="Arial" w:eastAsia="Arial" w:hAnsi="Arial"/>
          <w:sz w:val="18"/>
          <w:szCs w:val="18"/>
          <w:b w:val="1"/>
          <w:bCs w:val="1"/>
          <w:color w:val="auto"/>
        </w:rPr>
        <w:t xml:space="preserve"> </w:t>
      </w:r>
      <w:r>
        <w:rPr>
          <w:rFonts w:ascii="Arial" w:cs="Arial" w:eastAsia="Arial" w:hAnsi="Arial"/>
          <w:sz w:val="18"/>
          <w:szCs w:val="18"/>
          <w:color w:val="auto"/>
        </w:rPr>
        <w:t>valuable consideration, the receipt of which is hereby acknowledged, the parties hereto hereby agree that the Existing Credit Agreement shall be amended and restated in its entirety to read as follows (it being agreed that this Agreement shall not be deemed to evidence or result in a novation or repayment and reborrowing of the Obligations under, and as defined in, the Existing Credit Agreement):</w:t>
      </w:r>
    </w:p>
    <w:p>
      <w:pPr>
        <w:spacing w:after="0" w:line="97" w:lineRule="exact"/>
        <w:rPr>
          <w:sz w:val="20"/>
          <w:szCs w:val="20"/>
          <w:color w:val="auto"/>
        </w:rPr>
      </w:pPr>
    </w:p>
    <w:p>
      <w:pPr>
        <w:ind w:left="5260"/>
        <w:spacing w:after="0"/>
        <w:rPr>
          <w:sz w:val="20"/>
          <w:szCs w:val="20"/>
          <w:color w:val="auto"/>
        </w:rPr>
      </w:pPr>
      <w:r>
        <w:rPr>
          <w:rFonts w:ascii="Arial" w:cs="Arial" w:eastAsia="Arial" w:hAnsi="Arial"/>
          <w:sz w:val="20"/>
          <w:szCs w:val="20"/>
          <w:b w:val="1"/>
          <w:bCs w:val="1"/>
          <w:color w:val="auto"/>
        </w:rPr>
        <w:t>SECTION 1</w:t>
      </w:r>
    </w:p>
    <w:p>
      <w:pPr>
        <w:spacing w:after="0" w:line="22" w:lineRule="exact"/>
        <w:rPr>
          <w:sz w:val="20"/>
          <w:szCs w:val="20"/>
          <w:color w:val="auto"/>
        </w:rPr>
      </w:pPr>
    </w:p>
    <w:p>
      <w:pPr>
        <w:ind w:left="4960"/>
        <w:spacing w:after="0"/>
        <w:rPr>
          <w:sz w:val="20"/>
          <w:szCs w:val="20"/>
          <w:color w:val="auto"/>
        </w:rPr>
      </w:pPr>
      <w:r>
        <w:rPr>
          <w:rFonts w:ascii="Arial" w:cs="Arial" w:eastAsia="Arial" w:hAnsi="Arial"/>
          <w:sz w:val="20"/>
          <w:szCs w:val="20"/>
          <w:b w:val="1"/>
          <w:bCs w:val="1"/>
          <w:color w:val="auto"/>
        </w:rPr>
        <w:t>DEFINITIONS</w:t>
      </w:r>
    </w:p>
    <w:p>
      <w:pPr>
        <w:spacing w:after="0" w:line="14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1.1 Defined Terms</w:t>
      </w:r>
      <w:r>
        <w:rPr>
          <w:rFonts w:ascii="Arial" w:cs="Arial" w:eastAsia="Arial" w:hAnsi="Arial"/>
          <w:sz w:val="20"/>
          <w:szCs w:val="20"/>
          <w:color w:val="auto"/>
        </w:rPr>
        <w:t>. As used in this Agreement (including the recitals hereof), the terms listed in this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1.1</w:t>
      </w:r>
      <w:r>
        <w:rPr>
          <w:rFonts w:ascii="Arial" w:cs="Arial" w:eastAsia="Arial" w:hAnsi="Arial"/>
          <w:sz w:val="20"/>
          <w:szCs w:val="20"/>
          <w:b w:val="1"/>
          <w:bCs w:val="1"/>
          <w:color w:val="auto"/>
        </w:rPr>
        <w:t xml:space="preserve"> </w:t>
      </w:r>
      <w:r>
        <w:rPr>
          <w:rFonts w:ascii="Arial" w:cs="Arial" w:eastAsia="Arial" w:hAnsi="Arial"/>
          <w:sz w:val="20"/>
          <w:szCs w:val="20"/>
          <w:color w:val="auto"/>
        </w:rPr>
        <w:t>shall have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respective meanings set forth in this </w:t>
      </w:r>
      <w:r>
        <w:rPr>
          <w:rFonts w:ascii="Arial" w:cs="Arial" w:eastAsia="Arial" w:hAnsi="Arial"/>
          <w:sz w:val="20"/>
          <w:szCs w:val="20"/>
          <w:u w:val="single" w:color="auto"/>
          <w:color w:val="auto"/>
        </w:rPr>
        <w:t>Section 1.1</w:t>
      </w:r>
      <w:r>
        <w:rPr>
          <w:rFonts w:ascii="Arial" w:cs="Arial" w:eastAsia="Arial" w:hAnsi="Arial"/>
          <w:sz w:val="20"/>
          <w:szCs w:val="20"/>
          <w:color w:val="auto"/>
        </w:rPr>
        <w: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765" w:right="339" w:bottom="1440" w:gutter="0" w:footer="0" w:header="0"/>
        </w:sectPr>
      </w:pPr>
    </w:p>
    <w:bookmarkStart w:id="388" w:name="page389"/>
    <w:bookmarkEnd w:id="388"/>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ABR</w:t>
      </w:r>
      <w:r>
        <w:rPr>
          <w:rFonts w:ascii="Arial" w:cs="Arial" w:eastAsia="Arial" w:hAnsi="Arial"/>
          <w:sz w:val="18"/>
          <w:szCs w:val="18"/>
          <w:color w:val="auto"/>
        </w:rPr>
        <w:t>”: for any day, a rate per annum equal to the highest of (a) the Prime Rate in effect on such day, (b) the Federal Funds Effective Rate in effect for such day plus 0.50%, and (c) 3.25%. Any change in the ABR due to a change in any of the Prime Rate or the Federal Funds Effective Rate, as the case may be, shall be effective as of the opening of business on the effective day of the change in such rates.</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ABR Loans</w:t>
      </w:r>
      <w:r>
        <w:rPr>
          <w:rFonts w:ascii="Arial" w:cs="Arial" w:eastAsia="Arial" w:hAnsi="Arial"/>
          <w:sz w:val="20"/>
          <w:szCs w:val="20"/>
          <w:color w:val="auto"/>
        </w:rPr>
        <w:t>”: Loans, the rate of interest applicable to which is based upon the ABR.</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Account Debtor</w:t>
      </w:r>
      <w:r>
        <w:rPr>
          <w:rFonts w:ascii="Arial" w:cs="Arial" w:eastAsia="Arial" w:hAnsi="Arial"/>
          <w:sz w:val="20"/>
          <w:szCs w:val="20"/>
          <w:color w:val="auto"/>
        </w:rPr>
        <w:t>”: any Person who may become obligated to any Person under, with respect to, or on account of, an Account, chattel paper or general intangibles (including a payment intangible). Unless otherwise stated, the term “Account Debtor,” when used herein, shall mean an Account Debtor in respect of an Account of a Group Member.</w:t>
      </w:r>
    </w:p>
    <w:p>
      <w:pPr>
        <w:spacing w:after="0" w:line="13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Accounts</w:t>
      </w:r>
      <w:r>
        <w:rPr>
          <w:rFonts w:ascii="Arial" w:cs="Arial" w:eastAsia="Arial" w:hAnsi="Arial"/>
          <w:sz w:val="18"/>
          <w:szCs w:val="18"/>
          <w:color w:val="auto"/>
        </w:rPr>
        <w:t>”: all “accounts” (as defined in the UCC) of a Person, including, without limitation, accounts, accounts receivable, monies due or to become due and obligations in any form (whether arising in connection with contracts, contract rights, instruments, general intangibles, or chattel paper), in each case whether arising out of goods sold or services rendered or from any other transaction and whether or not earned by performance, now or hereafter in existence, and all documents of title or other documents representing any of the foregoing, and all collateral security and guaranties of any kind, now or hereafter in existence, given by any Person with respect to any of the foregoing. Unless otherwise stated, the term “Account,” when used herein, shall mean an Account of a Group Member.</w:t>
      </w:r>
    </w:p>
    <w:p>
      <w:pPr>
        <w:spacing w:after="0" w:line="11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Adjusted Quick Ratio</w:t>
      </w:r>
      <w:r>
        <w:rPr>
          <w:rFonts w:ascii="Arial" w:cs="Arial" w:eastAsia="Arial" w:hAnsi="Arial"/>
          <w:sz w:val="20"/>
          <w:szCs w:val="20"/>
          <w:color w:val="auto"/>
        </w:rPr>
        <w:t>”: as of any date of determination, (a) the sum of (i) Qualified Cash, plus (ii) net billed trade Accounts of the Loan Parties, plus (iii) Unbilled Accounts Receivable; divided by (b) the result of (i) Current Liabilities minus (ii) to the extent included in Current Liabilities, the current portion of Deferred Revenue.</w:t>
      </w:r>
    </w:p>
    <w:p>
      <w:pPr>
        <w:spacing w:after="0" w:line="1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Administrative Agent</w:t>
      </w:r>
      <w:r>
        <w:rPr>
          <w:rFonts w:ascii="Arial" w:cs="Arial" w:eastAsia="Arial" w:hAnsi="Arial"/>
          <w:sz w:val="20"/>
          <w:szCs w:val="20"/>
          <w:color w:val="auto"/>
        </w:rPr>
        <w:t>”: SVB, as the administrative agent under this Agreement and the other Loan Documents, together with any of its successors in such capacity.</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Affected Financial Institution</w:t>
      </w:r>
      <w:r>
        <w:rPr>
          <w:rFonts w:ascii="Arial" w:cs="Arial" w:eastAsia="Arial" w:hAnsi="Arial"/>
          <w:sz w:val="20"/>
          <w:szCs w:val="20"/>
          <w:color w:val="auto"/>
        </w:rPr>
        <w:t>”: (a) any EEA Financial Institution or (b) any UK Financial Institution.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Affected Lender</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2.23</w:t>
      </w:r>
      <w:r>
        <w:rPr>
          <w:rFonts w:ascii="Arial" w:cs="Arial" w:eastAsia="Arial" w:hAnsi="Arial"/>
          <w:sz w:val="20"/>
          <w:szCs w:val="20"/>
          <w:color w:val="auto"/>
        </w:rPr>
        <w:t>.</w:t>
      </w:r>
    </w:p>
    <w:p>
      <w:pPr>
        <w:spacing w:after="0" w:line="162"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xml:space="preserve">”: with respect to a specified Person, another Person that directly, or indirectly through one or more intermediaries, Controls or is Controlled by or is under common Control with the Person specified; </w:t>
      </w:r>
      <w:r>
        <w:rPr>
          <w:rFonts w:ascii="Arial" w:cs="Arial" w:eastAsia="Arial" w:hAnsi="Arial"/>
          <w:sz w:val="18"/>
          <w:szCs w:val="18"/>
          <w:u w:val="single" w:color="auto"/>
          <w:color w:val="auto"/>
        </w:rPr>
        <w:t>provided that</w:t>
      </w:r>
      <w:r>
        <w:rPr>
          <w:rFonts w:ascii="Arial" w:cs="Arial" w:eastAsia="Arial" w:hAnsi="Arial"/>
          <w:sz w:val="18"/>
          <w:szCs w:val="18"/>
          <w:color w:val="auto"/>
        </w:rPr>
        <w:t>, neither the Administrative Agent nor the Lenders shall be deemed Affiliates of the Loan Parties as a result of the exercise of their rights and remedies under the Loan Documents.</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Agent Parties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10.2(d)(ii)</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Aggregate Exposure</w:t>
      </w:r>
      <w:r>
        <w:rPr>
          <w:rFonts w:ascii="Arial" w:cs="Arial" w:eastAsia="Arial" w:hAnsi="Arial"/>
          <w:sz w:val="20"/>
          <w:szCs w:val="20"/>
          <w:color w:val="auto"/>
        </w:rPr>
        <w:t>”: with respect to any Lender at any time, an amount equal to the sum of (a) the amount of such Lender’s Revolving Commitment then in effect or, if the Revolving Commitments have been terminated, the amount of such Lender’s Revolving Extensions of Credit then outstanding, and (b) without duplication of clause (a), the L/C Commitment of such Lender then in effect (as a sublimit of the Revolving Commitment of such Lender).</w:t>
      </w:r>
    </w:p>
    <w:p>
      <w:pPr>
        <w:spacing w:after="0" w:line="13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Aggregate Exposure Percentage</w:t>
      </w:r>
      <w:r>
        <w:rPr>
          <w:rFonts w:ascii="Arial" w:cs="Arial" w:eastAsia="Arial" w:hAnsi="Arial"/>
          <w:sz w:val="20"/>
          <w:szCs w:val="20"/>
          <w:color w:val="auto"/>
        </w:rPr>
        <w:t>”: with respect to any Lender at any time, the ratio (expressed as a percentage) of such Lender’s Aggregate Exposure at such time to the Aggregate Exposure of all Lenders at such time.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771" w:right="339" w:bottom="1440" w:gutter="0" w:footer="0" w:header="0"/>
        </w:sectPr>
      </w:pPr>
    </w:p>
    <w:bookmarkStart w:id="389" w:name="page390"/>
    <w:bookmarkEnd w:id="389"/>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as defined in the preamble hereto.</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Alternative Currency</w:t>
      </w:r>
      <w:r>
        <w:rPr>
          <w:rFonts w:ascii="Arial" w:cs="Arial" w:eastAsia="Arial" w:hAnsi="Arial"/>
          <w:sz w:val="20"/>
          <w:szCs w:val="20"/>
          <w:color w:val="auto"/>
        </w:rPr>
        <w:t xml:space="preserve">”: each of the following currencies: Sterling, Euro or Australian Dollars, together with each other currency (other than Dollars) that is approved in accordance with </w:t>
      </w:r>
      <w:r>
        <w:rPr>
          <w:rFonts w:ascii="Arial" w:cs="Arial" w:eastAsia="Arial" w:hAnsi="Arial"/>
          <w:sz w:val="20"/>
          <w:szCs w:val="20"/>
          <w:u w:val="single" w:color="auto"/>
          <w:color w:val="auto"/>
        </w:rPr>
        <w:t>Section 1.5</w:t>
      </w:r>
      <w:r>
        <w:rPr>
          <w:rFonts w:ascii="Arial" w:cs="Arial" w:eastAsia="Arial" w:hAnsi="Arial"/>
          <w:sz w:val="20"/>
          <w:szCs w:val="20"/>
          <w:color w:val="auto"/>
        </w:rPr>
        <w:t>.</w:t>
      </w:r>
    </w:p>
    <w:p>
      <w:pPr>
        <w:spacing w:after="0" w:line="1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Alternative Currency Equivalent</w:t>
      </w:r>
      <w:r>
        <w:rPr>
          <w:rFonts w:ascii="Arial" w:cs="Arial" w:eastAsia="Arial" w:hAnsi="Arial"/>
          <w:sz w:val="20"/>
          <w:szCs w:val="20"/>
          <w:color w:val="auto"/>
        </w:rPr>
        <w:t>”: at any time, with respect to any amount denominated in Dollars, the equivalent amount thereof in the applicable Alternative Currency as determined by the Administrative Agent or the Issuing Lender, as the case may be, at such time on the basis of the Spot Rate (determined in respect of the most recent Revaluation Date) for the purchase of such Alternative Currency with Dollars.</w:t>
      </w:r>
    </w:p>
    <w:p>
      <w:pPr>
        <w:spacing w:after="0" w:line="13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Applicable Margin</w:t>
      </w:r>
      <w:r>
        <w:rPr>
          <w:rFonts w:ascii="Arial" w:cs="Arial" w:eastAsia="Arial" w:hAnsi="Arial"/>
          <w:sz w:val="20"/>
          <w:szCs w:val="20"/>
          <w:color w:val="auto"/>
        </w:rPr>
        <w:t>”: commencing on the first day of the second full quarter ending after the Closing Date, the rate per annum set forth under the relevant column heading below based on the applicable Average Daily Usage for the prior quarter:</w:t>
      </w:r>
    </w:p>
    <w:p>
      <w:pPr>
        <w:spacing w:after="0" w:line="147" w:lineRule="exact"/>
        <w:rPr>
          <w:sz w:val="20"/>
          <w:szCs w:val="20"/>
          <w:color w:val="auto"/>
        </w:rPr>
      </w:pPr>
    </w:p>
    <w:tbl>
      <w:tblPr>
        <w:tblLayout w:type="fixed"/>
        <w:tblInd w:w="1430" w:type="dxa"/>
        <w:tblCellMar>
          <w:top w:w="0" w:type="dxa"/>
          <w:left w:w="0" w:type="dxa"/>
          <w:bottom w:w="0" w:type="dxa"/>
          <w:right w:w="0" w:type="dxa"/>
        </w:tblCellMar>
      </w:tblPr>
      <w:tr>
        <w:trPr>
          <w:trHeight w:val="288"/>
        </w:trPr>
        <w:tc>
          <w:tcPr>
            <w:tcW w:w="13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Level</w:t>
            </w:r>
          </w:p>
        </w:tc>
        <w:tc>
          <w:tcPr>
            <w:tcW w:w="440" w:type="dxa"/>
            <w:vAlign w:val="bottom"/>
            <w:tcBorders>
              <w:top w:val="single" w:sz="8" w:color="auto"/>
            </w:tcBorders>
          </w:tcPr>
          <w:p>
            <w:pPr>
              <w:spacing w:after="0"/>
              <w:rPr>
                <w:sz w:val="24"/>
                <w:szCs w:val="24"/>
                <w:color w:val="auto"/>
              </w:rPr>
            </w:pPr>
          </w:p>
        </w:tc>
        <w:tc>
          <w:tcPr>
            <w:tcW w:w="2280" w:type="dxa"/>
            <w:vAlign w:val="bottom"/>
            <w:tcBorders>
              <w:top w:val="single" w:sz="8" w:color="auto"/>
              <w:right w:val="single" w:sz="8" w:color="auto"/>
            </w:tcBorders>
            <w:gridSpan w:val="2"/>
          </w:tcPr>
          <w:p>
            <w:pPr>
              <w:jc w:val="right"/>
              <w:ind w:right="520"/>
              <w:spacing w:after="0"/>
              <w:rPr>
                <w:sz w:val="20"/>
                <w:szCs w:val="20"/>
                <w:color w:val="auto"/>
              </w:rPr>
            </w:pPr>
            <w:r>
              <w:rPr>
                <w:rFonts w:ascii="Arial" w:cs="Arial" w:eastAsia="Arial" w:hAnsi="Arial"/>
                <w:sz w:val="20"/>
                <w:szCs w:val="20"/>
                <w:b w:val="1"/>
                <w:bCs w:val="1"/>
                <w:color w:val="auto"/>
                <w:w w:val="87"/>
              </w:rPr>
              <w:t>Average Daily Usage</w:t>
            </w: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Applicable Margin for</w:t>
            </w:r>
          </w:p>
        </w:tc>
        <w:tc>
          <w:tcPr>
            <w:tcW w:w="2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Applicable Margin for</w:t>
            </w:r>
          </w:p>
        </w:tc>
      </w:tr>
      <w:tr>
        <w:trPr>
          <w:trHeight w:val="243"/>
        </w:trPr>
        <w:tc>
          <w:tcPr>
            <w:tcW w:w="1300" w:type="dxa"/>
            <w:vAlign w:val="bottom"/>
            <w:tcBorders>
              <w:left w:val="single" w:sz="8" w:color="auto"/>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Eurodollar</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ABR Loans</w:t>
            </w:r>
          </w:p>
        </w:tc>
      </w:tr>
      <w:tr>
        <w:trPr>
          <w:trHeight w:val="256"/>
        </w:trPr>
        <w:tc>
          <w:tcPr>
            <w:tcW w:w="1300" w:type="dxa"/>
            <w:vAlign w:val="bottom"/>
            <w:tcBorders>
              <w:left w:val="single" w:sz="8" w:color="auto"/>
              <w:right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Loans</w:t>
            </w:r>
          </w:p>
        </w:tc>
        <w:tc>
          <w:tcPr>
            <w:tcW w:w="2260" w:type="dxa"/>
            <w:vAlign w:val="bottom"/>
            <w:tcBorders>
              <w:right w:val="single" w:sz="8" w:color="auto"/>
            </w:tcBorders>
          </w:tcPr>
          <w:p>
            <w:pPr>
              <w:spacing w:after="0"/>
              <w:rPr>
                <w:sz w:val="22"/>
                <w:szCs w:val="22"/>
                <w:color w:val="auto"/>
              </w:rPr>
            </w:pPr>
          </w:p>
        </w:tc>
      </w:tr>
      <w:tr>
        <w:trPr>
          <w:trHeight w:val="23"/>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68"/>
        </w:trPr>
        <w:tc>
          <w:tcPr>
            <w:tcW w:w="1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I</w:t>
            </w:r>
          </w:p>
        </w:tc>
        <w:tc>
          <w:tcPr>
            <w:tcW w:w="2720" w:type="dxa"/>
            <w:vAlign w:val="bottom"/>
            <w:tcBorders>
              <w:right w:val="single" w:sz="8" w:color="auto"/>
            </w:tcBorders>
            <w:gridSpan w:val="3"/>
          </w:tcPr>
          <w:p>
            <w:pPr>
              <w:jc w:val="right"/>
              <w:ind w:right="1140"/>
              <w:spacing w:after="0"/>
              <w:rPr>
                <w:sz w:val="20"/>
                <w:szCs w:val="20"/>
                <w:color w:val="auto"/>
              </w:rPr>
            </w:pPr>
            <w:r>
              <w:rPr>
                <w:rFonts w:ascii="Arial" w:cs="Arial" w:eastAsia="Arial" w:hAnsi="Arial"/>
                <w:sz w:val="20"/>
                <w:szCs w:val="20"/>
                <w:color w:val="auto"/>
              </w:rPr>
              <w:t>&gt; $50,000,000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3.00%</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2.00%</w:t>
            </w:r>
          </w:p>
        </w:tc>
      </w:tr>
      <w:tr>
        <w:trPr>
          <w:trHeight w:val="37"/>
        </w:trPr>
        <w:tc>
          <w:tcPr>
            <w:tcW w:w="1300" w:type="dxa"/>
            <w:vAlign w:val="bottom"/>
            <w:tcBorders>
              <w:left w:val="single" w:sz="8" w:color="auto"/>
              <w:bottom w:val="single" w:sz="8" w:color="auto"/>
              <w:right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r>
      <w:tr>
        <w:trPr>
          <w:trHeight w:val="223"/>
        </w:trPr>
        <w:tc>
          <w:tcPr>
            <w:tcW w:w="1300" w:type="dxa"/>
            <w:vAlign w:val="bottom"/>
            <w:tcBorders>
              <w:left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II</w:t>
            </w:r>
          </w:p>
        </w:tc>
        <w:tc>
          <w:tcPr>
            <w:tcW w:w="2720" w:type="dxa"/>
            <w:vAlign w:val="bottom"/>
            <w:tcBorders>
              <w:right w:val="single" w:sz="8" w:color="auto"/>
            </w:tcBorders>
            <w:gridSpan w:val="3"/>
          </w:tcPr>
          <w:p>
            <w:pPr>
              <w:jc w:val="right"/>
              <w:ind w:right="1140"/>
              <w:spacing w:after="0" w:line="223" w:lineRule="exact"/>
              <w:rPr>
                <w:sz w:val="20"/>
                <w:szCs w:val="20"/>
                <w:color w:val="auto"/>
              </w:rPr>
            </w:pPr>
            <w:r>
              <w:rPr>
                <w:rFonts w:ascii="Arial" w:cs="Arial" w:eastAsia="Arial" w:hAnsi="Arial"/>
                <w:sz w:val="20"/>
                <w:szCs w:val="20"/>
                <w:color w:val="auto"/>
              </w:rPr>
              <w:t>&lt; $50,000,000</w:t>
            </w:r>
          </w:p>
        </w:tc>
        <w:tc>
          <w:tcPr>
            <w:tcW w:w="21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2.75%</w:t>
            </w:r>
          </w:p>
        </w:tc>
        <w:tc>
          <w:tcPr>
            <w:tcW w:w="22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1.75%</w:t>
            </w:r>
          </w:p>
        </w:tc>
      </w:tr>
      <w:tr>
        <w:trPr>
          <w:trHeight w:val="61"/>
        </w:trPr>
        <w:tc>
          <w:tcPr>
            <w:tcW w:w="1300" w:type="dxa"/>
            <w:vAlign w:val="bottom"/>
            <w:tcBorders>
              <w:left w:val="single" w:sz="8" w:color="auto"/>
              <w:bottom w:val="single" w:sz="8" w:color="auto"/>
              <w:right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160" w:type="dxa"/>
            <w:vAlign w:val="bottom"/>
            <w:tcBorders>
              <w:bottom w:val="single" w:sz="8" w:color="auto"/>
              <w:right w:val="single" w:sz="8" w:color="auto"/>
            </w:tcBorders>
          </w:tcPr>
          <w:p>
            <w:pPr>
              <w:spacing w:after="0"/>
              <w:rPr>
                <w:sz w:val="5"/>
                <w:szCs w:val="5"/>
                <w:color w:val="auto"/>
              </w:rPr>
            </w:pPr>
          </w:p>
        </w:tc>
        <w:tc>
          <w:tcPr>
            <w:tcW w:w="2160" w:type="dxa"/>
            <w:vAlign w:val="bottom"/>
            <w:tcBorders>
              <w:bottom w:val="single" w:sz="8" w:color="auto"/>
              <w:right w:val="single" w:sz="8" w:color="auto"/>
            </w:tcBorders>
          </w:tcPr>
          <w:p>
            <w:pPr>
              <w:spacing w:after="0"/>
              <w:rPr>
                <w:sz w:val="5"/>
                <w:szCs w:val="5"/>
                <w:color w:val="auto"/>
              </w:rPr>
            </w:pPr>
          </w:p>
        </w:tc>
        <w:tc>
          <w:tcPr>
            <w:tcW w:w="2260" w:type="dxa"/>
            <w:vAlign w:val="bottom"/>
            <w:tcBorders>
              <w:bottom w:val="single" w:sz="8" w:color="auto"/>
              <w:right w:val="single" w:sz="8" w:color="auto"/>
            </w:tcBorders>
          </w:tcPr>
          <w:p>
            <w:pPr>
              <w:spacing w:after="0"/>
              <w:rPr>
                <w:sz w:val="5"/>
                <w:szCs w:val="5"/>
                <w:color w:val="auto"/>
              </w:rPr>
            </w:pPr>
          </w:p>
        </w:tc>
      </w:tr>
    </w:tbl>
    <w:p>
      <w:pPr>
        <w:spacing w:after="0" w:line="24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Notwithstanding the foregoing, (a) until and including the last day of the first full calendar quarter ending after the Closing Date, the Applicable Margin shall be the rates corresponding to level II in the foregoing table, and (b) no reduction to the Applicable Margin shall become effective at any time when an Event of Default has occurred and is continuing.</w:t>
      </w:r>
    </w:p>
    <w:p>
      <w:pPr>
        <w:spacing w:after="0" w:line="13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Time</w:t>
      </w:r>
      <w:r>
        <w:rPr>
          <w:rFonts w:ascii="Arial" w:cs="Arial" w:eastAsia="Arial" w:hAnsi="Arial"/>
          <w:sz w:val="18"/>
          <w:szCs w:val="18"/>
          <w:color w:val="auto"/>
        </w:rPr>
        <w:t>”: with respect to any Revolving Extensions of Credit and payments in any Alternative Currency, the local time in the place of settlement for such Alternative Currency as may be determined by the Administrative Agent or the Issuing Lender, as the case may be, to be necessary for timely settlement on the relevant date in accordance with normal banking procedures in the place of payment.</w:t>
      </w:r>
    </w:p>
    <w:p>
      <w:pPr>
        <w:spacing w:after="0" w:line="9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Application</w:t>
      </w:r>
      <w:r>
        <w:rPr>
          <w:rFonts w:ascii="Arial" w:cs="Arial" w:eastAsia="Arial" w:hAnsi="Arial"/>
          <w:sz w:val="20"/>
          <w:szCs w:val="20"/>
          <w:color w:val="auto"/>
        </w:rPr>
        <w:t>”: an application, in such form as the Issuing Lender may specify from time to time, requesting the Issuing Lender to issue a Letter of Credit.</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Approved Fund</w:t>
      </w:r>
      <w:r>
        <w:rPr>
          <w:rFonts w:ascii="Arial" w:cs="Arial" w:eastAsia="Arial" w:hAnsi="Arial"/>
          <w:sz w:val="20"/>
          <w:szCs w:val="20"/>
          <w:color w:val="auto"/>
        </w:rPr>
        <w:t>”: any Fund that is administered or managed by (a) a Lender, (b) an Affiliate of a Lender, or (c) an entity or an Affiliate of an entity that administers or manages a Lender.</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Assignment and Assumption</w:t>
      </w:r>
      <w:r>
        <w:rPr>
          <w:rFonts w:ascii="Arial" w:cs="Arial" w:eastAsia="Arial" w:hAnsi="Arial"/>
          <w:sz w:val="20"/>
          <w:szCs w:val="20"/>
          <w:color w:val="auto"/>
        </w:rPr>
        <w:t xml:space="preserve">”: an assignment and assumption entered into by a Lender and an Eligible Assignee (with the consent of any party whose consent is required by </w:t>
      </w:r>
      <w:r>
        <w:rPr>
          <w:rFonts w:ascii="Arial" w:cs="Arial" w:eastAsia="Arial" w:hAnsi="Arial"/>
          <w:sz w:val="20"/>
          <w:szCs w:val="20"/>
          <w:u w:val="single" w:color="auto"/>
          <w:color w:val="auto"/>
        </w:rPr>
        <w:t>Section 10.6</w:t>
      </w:r>
      <w:r>
        <w:rPr>
          <w:rFonts w:ascii="Arial" w:cs="Arial" w:eastAsia="Arial" w:hAnsi="Arial"/>
          <w:sz w:val="20"/>
          <w:szCs w:val="20"/>
          <w:color w:val="auto"/>
        </w:rPr>
        <w:t xml:space="preserve">), and accepted by the Administrative Agent, in substantially the form of </w:t>
      </w:r>
      <w:r>
        <w:rPr>
          <w:rFonts w:ascii="Arial" w:cs="Arial" w:eastAsia="Arial" w:hAnsi="Arial"/>
          <w:sz w:val="20"/>
          <w:szCs w:val="20"/>
          <w:u w:val="single" w:color="auto"/>
          <w:color w:val="auto"/>
        </w:rPr>
        <w:t>Exhibit E</w:t>
      </w:r>
      <w:r>
        <w:rPr>
          <w:rFonts w:ascii="Arial" w:cs="Arial" w:eastAsia="Arial" w:hAnsi="Arial"/>
          <w:sz w:val="20"/>
          <w:szCs w:val="20"/>
          <w:color w:val="auto"/>
        </w:rPr>
        <w:t xml:space="preserve"> or any other form approved by the Administrative Agent.</w:t>
      </w:r>
    </w:p>
    <w:p>
      <w:pPr>
        <w:spacing w:after="0" w:line="13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Available Revolving Commitment</w:t>
      </w:r>
      <w:r>
        <w:rPr>
          <w:rFonts w:ascii="Arial" w:cs="Arial" w:eastAsia="Arial" w:hAnsi="Arial"/>
          <w:sz w:val="20"/>
          <w:szCs w:val="20"/>
          <w:color w:val="auto"/>
        </w:rPr>
        <w:t xml:space="preserve">”: at any time, an amount equal to (a) the Total Revolving Commitments in effect at such time,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(b) the Dollar Equivalent of the aggregate undrawn amount of all outstanding Letters of Credit at such time,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(c) the Dollar Equivalent of the aggregate amount of all L/C Disbursements that have not yet been reimbursed or converted into Revolving Loans or Swingline Loans at such time,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(d) the aggregate principal balance of any Revolving Loans and Swingline Loans outstanding at such time.</w:t>
      </w:r>
    </w:p>
    <w:p>
      <w:pPr>
        <w:spacing w:after="0" w:line="140" w:lineRule="exact"/>
        <w:rPr>
          <w:sz w:val="20"/>
          <w:szCs w:val="20"/>
          <w:color w:val="auto"/>
        </w:rPr>
      </w:pPr>
    </w:p>
    <w:p>
      <w:pPr>
        <w:jc w:val="both"/>
        <w:ind w:firstLine="648"/>
        <w:spacing w:after="0" w:line="3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Available Revolving Increase Amount</w:t>
      </w:r>
      <w:r>
        <w:rPr>
          <w:rFonts w:ascii="Arial" w:cs="Arial" w:eastAsia="Arial" w:hAnsi="Arial"/>
          <w:sz w:val="16"/>
          <w:szCs w:val="16"/>
          <w:color w:val="auto"/>
        </w:rPr>
        <w:t xml:space="preserve">”: as of any date of determination, an amount equal to the result of (a) $25,000,000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aggregate principal amount of Increases to the Revolving Commitments previously made pursuant to </w:t>
      </w:r>
      <w:r>
        <w:rPr>
          <w:rFonts w:ascii="Arial" w:cs="Arial" w:eastAsia="Arial" w:hAnsi="Arial"/>
          <w:sz w:val="16"/>
          <w:szCs w:val="16"/>
          <w:u w:val="single" w:color="auto"/>
          <w:color w:val="auto"/>
        </w:rPr>
        <w:t>Section 2.27</w:t>
      </w:r>
      <w:r>
        <w:rPr>
          <w:rFonts w:ascii="Arial" w:cs="Arial" w:eastAsia="Arial" w:hAnsi="Arial"/>
          <w:sz w:val="16"/>
          <w:szCs w:val="16"/>
          <w:color w:val="auto"/>
        </w:rPr>
        <w:t xml:space="preserve"> after the Closing Date.</w:t>
      </w:r>
    </w:p>
    <w:p>
      <w:pPr>
        <w:spacing w:after="0" w:line="3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Available Tenor</w:t>
      </w:r>
      <w:r>
        <w:rPr>
          <w:rFonts w:ascii="Arial" w:cs="Arial" w:eastAsia="Arial" w:hAnsi="Arial"/>
          <w:sz w:val="20"/>
          <w:szCs w:val="20"/>
          <w:color w:val="auto"/>
        </w:rPr>
        <w:t>”: as of any date of determination and with respect to the then-current Benchmark, as applicable, any tenor for such Benchmark or payment period for interest calculated with</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771" w:right="339" w:bottom="1440" w:gutter="0" w:footer="0" w:header="0"/>
        </w:sectPr>
      </w:pPr>
    </w:p>
    <w:bookmarkStart w:id="390" w:name="page391"/>
    <w:bookmarkEnd w:id="390"/>
    <w:p>
      <w:pPr>
        <w:jc w:val="both"/>
        <w:spacing w:after="0" w:line="250" w:lineRule="auto"/>
        <w:rPr>
          <w:sz w:val="20"/>
          <w:szCs w:val="20"/>
          <w:color w:val="auto"/>
        </w:rPr>
      </w:pPr>
      <w:r>
        <w:rPr>
          <w:rFonts w:ascii="Arial" w:cs="Arial" w:eastAsia="Arial" w:hAnsi="Arial"/>
          <w:sz w:val="20"/>
          <w:szCs w:val="20"/>
          <w:color w:val="auto"/>
        </w:rPr>
        <w:t xml:space="preserve">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w:t>
      </w:r>
      <w:r>
        <w:rPr>
          <w:rFonts w:ascii="Arial" w:cs="Arial" w:eastAsia="Arial" w:hAnsi="Arial"/>
          <w:sz w:val="20"/>
          <w:szCs w:val="20"/>
          <w:u w:val="single" w:color="auto"/>
          <w:color w:val="auto"/>
        </w:rPr>
        <w:t>Section 2.17(e)</w:t>
      </w:r>
      <w:r>
        <w:rPr>
          <w:rFonts w:ascii="Arial" w:cs="Arial" w:eastAsia="Arial" w:hAnsi="Arial"/>
          <w:sz w:val="20"/>
          <w:szCs w:val="20"/>
          <w:color w:val="auto"/>
        </w:rPr>
        <w:t>.</w:t>
      </w:r>
    </w:p>
    <w:p>
      <w:pPr>
        <w:spacing w:after="0" w:line="13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Average Daily Usage</w:t>
      </w:r>
      <w:r>
        <w:rPr>
          <w:rFonts w:ascii="Arial" w:cs="Arial" w:eastAsia="Arial" w:hAnsi="Arial"/>
          <w:sz w:val="20"/>
          <w:szCs w:val="20"/>
          <w:color w:val="auto"/>
        </w:rPr>
        <w:t>”: the average of the result of the sum of (a) the aggregate undrawn amount of all outstanding Letters of Credit at such time, (b) the aggregate amount of all Letter of Credit disbursements that have not yet been reimbursed or converted into Revolving Loans at such time, and (c) the aggregate principal balance of any Loans (including Swingline Loans) outstanding at such time for each day of the immediately preceding calendar quarter.</w:t>
      </w:r>
    </w:p>
    <w:p>
      <w:pPr>
        <w:spacing w:after="0" w:line="13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Bail-In Action</w:t>
      </w:r>
      <w:r>
        <w:rPr>
          <w:rFonts w:ascii="Arial" w:cs="Arial" w:eastAsia="Arial" w:hAnsi="Arial"/>
          <w:sz w:val="20"/>
          <w:szCs w:val="20"/>
          <w:color w:val="auto"/>
        </w:rPr>
        <w:t>”: the exercise of any Write-Down and Conversion Powers by the applicable EEA Resolution Authority in respect of any liability of an EEA Financial Institution.</w:t>
      </w:r>
    </w:p>
    <w:p>
      <w:pPr>
        <w:spacing w:after="0" w:line="12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Bail-In Legislation</w:t>
      </w:r>
      <w:r>
        <w:rPr>
          <w:rFonts w:ascii="Arial" w:cs="Arial" w:eastAsia="Arial" w:hAnsi="Arial"/>
          <w:sz w:val="20"/>
          <w:szCs w:val="20"/>
          <w:color w:val="auto"/>
        </w:rPr>
        <w:t>”: (a) with respect to any EEA Member Country implementing Article 55 of Directive 2014/59/EU of the European Parliament and of the Council of the European Union, the implementing law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Bankruptcy Code</w:t>
      </w:r>
      <w:r>
        <w:rPr>
          <w:rFonts w:ascii="Arial" w:cs="Arial" w:eastAsia="Arial" w:hAnsi="Arial"/>
          <w:sz w:val="20"/>
          <w:szCs w:val="20"/>
          <w:color w:val="auto"/>
        </w:rPr>
        <w:t>”: Title 11 of the United States Code entitled “Bankruptcy.”</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Benchmark</w:t>
      </w:r>
      <w:r>
        <w:rPr>
          <w:rFonts w:ascii="Arial" w:cs="Arial" w:eastAsia="Arial" w:hAnsi="Arial"/>
          <w:sz w:val="20"/>
          <w:szCs w:val="20"/>
          <w:color w:val="auto"/>
        </w:rPr>
        <w:t xml:space="preserve">”: initially, LIBOR;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 Benchmark Transition Event or an Early Opt-in Election, as applicable, and its related Benchmark Replacement Date have occurred with respect to LIBOR or the then-current Benchmark, then “Benchmark” means the applicable Benchmark Replacement to the extent that such Benchmark Replacement has replaced such prior benchmark rate pursuant to </w:t>
      </w:r>
      <w:r>
        <w:rPr>
          <w:rFonts w:ascii="Arial" w:cs="Arial" w:eastAsia="Arial" w:hAnsi="Arial"/>
          <w:sz w:val="20"/>
          <w:szCs w:val="20"/>
          <w:u w:val="single" w:color="auto"/>
          <w:color w:val="auto"/>
        </w:rPr>
        <w:t>Section 2.17(b)</w:t>
      </w:r>
      <w:r>
        <w:rPr>
          <w:rFonts w:ascii="Arial" w:cs="Arial" w:eastAsia="Arial" w:hAnsi="Arial"/>
          <w:sz w:val="20"/>
          <w:szCs w:val="20"/>
          <w:color w:val="auto"/>
        </w:rPr>
        <w:t>.</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Benchmark Replacement</w:t>
      </w:r>
      <w:r>
        <w:rPr>
          <w:rFonts w:ascii="Arial" w:cs="Arial" w:eastAsia="Arial" w:hAnsi="Arial"/>
          <w:sz w:val="18"/>
          <w:szCs w:val="18"/>
          <w:color w:val="auto"/>
        </w:rPr>
        <w:t>”: for any Available Tenor, the first alternative set forth in the order below that can be determined by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Agent for the applicable Benchmark Replacement Date:</w:t>
      </w:r>
    </w:p>
    <w:p>
      <w:pPr>
        <w:spacing w:after="0" w:line="146" w:lineRule="exact"/>
        <w:rPr>
          <w:sz w:val="20"/>
          <w:szCs w:val="20"/>
          <w:color w:val="auto"/>
        </w:rPr>
      </w:pPr>
    </w:p>
    <w:p>
      <w:pPr>
        <w:ind w:left="1740" w:hanging="436"/>
        <w:spacing w:after="0"/>
        <w:tabs>
          <w:tab w:leader="none" w:pos="1740" w:val="left"/>
        </w:tabs>
        <w:numPr>
          <w:ilvl w:val="0"/>
          <w:numId w:val="329"/>
        </w:numPr>
        <w:rPr>
          <w:rFonts w:ascii="Arial" w:cs="Arial" w:eastAsia="Arial" w:hAnsi="Arial"/>
          <w:sz w:val="20"/>
          <w:szCs w:val="20"/>
          <w:color w:val="auto"/>
        </w:rPr>
      </w:pPr>
      <w:r>
        <w:rPr>
          <w:rFonts w:ascii="Arial" w:cs="Arial" w:eastAsia="Arial" w:hAnsi="Arial"/>
          <w:sz w:val="20"/>
          <w:szCs w:val="20"/>
          <w:color w:val="auto"/>
        </w:rPr>
        <w:t>the sum of: (a) Term SOFR and (b) the related Benchmark Replacement Adjustment;</w:t>
      </w:r>
    </w:p>
    <w:p>
      <w:pPr>
        <w:spacing w:after="0" w:line="161" w:lineRule="exact"/>
        <w:rPr>
          <w:rFonts w:ascii="Arial" w:cs="Arial" w:eastAsia="Arial" w:hAnsi="Arial"/>
          <w:sz w:val="20"/>
          <w:szCs w:val="20"/>
          <w:color w:val="auto"/>
        </w:rPr>
      </w:pPr>
    </w:p>
    <w:p>
      <w:pPr>
        <w:ind w:left="1740" w:hanging="436"/>
        <w:spacing w:after="0"/>
        <w:tabs>
          <w:tab w:leader="none" w:pos="1740" w:val="left"/>
        </w:tabs>
        <w:numPr>
          <w:ilvl w:val="0"/>
          <w:numId w:val="329"/>
        </w:numPr>
        <w:rPr>
          <w:rFonts w:ascii="Arial" w:cs="Arial" w:eastAsia="Arial" w:hAnsi="Arial"/>
          <w:sz w:val="20"/>
          <w:szCs w:val="20"/>
          <w:color w:val="auto"/>
        </w:rPr>
      </w:pPr>
      <w:r>
        <w:rPr>
          <w:rFonts w:ascii="Arial" w:cs="Arial" w:eastAsia="Arial" w:hAnsi="Arial"/>
          <w:sz w:val="20"/>
          <w:szCs w:val="20"/>
          <w:color w:val="auto"/>
        </w:rPr>
        <w:t>the sum of: (a) Daily Simple SOFR and (b) the related Benchmark Replacement Adjustment;</w:t>
      </w:r>
    </w:p>
    <w:p>
      <w:pPr>
        <w:spacing w:after="0" w:line="161" w:lineRule="exact"/>
        <w:rPr>
          <w:rFonts w:ascii="Arial" w:cs="Arial" w:eastAsia="Arial" w:hAnsi="Arial"/>
          <w:sz w:val="20"/>
          <w:szCs w:val="20"/>
          <w:color w:val="auto"/>
        </w:rPr>
      </w:pPr>
    </w:p>
    <w:p>
      <w:pPr>
        <w:jc w:val="both"/>
        <w:ind w:left="660" w:firstLine="644"/>
        <w:spacing w:after="0" w:line="243" w:lineRule="auto"/>
        <w:tabs>
          <w:tab w:leader="none" w:pos="1741" w:val="left"/>
        </w:tabs>
        <w:numPr>
          <w:ilvl w:val="0"/>
          <w:numId w:val="329"/>
        </w:numPr>
        <w:rPr>
          <w:rFonts w:ascii="Arial" w:cs="Arial" w:eastAsia="Arial" w:hAnsi="Arial"/>
          <w:sz w:val="20"/>
          <w:szCs w:val="20"/>
          <w:color w:val="auto"/>
        </w:rPr>
      </w:pPr>
      <w:r>
        <w:rPr>
          <w:rFonts w:ascii="Arial" w:cs="Arial" w:eastAsia="Arial" w:hAnsi="Arial"/>
          <w:sz w:val="20"/>
          <w:szCs w:val="20"/>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credit facilities at such time and (b) the related Benchmark Replacement Adjustment;</w:t>
      </w:r>
    </w:p>
    <w:p>
      <w:pPr>
        <w:spacing w:after="0" w:line="14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clause (1), such Unadjusted Benchmark Replacement is displayed on a screen or other information service that publishes such rate from time to time as selected by the Administrative Agent in its reasonable discretion. If the Benchmark Replacement as determined pursuant to clause (1), (2) or (3) above would be less than the Floor, the Benchmark Replacement will be deemed to be the Floor for the purposes of this Agreement and the other Loan Documents.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771" w:right="339" w:bottom="1440" w:gutter="0" w:footer="0" w:header="0"/>
        </w:sectPr>
      </w:pPr>
    </w:p>
    <w:bookmarkStart w:id="391" w:name="page392"/>
    <w:bookmarkEnd w:id="391"/>
    <w:p>
      <w:pPr>
        <w:jc w:val="both"/>
        <w:ind w:right="20" w:firstLine="648"/>
        <w:spacing w:after="0" w:line="3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Benchmark Replacement Adjustment</w:t>
      </w:r>
      <w:r>
        <w:rPr>
          <w:rFonts w:ascii="Arial" w:cs="Arial" w:eastAsia="Arial" w:hAnsi="Arial"/>
          <w:sz w:val="16"/>
          <w:szCs w:val="16"/>
          <w:color w:val="auto"/>
        </w:rPr>
        <w:t>”: with respect to any replacement of the then current Benchmark with an Unadjusted Benchmark Replacement for any applicable Interest Period and Available Tenor for any setting of such Unadjusted Benchmark Replacement:</w:t>
      </w:r>
    </w:p>
    <w:p>
      <w:pPr>
        <w:spacing w:after="0" w:line="31" w:lineRule="exact"/>
        <w:rPr>
          <w:sz w:val="20"/>
          <w:szCs w:val="20"/>
          <w:color w:val="auto"/>
        </w:rPr>
      </w:pPr>
    </w:p>
    <w:p>
      <w:pPr>
        <w:ind w:left="660" w:firstLine="644"/>
        <w:spacing w:after="0" w:line="260" w:lineRule="auto"/>
        <w:tabs>
          <w:tab w:leader="none" w:pos="1779" w:val="left"/>
        </w:tabs>
        <w:numPr>
          <w:ilvl w:val="0"/>
          <w:numId w:val="330"/>
        </w:numPr>
        <w:rPr>
          <w:rFonts w:ascii="Arial" w:cs="Arial" w:eastAsia="Arial" w:hAnsi="Arial"/>
          <w:sz w:val="20"/>
          <w:szCs w:val="20"/>
          <w:color w:val="auto"/>
        </w:rPr>
      </w:pPr>
      <w:r>
        <w:rPr>
          <w:rFonts w:ascii="Arial" w:cs="Arial" w:eastAsia="Arial" w:hAnsi="Arial"/>
          <w:sz w:val="20"/>
          <w:szCs w:val="20"/>
          <w:color w:val="auto"/>
        </w:rPr>
        <w:t>for purposes of clauses (1) and (2) of the definition of “Benchmark Replacement,” the first alternative set forth in the order below that can be determined by the Administrative Agent:</w:t>
      </w:r>
    </w:p>
    <w:p>
      <w:pPr>
        <w:spacing w:after="0" w:line="122" w:lineRule="exact"/>
        <w:rPr>
          <w:rFonts w:ascii="Arial" w:cs="Arial" w:eastAsia="Arial" w:hAnsi="Arial"/>
          <w:sz w:val="20"/>
          <w:szCs w:val="20"/>
          <w:color w:val="auto"/>
        </w:rPr>
      </w:pPr>
    </w:p>
    <w:p>
      <w:pPr>
        <w:jc w:val="both"/>
        <w:ind w:left="1300" w:firstLine="652"/>
        <w:spacing w:after="0" w:line="263" w:lineRule="auto"/>
        <w:tabs>
          <w:tab w:leader="none" w:pos="2473" w:val="left"/>
        </w:tabs>
        <w:numPr>
          <w:ilvl w:val="1"/>
          <w:numId w:val="330"/>
        </w:numPr>
        <w:rPr>
          <w:rFonts w:ascii="Arial" w:cs="Arial" w:eastAsia="Arial" w:hAnsi="Arial"/>
          <w:sz w:val="19"/>
          <w:szCs w:val="19"/>
          <w:color w:val="auto"/>
        </w:rPr>
      </w:pPr>
      <w:r>
        <w:rPr>
          <w:rFonts w:ascii="Arial" w:cs="Arial" w:eastAsia="Arial" w:hAnsi="Arial"/>
          <w:sz w:val="19"/>
          <w:szCs w:val="19"/>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122" w:lineRule="exact"/>
        <w:rPr>
          <w:rFonts w:ascii="Arial" w:cs="Arial" w:eastAsia="Arial" w:hAnsi="Arial"/>
          <w:sz w:val="19"/>
          <w:szCs w:val="19"/>
          <w:color w:val="auto"/>
        </w:rPr>
      </w:pPr>
    </w:p>
    <w:p>
      <w:pPr>
        <w:jc w:val="both"/>
        <w:ind w:left="1300" w:firstLine="652"/>
        <w:spacing w:after="0" w:line="246" w:lineRule="auto"/>
        <w:tabs>
          <w:tab w:leader="none" w:pos="2480" w:val="left"/>
        </w:tabs>
        <w:numPr>
          <w:ilvl w:val="1"/>
          <w:numId w:val="330"/>
        </w:numPr>
        <w:rPr>
          <w:rFonts w:ascii="Arial" w:cs="Arial" w:eastAsia="Arial" w:hAnsi="Arial"/>
          <w:sz w:val="20"/>
          <w:szCs w:val="20"/>
          <w:color w:val="auto"/>
        </w:rPr>
      </w:pPr>
      <w:r>
        <w:rPr>
          <w:rFonts w:ascii="Arial" w:cs="Arial" w:eastAsia="Arial" w:hAnsi="Arial"/>
          <w:sz w:val="20"/>
          <w:szCs w:val="20"/>
          <w:color w:val="auto"/>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137" w:lineRule="exact"/>
        <w:rPr>
          <w:rFonts w:ascii="Arial" w:cs="Arial" w:eastAsia="Arial" w:hAnsi="Arial"/>
          <w:sz w:val="20"/>
          <w:szCs w:val="20"/>
          <w:color w:val="auto"/>
        </w:rPr>
      </w:pPr>
    </w:p>
    <w:p>
      <w:pPr>
        <w:jc w:val="both"/>
        <w:ind w:left="660" w:firstLine="644"/>
        <w:spacing w:after="0" w:line="273" w:lineRule="auto"/>
        <w:tabs>
          <w:tab w:leader="none" w:pos="18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for purposes of clause (3) of the definition of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U.S. dollar- denominated syndicated credit facilities;</w:t>
      </w:r>
    </w:p>
    <w:p>
      <w:pPr>
        <w:spacing w:after="0" w:line="11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clause (1) above, such adjustment is displayed on a screen or other information service that publishes such Benchmark Replacement Adjustment from time to time as selected by the Administrative Agent in its reasonable discretion.</w:t>
      </w:r>
    </w:p>
    <w:p>
      <w:pPr>
        <w:spacing w:after="0" w:line="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Benchmark Replacement Conforming Changes</w:t>
      </w:r>
      <w:r>
        <w:rPr>
          <w:rFonts w:ascii="Arial" w:cs="Arial" w:eastAsia="Arial" w:hAnsi="Arial"/>
          <w:sz w:val="19"/>
          <w:szCs w:val="19"/>
          <w:color w:val="auto"/>
        </w:rPr>
        <w:t>”: with respect to any Benchmark Replacement, any technical, administrative or operational changes (including changes to the definition of “ABR,”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Benchmark Replacement Date</w:t>
      </w:r>
      <w:r>
        <w:rPr>
          <w:rFonts w:ascii="Arial" w:cs="Arial" w:eastAsia="Arial" w:hAnsi="Arial"/>
          <w:sz w:val="19"/>
          <w:szCs w:val="19"/>
          <w:color w:val="auto"/>
        </w:rPr>
        <w:t>”: the earliest to occur of the following events with respect to the then-current Benchmark:</w:t>
      </w:r>
    </w:p>
    <w:p>
      <w:pPr>
        <w:spacing w:after="0" w:line="173" w:lineRule="exact"/>
        <w:rPr>
          <w:sz w:val="20"/>
          <w:szCs w:val="20"/>
          <w:color w:val="auto"/>
        </w:rPr>
      </w:pPr>
    </w:p>
    <w:p>
      <w:pPr>
        <w:jc w:val="both"/>
        <w:ind w:left="660" w:firstLine="644"/>
        <w:spacing w:after="0" w:line="250" w:lineRule="auto"/>
        <w:tabs>
          <w:tab w:leader="none" w:pos="1759" w:val="left"/>
        </w:tabs>
        <w:numPr>
          <w:ilvl w:val="0"/>
          <w:numId w:val="331"/>
        </w:numPr>
        <w:rPr>
          <w:rFonts w:ascii="Arial" w:cs="Arial" w:eastAsia="Arial" w:hAnsi="Arial"/>
          <w:sz w:val="20"/>
          <w:szCs w:val="20"/>
          <w:color w:val="auto"/>
        </w:rPr>
      </w:pPr>
      <w:r>
        <w:rPr>
          <w:rFonts w:ascii="Arial" w:cs="Arial" w:eastAsia="Arial" w:hAnsi="Arial"/>
          <w:sz w:val="20"/>
          <w:szCs w:val="20"/>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771" w:right="339" w:bottom="1440" w:gutter="0" w:footer="0" w:header="0"/>
        </w:sectPr>
      </w:pPr>
    </w:p>
    <w:bookmarkStart w:id="392" w:name="page393"/>
    <w:bookmarkEnd w:id="392"/>
    <w:p>
      <w:pPr>
        <w:ind w:left="660"/>
        <w:spacing w:after="0" w:line="260" w:lineRule="auto"/>
        <w:rPr>
          <w:sz w:val="20"/>
          <w:szCs w:val="20"/>
          <w:color w:val="auto"/>
        </w:rPr>
      </w:pPr>
      <w:r>
        <w:rPr>
          <w:rFonts w:ascii="Arial" w:cs="Arial" w:eastAsia="Arial" w:hAnsi="Arial"/>
          <w:sz w:val="20"/>
          <w:szCs w:val="20"/>
          <w:color w:val="auto"/>
        </w:rPr>
        <w:t>in the calculation thereof) permanently or indefinitely ceases to provide all Available Tenors of such Benchmark (or such component thereof);</w:t>
      </w:r>
    </w:p>
    <w:p>
      <w:pPr>
        <w:spacing w:after="0" w:line="123" w:lineRule="exact"/>
        <w:rPr>
          <w:sz w:val="20"/>
          <w:szCs w:val="20"/>
          <w:color w:val="auto"/>
        </w:rPr>
      </w:pPr>
    </w:p>
    <w:p>
      <w:pPr>
        <w:ind w:left="660" w:firstLine="644"/>
        <w:spacing w:after="0" w:line="260" w:lineRule="auto"/>
        <w:tabs>
          <w:tab w:leader="none" w:pos="1875" w:val="left"/>
        </w:tabs>
        <w:numPr>
          <w:ilvl w:val="0"/>
          <w:numId w:val="332"/>
        </w:numPr>
        <w:rPr>
          <w:rFonts w:ascii="Arial" w:cs="Arial" w:eastAsia="Arial" w:hAnsi="Arial"/>
          <w:sz w:val="20"/>
          <w:szCs w:val="20"/>
          <w:color w:val="auto"/>
        </w:rPr>
      </w:pPr>
      <w:r>
        <w:rPr>
          <w:rFonts w:ascii="Arial" w:cs="Arial" w:eastAsia="Arial" w:hAnsi="Arial"/>
          <w:sz w:val="20"/>
          <w:szCs w:val="20"/>
          <w:color w:val="auto"/>
        </w:rPr>
        <w:t>in the case of clause (3) of the definition of “Benchmark Transition Event,” the date of the public statement or publication of information referenced therein; or</w:t>
      </w:r>
    </w:p>
    <w:p>
      <w:pPr>
        <w:spacing w:after="0" w:line="122" w:lineRule="exact"/>
        <w:rPr>
          <w:rFonts w:ascii="Arial" w:cs="Arial" w:eastAsia="Arial" w:hAnsi="Arial"/>
          <w:sz w:val="20"/>
          <w:szCs w:val="20"/>
          <w:color w:val="auto"/>
        </w:rPr>
      </w:pPr>
    </w:p>
    <w:p>
      <w:pPr>
        <w:jc w:val="both"/>
        <w:ind w:left="660" w:firstLine="644"/>
        <w:spacing w:after="0" w:line="246" w:lineRule="auto"/>
        <w:tabs>
          <w:tab w:leader="none" w:pos="1756" w:val="left"/>
        </w:tabs>
        <w:numPr>
          <w:ilvl w:val="0"/>
          <w:numId w:val="332"/>
        </w:numPr>
        <w:rPr>
          <w:rFonts w:ascii="Arial" w:cs="Arial" w:eastAsia="Arial" w:hAnsi="Arial"/>
          <w:sz w:val="20"/>
          <w:szCs w:val="20"/>
          <w:color w:val="auto"/>
        </w:rPr>
      </w:pPr>
      <w:r>
        <w:rPr>
          <w:rFonts w:ascii="Arial" w:cs="Arial" w:eastAsia="Arial" w:hAnsi="Arial"/>
          <w:sz w:val="20"/>
          <w:szCs w:val="20"/>
          <w:color w:val="auto"/>
        </w:rPr>
        <w:t>in the case of an Early Opt-in Election, the sixth (6th) Business Day after the date notice of such Early Opt-in Election is provided to the Lenders, so long as the Administrative Agent has not received, by 5:00 p.m. on the fifth (5th) Business Day after the date notice of such Early Opt-in Election is provided to the Lenders, written notice of objection to such Early Opt-in Election from Lenders comprising the Required Lenders.</w:t>
      </w:r>
    </w:p>
    <w:p>
      <w:pPr>
        <w:spacing w:after="0" w:line="137"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Benchmark Transition Event</w:t>
      </w:r>
      <w:r>
        <w:rPr>
          <w:rFonts w:ascii="Arial" w:cs="Arial" w:eastAsia="Arial" w:hAnsi="Arial"/>
          <w:sz w:val="18"/>
          <w:szCs w:val="18"/>
          <w:color w:val="auto"/>
        </w:rPr>
        <w:t>”: the occurrence of one or more of the following events with respect to the then-current Benchmark:</w:t>
      </w:r>
    </w:p>
    <w:p>
      <w:pPr>
        <w:spacing w:after="0" w:line="185" w:lineRule="exact"/>
        <w:rPr>
          <w:sz w:val="20"/>
          <w:szCs w:val="20"/>
          <w:color w:val="auto"/>
        </w:rPr>
      </w:pPr>
    </w:p>
    <w:p>
      <w:pPr>
        <w:jc w:val="both"/>
        <w:ind w:left="660" w:firstLine="644"/>
        <w:spacing w:after="0" w:line="244" w:lineRule="auto"/>
        <w:tabs>
          <w:tab w:leader="none" w:pos="1862" w:val="left"/>
        </w:tabs>
        <w:numPr>
          <w:ilvl w:val="0"/>
          <w:numId w:val="333"/>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40" w:lineRule="exact"/>
        <w:rPr>
          <w:rFonts w:ascii="Arial" w:cs="Arial" w:eastAsia="Arial" w:hAnsi="Arial"/>
          <w:sz w:val="20"/>
          <w:szCs w:val="20"/>
          <w:color w:val="auto"/>
        </w:rPr>
      </w:pPr>
    </w:p>
    <w:p>
      <w:pPr>
        <w:jc w:val="both"/>
        <w:ind w:left="660" w:firstLine="644"/>
        <w:spacing w:after="0" w:line="273" w:lineRule="auto"/>
        <w:tabs>
          <w:tab w:leader="none" w:pos="1772"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such Benchmark (or the published component used in the calculation thereof), the Board of Governors of the Federal Reserve System,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14" w:lineRule="exact"/>
        <w:rPr>
          <w:rFonts w:ascii="Arial" w:cs="Arial" w:eastAsia="Arial" w:hAnsi="Arial"/>
          <w:sz w:val="18"/>
          <w:szCs w:val="18"/>
          <w:color w:val="auto"/>
        </w:rPr>
      </w:pPr>
    </w:p>
    <w:p>
      <w:pPr>
        <w:jc w:val="both"/>
        <w:ind w:left="660" w:firstLine="644"/>
        <w:spacing w:after="0" w:line="250" w:lineRule="auto"/>
        <w:tabs>
          <w:tab w:leader="none" w:pos="1772" w:val="left"/>
        </w:tabs>
        <w:numPr>
          <w:ilvl w:val="0"/>
          <w:numId w:val="333"/>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13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3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Benchmark Unavailability Period</w:t>
      </w:r>
      <w:r>
        <w:rPr>
          <w:rFonts w:ascii="Arial" w:cs="Arial" w:eastAsia="Arial" w:hAnsi="Arial"/>
          <w:sz w:val="18"/>
          <w:szCs w:val="18"/>
          <w:color w:val="auto"/>
        </w:rPr>
        <w:t xml:space="preserve">”: the period (if any) (x) beginning at the time that a Benchmark Replacement Date pursuant to clauses (1) or (2) of that definition has occurred if, at such time, no Benchmark Replacement has replaced the then-current Benchmark for all purposes hereunder and under any Loan Document in accordance with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and (y) ending at the time that a</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771" w:right="339" w:bottom="1440" w:gutter="0" w:footer="0" w:header="0"/>
        </w:sectPr>
      </w:pPr>
    </w:p>
    <w:bookmarkStart w:id="393" w:name="page394"/>
    <w:bookmarkEnd w:id="393"/>
    <w:p>
      <w:pPr>
        <w:jc w:val="both"/>
        <w:ind w:right="20"/>
        <w:spacing w:after="0" w:line="260" w:lineRule="auto"/>
        <w:rPr>
          <w:sz w:val="20"/>
          <w:szCs w:val="20"/>
          <w:color w:val="auto"/>
        </w:rPr>
      </w:pPr>
      <w:r>
        <w:rPr>
          <w:rFonts w:ascii="Arial" w:cs="Arial" w:eastAsia="Arial" w:hAnsi="Arial"/>
          <w:sz w:val="20"/>
          <w:szCs w:val="20"/>
          <w:color w:val="auto"/>
        </w:rPr>
        <w:t xml:space="preserve">Benchmark Replacement has replaced the then-current Benchmark for all purposes hereunder and under any Loan Document in accordance with </w:t>
      </w:r>
      <w:r>
        <w:rPr>
          <w:rFonts w:ascii="Arial" w:cs="Arial" w:eastAsia="Arial" w:hAnsi="Arial"/>
          <w:sz w:val="20"/>
          <w:szCs w:val="20"/>
          <w:u w:val="single" w:color="auto"/>
          <w:color w:val="auto"/>
        </w:rPr>
        <w:t>Section 2.17</w:t>
      </w:r>
      <w:r>
        <w:rPr>
          <w:rFonts w:ascii="Arial" w:cs="Arial" w:eastAsia="Arial" w:hAnsi="Arial"/>
          <w:sz w:val="20"/>
          <w:szCs w:val="20"/>
          <w:color w:val="auto"/>
        </w:rPr>
        <w:t>.</w:t>
      </w:r>
    </w:p>
    <w:p>
      <w:pPr>
        <w:spacing w:after="0" w:line="1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Beneficial Ownership Certification</w:t>
      </w:r>
      <w:r>
        <w:rPr>
          <w:rFonts w:ascii="Arial" w:cs="Arial" w:eastAsia="Arial" w:hAnsi="Arial"/>
          <w:sz w:val="20"/>
          <w:szCs w:val="20"/>
          <w:color w:val="auto"/>
        </w:rPr>
        <w:t>”: a certification regarding beneficial ownership required by the Beneficial Ownership Regulation, which certification shall be substantially similar in form and substance to the form of Certification Regarding Beneficial Owners of Legal Entity Customers published jointly, in May 2018, by the Loan Syndications and Trading Association and Securities Industry and Financial Markets Association.</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Beneficial Ownership Regulation</w:t>
      </w:r>
      <w:r>
        <w:rPr>
          <w:rFonts w:ascii="Arial" w:cs="Arial" w:eastAsia="Arial" w:hAnsi="Arial"/>
          <w:sz w:val="20"/>
          <w:szCs w:val="20"/>
          <w:color w:val="auto"/>
        </w:rPr>
        <w:t>”: United States 31 C.F.R. § 1010.230.</w:t>
      </w:r>
    </w:p>
    <w:p>
      <w:pPr>
        <w:spacing w:after="0" w:line="162" w:lineRule="exact"/>
        <w:rPr>
          <w:sz w:val="20"/>
          <w:szCs w:val="20"/>
          <w:color w:val="auto"/>
        </w:rPr>
      </w:pPr>
    </w:p>
    <w:p>
      <w:pPr>
        <w:ind w:right="6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Benefit Plan</w:t>
      </w:r>
      <w:r>
        <w:rPr>
          <w:rFonts w:ascii="Arial" w:cs="Arial" w:eastAsia="Arial" w:hAnsi="Arial"/>
          <w:sz w:val="20"/>
          <w:szCs w:val="20"/>
          <w:color w:val="auto"/>
        </w:rPr>
        <w:t>”: any of (a) an “employee benefit plan” (as defined in Section 3(3) of ERISA) that is subject to Title I of ERISA, (b) a “plan” as defined in Section 4975 of the Code to which Section 4975 of the Code applies, and (c) any Person whose assets include (for purposes of the Plan Assets Regulations or otherwise for purposes of Title I of ERISA or Section 4975 of the Code) the assets of any such “employee benefit plan” or “plan”.</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Benefitted Lender</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10.7(a)</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Blocked Person</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7.23</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the Board of Governors of the Federal Reserve System of the United States (or any successor).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Borrower</w:t>
      </w:r>
      <w:r>
        <w:rPr>
          <w:rFonts w:ascii="Arial" w:cs="Arial" w:eastAsia="Arial" w:hAnsi="Arial"/>
          <w:sz w:val="20"/>
          <w:szCs w:val="20"/>
          <w:color w:val="auto"/>
        </w:rPr>
        <w:t>”: as defined in the preamble hereto.</w:t>
      </w:r>
    </w:p>
    <w:p>
      <w:pPr>
        <w:spacing w:after="0" w:line="16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Borrowing Date</w:t>
      </w:r>
      <w:r>
        <w:rPr>
          <w:rFonts w:ascii="Arial" w:cs="Arial" w:eastAsia="Arial" w:hAnsi="Arial"/>
          <w:sz w:val="20"/>
          <w:szCs w:val="20"/>
          <w:color w:val="auto"/>
        </w:rPr>
        <w:t>”: any Business Day specified by the Borrower in a Notice of Borrowing as a date on which the Borrower requests the relevant Lenders to make Loans hereunder.</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Business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4.17(b)</w:t>
      </w:r>
      <w:r>
        <w:rPr>
          <w:rFonts w:ascii="Arial" w:cs="Arial" w:eastAsia="Arial" w:hAnsi="Arial"/>
          <w:sz w:val="20"/>
          <w:szCs w:val="20"/>
          <w:color w:val="auto"/>
        </w:rPr>
        <w:t>.</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771" w:right="339" w:bottom="1440" w:gutter="0" w:footer="0" w:header="0"/>
        </w:sectPr>
      </w:pPr>
    </w:p>
    <w:bookmarkStart w:id="394" w:name="page395"/>
    <w:bookmarkEnd w:id="394"/>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Business Day</w:t>
      </w:r>
      <w:r>
        <w:rPr>
          <w:rFonts w:ascii="Arial" w:cs="Arial" w:eastAsia="Arial" w:hAnsi="Arial"/>
          <w:sz w:val="20"/>
          <w:szCs w:val="20"/>
          <w:color w:val="auto"/>
        </w:rPr>
        <w:t xml:space="preserve">”: a day other than a Saturday, Sunday or other day on which commercial banks in the State of New York or the State of California are authorized or required by law to close;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with respect to notices and determinations in connection with, and payments of principal and interest on, Eurodollar Loans, such day is also a day for trading by and between banks in Dollar deposits in the interbank eurodollar market.</w:t>
      </w:r>
    </w:p>
    <w:p>
      <w:pPr>
        <w:spacing w:after="0" w:line="1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Capital Lease Obligations</w:t>
      </w:r>
      <w:r>
        <w:rPr>
          <w:rFonts w:ascii="Arial" w:cs="Arial" w:eastAsia="Arial" w:hAnsi="Arial"/>
          <w:sz w:val="19"/>
          <w:szCs w:val="19"/>
          <w:color w:val="auto"/>
        </w:rPr>
        <w:t xml:space="preserve">”: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for all purposes hereunder, any obligations of such Person in respect of leases of real property that would have been treated as operating leases in accordance with Accounting Standards Codification 840 (regardless of whether or not then in effect) shall be treated as operating leases for purposes of all financial definitions, calculations and covenants, without giving effect to Accounting Standards Codification 842 requiring operating leases to be recharacterized or treated as capital leases.</w:t>
      </w:r>
    </w:p>
    <w:p>
      <w:pPr>
        <w:spacing w:after="0" w:line="12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Capital Stock</w:t>
      </w:r>
      <w:r>
        <w:rPr>
          <w:rFonts w:ascii="Arial" w:cs="Arial" w:eastAsia="Arial" w:hAnsi="Arial"/>
          <w:sz w:val="20"/>
          <w:szCs w:val="20"/>
          <w:color w:val="auto"/>
        </w:rPr>
        <w:t xml:space="preserve">”: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w:t>
      </w:r>
      <w:r>
        <w:rPr>
          <w:rFonts w:ascii="Arial" w:cs="Arial" w:eastAsia="Arial" w:hAnsi="Arial"/>
          <w:sz w:val="20"/>
          <w:szCs w:val="20"/>
          <w:u w:val="single" w:color="auto"/>
          <w:color w:val="auto"/>
        </w:rPr>
        <w:t>provided</w:t>
      </w:r>
      <w:r>
        <w:rPr>
          <w:rFonts w:ascii="Arial" w:cs="Arial" w:eastAsia="Arial" w:hAnsi="Arial"/>
          <w:sz w:val="20"/>
          <w:szCs w:val="20"/>
          <w:color w:val="auto"/>
        </w:rPr>
        <w:t>, however, that any Indebtedness convertible into equity interests that are not Disqualified Stock shall not constitute Capital Stock.</w:t>
      </w:r>
    </w:p>
    <w:p>
      <w:pPr>
        <w:spacing w:after="0" w:line="14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Cash Collateralize</w:t>
      </w:r>
      <w:r>
        <w:rPr>
          <w:rFonts w:ascii="Arial" w:cs="Arial" w:eastAsia="Arial" w:hAnsi="Arial"/>
          <w:sz w:val="18"/>
          <w:szCs w:val="18"/>
          <w:color w:val="auto"/>
        </w:rPr>
        <w:t>”: to pledge and deposit with or deliver to (a) with respect to Obligations in respect of Letters of Credit, the Administrative Agent, for the benefit of the Issuing Lender and one or more of the Lenders, as applicable, as collateral for L/C Exposure or obligations of the Lenders to fund participations in respect thereof, cash or deposit account balances or, if the Administrative Agent and the Issuing Lender shall agree in their sole discretion, other credit support, in each case pursuant to documentation in form and substance satisfactory to the Administrative Agent and such Issuing Lender; (b) with respect to Obligations arising under any Cash Management Agreement in connection with Cash Management Services, the applicable Cash Management Bank, for its own or any of its applicable Affiliate’s benefit, as provider of such Cash Management Services, cash or deposit account balances or, if the Administrative Agent and the applicable Cash Management Bank shall agree in their sole discretion, other credit support, in each case pursuant to documentation in form and substance satisfactory to the Administrative Agent and such Cash Management Bank; or (c) with respect to Obligations in respect of any Specified Swap Agreements, the applicable Qualified Counterparty, as Collateral for such Obligations, cash or deposit account balances or, if such Qualified Counterparty shall agree in its sole discretion, other credit support, in each case pursuant to documentation in form and substance satisfactory to such Qualified Counterparty. “</w:t>
      </w:r>
      <w:r>
        <w:rPr>
          <w:rFonts w:ascii="Arial" w:cs="Arial" w:eastAsia="Arial" w:hAnsi="Arial"/>
          <w:sz w:val="18"/>
          <w:szCs w:val="18"/>
          <w:b w:val="1"/>
          <w:bCs w:val="1"/>
          <w:i w:val="1"/>
          <w:iCs w:val="1"/>
          <w:color w:val="auto"/>
        </w:rPr>
        <w:t>Cash Collateral</w:t>
      </w:r>
      <w:r>
        <w:rPr>
          <w:rFonts w:ascii="Arial" w:cs="Arial" w:eastAsia="Arial" w:hAnsi="Arial"/>
          <w:sz w:val="18"/>
          <w:szCs w:val="18"/>
          <w:color w:val="auto"/>
        </w:rPr>
        <w:t>” shall have a meaning correlative to the foregoing and shall include the proceeds of such cash collateral and other credit support.</w:t>
      </w:r>
    </w:p>
    <w:p>
      <w:pPr>
        <w:spacing w:after="0" w:line="11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Cash Equivalents</w:t>
      </w:r>
      <w:r>
        <w:rPr>
          <w:rFonts w:ascii="Arial" w:cs="Arial" w:eastAsia="Arial" w:hAnsi="Arial"/>
          <w:sz w:val="18"/>
          <w:szCs w:val="18"/>
          <w:color w:val="auto"/>
        </w:rPr>
        <w:t>”: (a) marketable direct obligations issued by, or unconditionally guaranteed by, the United States Government or issued by any agency thereof and backed by the full faith and credit of the United States, in each case maturing within one year from the date of acquisition; (b) certificates of deposit, time deposits, eurodollar time deposits or overnight bank deposits having maturities of 12 months or less from the date of acquisition issued by any Lender or by any commercial bank organized under the laws of the United States or any state thereof having combined capital and surplus of not less than $250,000,000; (c) commercial paper of an issuer rated at least A-1 by S&amp;P or P-1 by Moody’s, or carrying an equivalent rating by a nationally recognized rating agency, if both of the two named rating agencies cease publishing ratings of commercial paper issuers generally, and maturing within 12 months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771" w:right="339" w:bottom="1440" w:gutter="0" w:footer="0" w:header="0"/>
        </w:sectPr>
      </w:pPr>
    </w:p>
    <w:bookmarkStart w:id="395" w:name="page396"/>
    <w:bookmarkEnd w:id="395"/>
    <w:p>
      <w:pPr>
        <w:jc w:val="both"/>
        <w:spacing w:after="0" w:line="254" w:lineRule="auto"/>
        <w:rPr>
          <w:sz w:val="20"/>
          <w:szCs w:val="20"/>
          <w:color w:val="auto"/>
        </w:rPr>
      </w:pPr>
      <w:r>
        <w:rPr>
          <w:rFonts w:ascii="Arial" w:cs="Arial" w:eastAsia="Arial" w:hAnsi="Arial"/>
          <w:sz w:val="19"/>
          <w:szCs w:val="19"/>
          <w:color w:val="auto"/>
        </w:rPr>
        <w:t>from the date of acquisition; (d) repurchase obligations of any Lender or of any commercial bank satisfying the requirements of clause (b) of this definition, having a term of not more than 30 days, with respect to securities issued or fully guaranteed or insured by the United States government; (e) 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 (f) securities with maturities of 12 months or less from the date of acquisition backed by standby letters of credit issued by any Lender or any commercial bank satisfying the requirements of clause (b) of this definition; (g) money market mutual or similar funds that invest exclusively in assets satisfying the requirements of clauses (a) through (f) of this definition; (h) money market funds that (i) comply with the criteria set forth in SEC Rule 2a-7 under the Investment Company Act of 1940, as amended, (ii) are rated AAA by S&amp;P and Aaa by Moody’s and (iii) have portfolio assets of at least $5,000,000,000; (i) in the case of any Group Member organized or having its principal place of business outside the United States, investments denominated in the currency of the jurisdiction in which such Group member is organized or has its principal place of business which are similar and of comparable credit quality to the items specified in clauses (b) through (i) above; or (j) investments permitted by the Borrower’s board-approved investment policy as approved from time to time by the Administrative Agent (such approval not to be unreasonably withheld, delayed or conditioned).</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Cash Management Agreement</w:t>
      </w:r>
      <w:r>
        <w:rPr>
          <w:rFonts w:ascii="Arial" w:cs="Arial" w:eastAsia="Arial" w:hAnsi="Arial"/>
          <w:sz w:val="20"/>
          <w:szCs w:val="20"/>
          <w:color w:val="auto"/>
        </w:rPr>
        <w:t>”: as defined in the definition of “Cash Management Services.”</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Cash Management Bank</w:t>
      </w:r>
      <w:r>
        <w:rPr>
          <w:rFonts w:ascii="Arial" w:cs="Arial" w:eastAsia="Arial" w:hAnsi="Arial"/>
          <w:sz w:val="20"/>
          <w:szCs w:val="20"/>
          <w:color w:val="auto"/>
        </w:rPr>
        <w:t>”: any Person that, at the time it enters into a Cash Management Agreement, is a Lender or an Affiliate of a Lender, in its capacity as a party to such Cash Management Agreement.</w:t>
      </w:r>
    </w:p>
    <w:p>
      <w:pPr>
        <w:spacing w:after="0" w:line="12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Cash Management Services</w:t>
      </w:r>
      <w:r>
        <w:rPr>
          <w:rFonts w:ascii="Arial" w:cs="Arial" w:eastAsia="Arial" w:hAnsi="Arial"/>
          <w:sz w:val="19"/>
          <w:szCs w:val="19"/>
          <w:color w:val="auto"/>
        </w:rPr>
        <w:t>”: cash management and other services provided to one or more of the Group Members by a Cash Management Bank which may include treasury, depository, return items, overdraft, controlled disbursement, merchant store value cards, e-payables services, electronic funds transfer, interstate depository network, automatic clearing house transfer (including the Automated Clearing House processing of electronic funds transfers through the direct Federal Reserve Fedline system), merchant services, direct deposit of payroll, business credit card (including so-called “purchase cards”, “procurement cards” or “p-cards”), credit card processing services, debit cards, stored value cards, and check cashing services identified in such Cash Management Bank’s various cash management services or other similar agreements (each, a “</w:t>
      </w:r>
      <w:r>
        <w:rPr>
          <w:rFonts w:ascii="Arial" w:cs="Arial" w:eastAsia="Arial" w:hAnsi="Arial"/>
          <w:sz w:val="19"/>
          <w:szCs w:val="19"/>
          <w:b w:val="1"/>
          <w:bCs w:val="1"/>
          <w:i w:val="1"/>
          <w:iCs w:val="1"/>
          <w:color w:val="auto"/>
        </w:rPr>
        <w:t>Cash Management Agreement</w:t>
      </w:r>
      <w:r>
        <w:rPr>
          <w:rFonts w:ascii="Arial" w:cs="Arial" w:eastAsia="Arial" w:hAnsi="Arial"/>
          <w:sz w:val="19"/>
          <w:szCs w:val="19"/>
          <w:color w:val="auto"/>
        </w:rPr>
        <w:t>”).</w:t>
      </w:r>
    </w:p>
    <w:p>
      <w:pPr>
        <w:spacing w:after="0" w:line="13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Casualty Event</w:t>
      </w:r>
      <w:r>
        <w:rPr>
          <w:rFonts w:ascii="Arial" w:cs="Arial" w:eastAsia="Arial" w:hAnsi="Arial"/>
          <w:sz w:val="20"/>
          <w:szCs w:val="20"/>
          <w:color w:val="auto"/>
        </w:rPr>
        <w:t>”: any damage to or any destruction of, or any condemnation or other taking by any Governmental Authority of any property of the Loan Parties.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Certificated Securities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4.19(a)</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Change of Control</w:t>
      </w:r>
      <w:r>
        <w:rPr>
          <w:rFonts w:ascii="Arial" w:cs="Arial" w:eastAsia="Arial" w:hAnsi="Arial"/>
          <w:sz w:val="19"/>
          <w:szCs w:val="19"/>
          <w:color w:val="auto"/>
        </w:rPr>
        <w:t xml:space="preserve">”: (a) at any time, any “person” or “group” (as such terms are used in Sections 13(d) and 14(d) of the Exchange Act) other than Tim Chen, Institutional Venture Partners, RRE Ventures and iGlobe International or their respective Control Investment Affiliates shall become, or obtain rights (whether by means of warrants, options or otherwise) to become, the “beneficial owner” (as defined in Rules 13(d)-3 and 13(d)-5 under the Exchange Act), directly or indirectly, of 49% or more of the ordinary voting power for the election of directors of NerdWallet (determined on a fully diluted basis); (b) at any time, NerdWallet shall cease to own and control, of record and beneficially, directly or indirectly, 100% of each class of outstanding Capital Stock of each other Loan Party free and clear of all Liens other than Liens permitted by </w:t>
      </w:r>
      <w:r>
        <w:rPr>
          <w:rFonts w:ascii="Arial" w:cs="Arial" w:eastAsia="Arial" w:hAnsi="Arial"/>
          <w:sz w:val="19"/>
          <w:szCs w:val="19"/>
          <w:u w:val="single" w:color="auto"/>
          <w:color w:val="auto"/>
        </w:rPr>
        <w:t>Section 7.3</w:t>
      </w:r>
      <w:r>
        <w:rPr>
          <w:rFonts w:ascii="Arial" w:cs="Arial" w:eastAsia="Arial" w:hAnsi="Arial"/>
          <w:sz w:val="19"/>
          <w:szCs w:val="19"/>
          <w:color w:val="auto"/>
        </w:rPr>
        <w:t xml:space="preserve"> (other than director’s qualifying shares as required by law); or (c) a “change of control” or any comparable term under and as defined in any agreement governing any other Indebtedness of the Group Members in an aggregate principal amount in excess of $2,500,000.</w:t>
      </w:r>
    </w:p>
    <w:p>
      <w:pPr>
        <w:spacing w:after="0" w:line="1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Closing Date</w:t>
      </w:r>
      <w:r>
        <w:rPr>
          <w:rFonts w:ascii="Arial" w:cs="Arial" w:eastAsia="Arial" w:hAnsi="Arial"/>
          <w:sz w:val="20"/>
          <w:szCs w:val="20"/>
          <w:color w:val="auto"/>
        </w:rPr>
        <w:t xml:space="preserve">”: the date on which all of the conditions precedent set forth in </w:t>
      </w:r>
      <w:r>
        <w:rPr>
          <w:rFonts w:ascii="Arial" w:cs="Arial" w:eastAsia="Arial" w:hAnsi="Arial"/>
          <w:sz w:val="20"/>
          <w:szCs w:val="20"/>
          <w:u w:val="single" w:color="auto"/>
          <w:color w:val="auto"/>
        </w:rPr>
        <w:t>Section 5.1</w:t>
      </w:r>
      <w:r>
        <w:rPr>
          <w:rFonts w:ascii="Arial" w:cs="Arial" w:eastAsia="Arial" w:hAnsi="Arial"/>
          <w:sz w:val="20"/>
          <w:szCs w:val="20"/>
          <w:color w:val="auto"/>
        </w:rPr>
        <w:t xml:space="preserve"> are satisfied or waived by the Administrative Agent and, as applicable, the Lenders or the Required Lenders.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771" w:right="339" w:bottom="1440" w:gutter="0" w:footer="0" w:header="0"/>
        </w:sectPr>
      </w:pPr>
    </w:p>
    <w:bookmarkStart w:id="396" w:name="page397"/>
    <w:bookmarkEnd w:id="396"/>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Closing Date Projections</w:t>
      </w:r>
      <w:r>
        <w:rPr>
          <w:rFonts w:ascii="Arial" w:cs="Arial" w:eastAsia="Arial" w:hAnsi="Arial"/>
          <w:sz w:val="20"/>
          <w:szCs w:val="20"/>
          <w:color w:val="auto"/>
        </w:rPr>
        <w:t xml:space="preserve">”: the lender model delivered to the Administrative Agent on or around January 15, 2021 presenting projected balance sheets and income statements prepared by the Group Members and demonstrating projected compliance with the covenants set forth in </w:t>
      </w:r>
      <w:r>
        <w:rPr>
          <w:rFonts w:ascii="Arial" w:cs="Arial" w:eastAsia="Arial" w:hAnsi="Arial"/>
          <w:sz w:val="20"/>
          <w:szCs w:val="20"/>
          <w:u w:val="single" w:color="auto"/>
          <w:color w:val="auto"/>
        </w:rPr>
        <w:t>Section 7.1</w:t>
      </w:r>
      <w:r>
        <w:rPr>
          <w:rFonts w:ascii="Arial" w:cs="Arial" w:eastAsia="Arial" w:hAnsi="Arial"/>
          <w:sz w:val="20"/>
          <w:szCs w:val="20"/>
          <w:color w:val="auto"/>
        </w:rPr>
        <w:t>.</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Code</w:t>
      </w:r>
      <w:r>
        <w:rPr>
          <w:rFonts w:ascii="Arial" w:cs="Arial" w:eastAsia="Arial" w:hAnsi="Arial"/>
          <w:sz w:val="20"/>
          <w:szCs w:val="20"/>
          <w:color w:val="auto"/>
        </w:rPr>
        <w:t>”: the Internal Revenue Code of 1986, as amended from time to time.</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Collateral</w:t>
      </w:r>
      <w:r>
        <w:rPr>
          <w:rFonts w:ascii="Arial" w:cs="Arial" w:eastAsia="Arial" w:hAnsi="Arial"/>
          <w:sz w:val="20"/>
          <w:szCs w:val="20"/>
          <w:color w:val="auto"/>
        </w:rPr>
        <w:t>”: all property of the Loan Parties, now owned or hereafter acquired, upon which a Lien is purported to be created by any Security Document. For the avoidance of doubt, no Excluded Asset shall constitute “Collateral.”</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Collateral Information Certificate</w:t>
      </w:r>
      <w:r>
        <w:rPr>
          <w:rFonts w:ascii="Arial" w:cs="Arial" w:eastAsia="Arial" w:hAnsi="Arial"/>
          <w:sz w:val="20"/>
          <w:szCs w:val="20"/>
          <w:color w:val="auto"/>
        </w:rPr>
        <w:t xml:space="preserve">”: the Collateral Information Certificate to be executed and delivered by the Borrower pursuant to </w:t>
      </w:r>
      <w:r>
        <w:rPr>
          <w:rFonts w:ascii="Arial" w:cs="Arial" w:eastAsia="Arial" w:hAnsi="Arial"/>
          <w:sz w:val="20"/>
          <w:szCs w:val="20"/>
          <w:u w:val="single" w:color="auto"/>
          <w:color w:val="auto"/>
        </w:rPr>
        <w:t>Section 5.1</w:t>
      </w:r>
      <w:r>
        <w:rPr>
          <w:rFonts w:ascii="Arial" w:cs="Arial" w:eastAsia="Arial" w:hAnsi="Arial"/>
          <w:sz w:val="20"/>
          <w:szCs w:val="20"/>
          <w:color w:val="auto"/>
        </w:rPr>
        <w:t xml:space="preserve">, substantially in the form of </w:t>
      </w:r>
      <w:r>
        <w:rPr>
          <w:rFonts w:ascii="Arial" w:cs="Arial" w:eastAsia="Arial" w:hAnsi="Arial"/>
          <w:sz w:val="20"/>
          <w:szCs w:val="20"/>
          <w:u w:val="single" w:color="auto"/>
          <w:color w:val="auto"/>
        </w:rPr>
        <w:t>Exhibit J</w:t>
      </w:r>
      <w:r>
        <w:rPr>
          <w:rFonts w:ascii="Arial" w:cs="Arial" w:eastAsia="Arial" w:hAnsi="Arial"/>
          <w:sz w:val="20"/>
          <w:szCs w:val="20"/>
          <w:color w:val="auto"/>
        </w:rPr>
        <w:t>.</w:t>
      </w:r>
    </w:p>
    <w:p>
      <w:pPr>
        <w:spacing w:after="0" w:line="1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Collateral-Related Expenses</w:t>
      </w:r>
      <w:r>
        <w:rPr>
          <w:rFonts w:ascii="Arial" w:cs="Arial" w:eastAsia="Arial" w:hAnsi="Arial"/>
          <w:sz w:val="19"/>
          <w:szCs w:val="19"/>
          <w:color w:val="auto"/>
        </w:rPr>
        <w:t>”: all reasonable costs and expenses of the Administrative Agent paid or incurred in connection with any sale, collection or other realization on the Collateral, including reasonable compensation to the Administrative Agent and its agents and counsel, and reimbursement for all other reasonable costs, expenses and liabilities and advances made or incurred by the Administrative Agent in connection therewith (including as described in Section 6.6 of the Guarantee and Collateral Agreement), and all amounts for which the Administrative Agent is entitled to indemnification under the Security Documents and all advances made by the Administrative Agent under the Security Documents for the account of any Loan Party.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Commitment</w:t>
      </w:r>
      <w:r>
        <w:rPr>
          <w:rFonts w:ascii="Arial" w:cs="Arial" w:eastAsia="Arial" w:hAnsi="Arial"/>
          <w:sz w:val="20"/>
          <w:szCs w:val="20"/>
          <w:color w:val="auto"/>
        </w:rPr>
        <w:t>”: as to any Lender, its Revolving Commitment.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Commitment Fee Rate</w:t>
      </w:r>
      <w:r>
        <w:rPr>
          <w:rFonts w:ascii="Arial" w:cs="Arial" w:eastAsia="Arial" w:hAnsi="Arial"/>
          <w:sz w:val="20"/>
          <w:szCs w:val="20"/>
          <w:color w:val="auto"/>
        </w:rPr>
        <w:t>”: 0.30% per annum.</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Commodity Exchange Act</w:t>
      </w:r>
      <w:r>
        <w:rPr>
          <w:rFonts w:ascii="Arial" w:cs="Arial" w:eastAsia="Arial" w:hAnsi="Arial"/>
          <w:sz w:val="20"/>
          <w:szCs w:val="20"/>
          <w:color w:val="auto"/>
        </w:rPr>
        <w:t xml:space="preserve">”: the Commodity Exchange Act (7 U.S.C. Section 1 </w:t>
      </w:r>
      <w:r>
        <w:rPr>
          <w:rFonts w:ascii="Arial" w:cs="Arial" w:eastAsia="Arial" w:hAnsi="Arial"/>
          <w:sz w:val="20"/>
          <w:szCs w:val="20"/>
          <w:i w:val="1"/>
          <w:iCs w:val="1"/>
          <w:color w:val="auto"/>
        </w:rPr>
        <w:t>et seq.</w:t>
      </w:r>
      <w:r>
        <w:rPr>
          <w:rFonts w:ascii="Arial" w:cs="Arial" w:eastAsia="Arial" w:hAnsi="Arial"/>
          <w:sz w:val="20"/>
          <w:szCs w:val="20"/>
          <w:color w:val="auto"/>
        </w:rPr>
        <w:t>), as amended from time to time, and any successor statute.</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Communications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10.2(d)(ii)</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Compliance Certificate</w:t>
      </w:r>
      <w:r>
        <w:rPr>
          <w:rFonts w:ascii="Arial" w:cs="Arial" w:eastAsia="Arial" w:hAnsi="Arial"/>
          <w:sz w:val="20"/>
          <w:szCs w:val="20"/>
          <w:color w:val="auto"/>
        </w:rPr>
        <w:t xml:space="preserve">”: a certificate duly executed by a Responsible Officer of the Borrower substantially in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Connection Income Taxes</w:t>
      </w:r>
      <w:r>
        <w:rPr>
          <w:rFonts w:ascii="Arial" w:cs="Arial" w:eastAsia="Arial" w:hAnsi="Arial"/>
          <w:sz w:val="20"/>
          <w:szCs w:val="20"/>
          <w:color w:val="auto"/>
        </w:rPr>
        <w:t>”: Other Connection Taxes that are imposed on or measured by net income (however denominated) or that are franchise Taxes or branch profits Taxes.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Consolidated Adjusted EBITDA</w:t>
      </w:r>
      <w:r>
        <w:rPr>
          <w:rFonts w:ascii="Arial" w:cs="Arial" w:eastAsia="Arial" w:hAnsi="Arial"/>
          <w:sz w:val="20"/>
          <w:szCs w:val="20"/>
          <w:color w:val="auto"/>
        </w:rPr>
        <w:t>”: with respect to the Group Members for any period,</w:t>
      </w:r>
    </w:p>
    <w:p>
      <w:pPr>
        <w:spacing w:after="0" w:line="162" w:lineRule="exact"/>
        <w:rPr>
          <w:sz w:val="20"/>
          <w:szCs w:val="20"/>
          <w:color w:val="auto"/>
        </w:rPr>
      </w:pPr>
    </w:p>
    <w:p>
      <w:pPr>
        <w:ind w:left="920" w:hanging="264"/>
        <w:spacing w:after="0"/>
        <w:tabs>
          <w:tab w:leader="none" w:pos="920" w:val="left"/>
        </w:tabs>
        <w:numPr>
          <w:ilvl w:val="0"/>
          <w:numId w:val="334"/>
        </w:numPr>
        <w:rPr>
          <w:rFonts w:ascii="Arial" w:cs="Arial" w:eastAsia="Arial" w:hAnsi="Arial"/>
          <w:sz w:val="20"/>
          <w:szCs w:val="20"/>
          <w:color w:val="auto"/>
        </w:rPr>
      </w:pPr>
      <w:r>
        <w:rPr>
          <w:rFonts w:ascii="Arial" w:cs="Arial" w:eastAsia="Arial" w:hAnsi="Arial"/>
          <w:sz w:val="20"/>
          <w:szCs w:val="20"/>
          <w:color w:val="auto"/>
        </w:rPr>
        <w:t xml:space="preserve">Consolidated Net Income, </w:t>
      </w:r>
      <w:r>
        <w:rPr>
          <w:rFonts w:ascii="Arial" w:cs="Arial" w:eastAsia="Arial" w:hAnsi="Arial"/>
          <w:sz w:val="20"/>
          <w:szCs w:val="20"/>
          <w:u w:val="single" w:color="auto"/>
          <w:color w:val="auto"/>
        </w:rPr>
        <w:t>plus</w:t>
      </w:r>
    </w:p>
    <w:p>
      <w:pPr>
        <w:spacing w:after="0" w:line="161" w:lineRule="exact"/>
        <w:rPr>
          <w:rFonts w:ascii="Arial" w:cs="Arial" w:eastAsia="Arial" w:hAnsi="Arial"/>
          <w:sz w:val="20"/>
          <w:szCs w:val="20"/>
          <w:color w:val="auto"/>
        </w:rPr>
      </w:pPr>
    </w:p>
    <w:p>
      <w:pPr>
        <w:ind w:firstLine="656"/>
        <w:spacing w:after="0" w:line="260" w:lineRule="auto"/>
        <w:tabs>
          <w:tab w:leader="none" w:pos="979" w:val="left"/>
        </w:tabs>
        <w:numPr>
          <w:ilvl w:val="0"/>
          <w:numId w:val="334"/>
        </w:numPr>
        <w:rPr>
          <w:rFonts w:ascii="Arial" w:cs="Arial" w:eastAsia="Arial" w:hAnsi="Arial"/>
          <w:sz w:val="20"/>
          <w:szCs w:val="20"/>
          <w:color w:val="auto"/>
        </w:rPr>
      </w:pPr>
      <w:r>
        <w:rPr>
          <w:rFonts w:ascii="Arial" w:cs="Arial" w:eastAsia="Arial" w:hAnsi="Arial"/>
          <w:sz w:val="20"/>
          <w:szCs w:val="20"/>
          <w:color w:val="auto"/>
        </w:rPr>
        <w:t>the sum, without duplication, of the following amounts for such period but solely to the extent deducted in calculating Consolidated Net Income (other than in the case of clause (xviii)) for such period of:</w:t>
      </w:r>
    </w:p>
    <w:p>
      <w:pPr>
        <w:spacing w:after="0" w:line="122" w:lineRule="exact"/>
        <w:rPr>
          <w:rFonts w:ascii="Arial" w:cs="Arial" w:eastAsia="Arial" w:hAnsi="Arial"/>
          <w:sz w:val="20"/>
          <w:szCs w:val="20"/>
          <w:color w:val="auto"/>
        </w:rPr>
      </w:pPr>
    </w:p>
    <w:p>
      <w:pPr>
        <w:ind w:left="1540" w:hanging="236"/>
        <w:spacing w:after="0"/>
        <w:tabs>
          <w:tab w:leader="none" w:pos="1540" w:val="left"/>
        </w:tabs>
        <w:numPr>
          <w:ilvl w:val="1"/>
          <w:numId w:val="334"/>
        </w:numPr>
        <w:rPr>
          <w:rFonts w:ascii="Arial" w:cs="Arial" w:eastAsia="Arial" w:hAnsi="Arial"/>
          <w:sz w:val="20"/>
          <w:szCs w:val="20"/>
          <w:color w:val="auto"/>
        </w:rPr>
      </w:pPr>
      <w:r>
        <w:rPr>
          <w:rFonts w:ascii="Arial" w:cs="Arial" w:eastAsia="Arial" w:hAnsi="Arial"/>
          <w:sz w:val="20"/>
          <w:szCs w:val="20"/>
          <w:color w:val="auto"/>
        </w:rPr>
        <w:t xml:space="preserve">Consolidated Interest Expense; </w:t>
      </w:r>
      <w:r>
        <w:rPr>
          <w:rFonts w:ascii="Arial" w:cs="Arial" w:eastAsia="Arial" w:hAnsi="Arial"/>
          <w:sz w:val="20"/>
          <w:szCs w:val="20"/>
          <w:u w:val="single" w:color="auto"/>
          <w:color w:val="auto"/>
        </w:rPr>
        <w:t>plus</w:t>
      </w:r>
    </w:p>
    <w:p>
      <w:pPr>
        <w:spacing w:after="0" w:line="161" w:lineRule="exact"/>
        <w:rPr>
          <w:rFonts w:ascii="Arial" w:cs="Arial" w:eastAsia="Arial" w:hAnsi="Arial"/>
          <w:sz w:val="20"/>
          <w:szCs w:val="20"/>
          <w:color w:val="auto"/>
        </w:rPr>
      </w:pPr>
    </w:p>
    <w:p>
      <w:pPr>
        <w:ind w:left="1600" w:hanging="296"/>
        <w:spacing w:after="0"/>
        <w:tabs>
          <w:tab w:leader="none" w:pos="1600" w:val="left"/>
        </w:tabs>
        <w:numPr>
          <w:ilvl w:val="1"/>
          <w:numId w:val="334"/>
        </w:numPr>
        <w:rPr>
          <w:rFonts w:ascii="Arial" w:cs="Arial" w:eastAsia="Arial" w:hAnsi="Arial"/>
          <w:sz w:val="20"/>
          <w:szCs w:val="20"/>
          <w:color w:val="auto"/>
        </w:rPr>
      </w:pPr>
      <w:r>
        <w:rPr>
          <w:rFonts w:ascii="Arial" w:cs="Arial" w:eastAsia="Arial" w:hAnsi="Arial"/>
          <w:sz w:val="20"/>
          <w:szCs w:val="20"/>
          <w:color w:val="auto"/>
        </w:rPr>
        <w:t xml:space="preserve">provisions for Taxes based on income; </w:t>
      </w:r>
      <w:r>
        <w:rPr>
          <w:rFonts w:ascii="Arial" w:cs="Arial" w:eastAsia="Arial" w:hAnsi="Arial"/>
          <w:sz w:val="20"/>
          <w:szCs w:val="20"/>
          <w:u w:val="single" w:color="auto"/>
          <w:color w:val="auto"/>
        </w:rPr>
        <w:t>plus</w:t>
      </w:r>
    </w:p>
    <w:p>
      <w:pPr>
        <w:spacing w:after="0" w:line="161" w:lineRule="exact"/>
        <w:rPr>
          <w:rFonts w:ascii="Arial" w:cs="Arial" w:eastAsia="Arial" w:hAnsi="Arial"/>
          <w:sz w:val="20"/>
          <w:szCs w:val="20"/>
          <w:color w:val="auto"/>
        </w:rPr>
      </w:pPr>
    </w:p>
    <w:p>
      <w:pPr>
        <w:ind w:left="1660" w:hanging="356"/>
        <w:spacing w:after="0"/>
        <w:tabs>
          <w:tab w:leader="none" w:pos="1660" w:val="left"/>
        </w:tabs>
        <w:numPr>
          <w:ilvl w:val="1"/>
          <w:numId w:val="334"/>
        </w:numPr>
        <w:rPr>
          <w:rFonts w:ascii="Arial" w:cs="Arial" w:eastAsia="Arial" w:hAnsi="Arial"/>
          <w:sz w:val="20"/>
          <w:szCs w:val="20"/>
          <w:color w:val="auto"/>
        </w:rPr>
      </w:pPr>
      <w:r>
        <w:rPr>
          <w:rFonts w:ascii="Arial" w:cs="Arial" w:eastAsia="Arial" w:hAnsi="Arial"/>
          <w:sz w:val="20"/>
          <w:szCs w:val="20"/>
          <w:color w:val="auto"/>
        </w:rPr>
        <w:t xml:space="preserve">total depreciation expense; </w:t>
      </w:r>
      <w:r>
        <w:rPr>
          <w:rFonts w:ascii="Arial" w:cs="Arial" w:eastAsia="Arial" w:hAnsi="Arial"/>
          <w:sz w:val="20"/>
          <w:szCs w:val="20"/>
          <w:u w:val="single" w:color="auto"/>
          <w:color w:val="auto"/>
        </w:rPr>
        <w:t>plus</w:t>
      </w:r>
    </w:p>
    <w:p>
      <w:pPr>
        <w:spacing w:after="0" w:line="161" w:lineRule="exact"/>
        <w:rPr>
          <w:rFonts w:ascii="Arial" w:cs="Arial" w:eastAsia="Arial" w:hAnsi="Arial"/>
          <w:sz w:val="20"/>
          <w:szCs w:val="20"/>
          <w:color w:val="auto"/>
        </w:rPr>
      </w:pPr>
    </w:p>
    <w:p>
      <w:pPr>
        <w:ind w:left="1660" w:hanging="356"/>
        <w:spacing w:after="0"/>
        <w:tabs>
          <w:tab w:leader="none" w:pos="166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total amortization expense (including, without limitation, amortization of intangibles from purchase price accounting);</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u w:val="single" w:color="auto"/>
          <w:color w:val="auto"/>
        </w:rPr>
        <w:t>plus</w:t>
      </w:r>
    </w:p>
    <w:p>
      <w:pPr>
        <w:spacing w:after="0" w:line="145" w:lineRule="exact"/>
        <w:rPr>
          <w:rFonts w:ascii="Arial" w:cs="Arial" w:eastAsia="Arial" w:hAnsi="Arial"/>
          <w:sz w:val="18"/>
          <w:szCs w:val="18"/>
          <w:color w:val="auto"/>
        </w:rPr>
      </w:pPr>
    </w:p>
    <w:p>
      <w:pPr>
        <w:ind w:left="1580" w:hanging="276"/>
        <w:spacing w:after="0"/>
        <w:tabs>
          <w:tab w:leader="none" w:pos="1580" w:val="left"/>
        </w:tabs>
        <w:numPr>
          <w:ilvl w:val="1"/>
          <w:numId w:val="334"/>
        </w:numPr>
        <w:rPr>
          <w:rFonts w:ascii="Arial" w:cs="Arial" w:eastAsia="Arial" w:hAnsi="Arial"/>
          <w:sz w:val="20"/>
          <w:szCs w:val="20"/>
          <w:color w:val="auto"/>
        </w:rPr>
      </w:pPr>
      <w:r>
        <w:rPr>
          <w:rFonts w:ascii="Arial" w:cs="Arial" w:eastAsia="Arial" w:hAnsi="Arial"/>
          <w:sz w:val="20"/>
          <w:szCs w:val="20"/>
          <w:color w:val="auto"/>
        </w:rPr>
        <w:t xml:space="preserve">noncash stock based compensation expense; </w:t>
      </w:r>
      <w:r>
        <w:rPr>
          <w:rFonts w:ascii="Arial" w:cs="Arial" w:eastAsia="Arial" w:hAnsi="Arial"/>
          <w:sz w:val="20"/>
          <w:szCs w:val="20"/>
          <w:u w:val="single" w:color="auto"/>
          <w:color w:val="auto"/>
        </w:rPr>
        <w:t>plus</w:t>
      </w:r>
    </w:p>
    <w:p>
      <w:pPr>
        <w:spacing w:after="0" w:line="161" w:lineRule="exact"/>
        <w:rPr>
          <w:rFonts w:ascii="Arial" w:cs="Arial" w:eastAsia="Arial" w:hAnsi="Arial"/>
          <w:sz w:val="20"/>
          <w:szCs w:val="20"/>
          <w:color w:val="auto"/>
        </w:rPr>
      </w:pPr>
    </w:p>
    <w:p>
      <w:pPr>
        <w:ind w:left="660" w:firstLine="644"/>
        <w:spacing w:after="0" w:line="260" w:lineRule="auto"/>
        <w:tabs>
          <w:tab w:leader="none" w:pos="1657" w:val="left"/>
        </w:tabs>
        <w:numPr>
          <w:ilvl w:val="1"/>
          <w:numId w:val="334"/>
        </w:numPr>
        <w:rPr>
          <w:rFonts w:ascii="Arial" w:cs="Arial" w:eastAsia="Arial" w:hAnsi="Arial"/>
          <w:sz w:val="20"/>
          <w:szCs w:val="20"/>
          <w:color w:val="auto"/>
        </w:rPr>
      </w:pPr>
      <w:r>
        <w:rPr>
          <w:rFonts w:ascii="Arial" w:cs="Arial" w:eastAsia="Arial" w:hAnsi="Arial"/>
          <w:sz w:val="20"/>
          <w:szCs w:val="20"/>
          <w:color w:val="auto"/>
        </w:rPr>
        <w:t xml:space="preserve">noncash exchange, transaction or performance losses relating to any foreign currency hedging transactions or currency fluctuations; </w:t>
      </w:r>
      <w:r>
        <w:rPr>
          <w:rFonts w:ascii="Arial" w:cs="Arial" w:eastAsia="Arial" w:hAnsi="Arial"/>
          <w:sz w:val="20"/>
          <w:szCs w:val="20"/>
          <w:u w:val="single" w:color="auto"/>
          <w:color w:val="auto"/>
        </w:rPr>
        <w:t>plus</w:t>
      </w:r>
    </w:p>
    <w:p>
      <w:pPr>
        <w:spacing w:after="0" w:line="122" w:lineRule="exact"/>
        <w:rPr>
          <w:rFonts w:ascii="Arial" w:cs="Arial" w:eastAsia="Arial" w:hAnsi="Arial"/>
          <w:sz w:val="20"/>
          <w:szCs w:val="20"/>
          <w:color w:val="auto"/>
        </w:rPr>
      </w:pPr>
    </w:p>
    <w:p>
      <w:pPr>
        <w:ind w:left="660" w:firstLine="644"/>
        <w:spacing w:after="0" w:line="260" w:lineRule="auto"/>
        <w:tabs>
          <w:tab w:leader="none" w:pos="1751" w:val="left"/>
        </w:tabs>
        <w:numPr>
          <w:ilvl w:val="1"/>
          <w:numId w:val="334"/>
        </w:numPr>
        <w:rPr>
          <w:rFonts w:ascii="Arial" w:cs="Arial" w:eastAsia="Arial" w:hAnsi="Arial"/>
          <w:sz w:val="20"/>
          <w:szCs w:val="20"/>
          <w:color w:val="auto"/>
        </w:rPr>
      </w:pPr>
      <w:r>
        <w:rPr>
          <w:rFonts w:ascii="Arial" w:cs="Arial" w:eastAsia="Arial" w:hAnsi="Arial"/>
          <w:sz w:val="20"/>
          <w:szCs w:val="20"/>
          <w:color w:val="auto"/>
        </w:rPr>
        <w:t>costs, fees and expenses in connection with the execution and delivery of this Agreement, the Existing Credit Agreement and the other Loan Documents and any amendments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771" w:right="339" w:bottom="1440" w:gutter="0" w:footer="0" w:header="0"/>
        </w:sectPr>
      </w:pPr>
    </w:p>
    <w:bookmarkStart w:id="397" w:name="page398"/>
    <w:bookmarkEnd w:id="397"/>
    <w:p>
      <w:pPr>
        <w:jc w:val="both"/>
        <w:ind w:left="4"/>
        <w:spacing w:after="0" w:line="250" w:lineRule="auto"/>
        <w:rPr>
          <w:sz w:val="20"/>
          <w:szCs w:val="20"/>
          <w:color w:val="auto"/>
        </w:rPr>
      </w:pPr>
      <w:r>
        <w:rPr>
          <w:rFonts w:ascii="Arial" w:cs="Arial" w:eastAsia="Arial" w:hAnsi="Arial"/>
          <w:sz w:val="20"/>
          <w:szCs w:val="20"/>
          <w:color w:val="auto"/>
        </w:rPr>
        <w:t xml:space="preserve">or other modifications thereto, in each case to the extent incurred within 6 months after the Original Closing Date, the Closing Date or the effectiveness of such amendment or other modification (or such later time period as approved in writing by the Administrative Agent in its sole discretion); </w:t>
      </w:r>
      <w:r>
        <w:rPr>
          <w:rFonts w:ascii="Arial" w:cs="Arial" w:eastAsia="Arial" w:hAnsi="Arial"/>
          <w:sz w:val="20"/>
          <w:szCs w:val="20"/>
          <w:u w:val="single" w:color="auto"/>
          <w:color w:val="auto"/>
        </w:rPr>
        <w:t>plus</w:t>
      </w:r>
    </w:p>
    <w:p>
      <w:pPr>
        <w:spacing w:after="0" w:line="132" w:lineRule="exact"/>
        <w:rPr>
          <w:sz w:val="20"/>
          <w:szCs w:val="20"/>
          <w:color w:val="auto"/>
        </w:rPr>
      </w:pPr>
    </w:p>
    <w:p>
      <w:pPr>
        <w:jc w:val="both"/>
        <w:ind w:left="4" w:firstLine="644"/>
        <w:spacing w:after="0" w:line="263" w:lineRule="auto"/>
        <w:tabs>
          <w:tab w:leader="none" w:pos="1113" w:val="left"/>
        </w:tabs>
        <w:numPr>
          <w:ilvl w:val="1"/>
          <w:numId w:val="335"/>
        </w:numPr>
        <w:rPr>
          <w:rFonts w:ascii="Arial" w:cs="Arial" w:eastAsia="Arial" w:hAnsi="Arial"/>
          <w:sz w:val="19"/>
          <w:szCs w:val="19"/>
          <w:color w:val="auto"/>
        </w:rPr>
      </w:pPr>
      <w:r>
        <w:rPr>
          <w:rFonts w:ascii="Arial" w:cs="Arial" w:eastAsia="Arial" w:hAnsi="Arial"/>
          <w:sz w:val="19"/>
          <w:szCs w:val="19"/>
          <w:color w:val="auto"/>
        </w:rPr>
        <w:t xml:space="preserve">one-time costs, fees, and expenses in connection with Permitted Acquisitions, Investments, dispositions, issuances or repurchases of Capital Stock, or the incurrence, amendment or waiver of Indebtedness (in each case permitted hereunder), in each case, whether or not consummated;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amounts described in this clause (b)(viii) with respect to transactions that are not consummated shall not exceed $5,000,000 in the aggregate for any period; </w:t>
      </w:r>
      <w:r>
        <w:rPr>
          <w:rFonts w:ascii="Arial" w:cs="Arial" w:eastAsia="Arial" w:hAnsi="Arial"/>
          <w:sz w:val="19"/>
          <w:szCs w:val="19"/>
          <w:u w:val="single" w:color="auto"/>
          <w:color w:val="auto"/>
        </w:rPr>
        <w:t>plus</w:t>
      </w:r>
    </w:p>
    <w:p>
      <w:pPr>
        <w:spacing w:after="0" w:line="122" w:lineRule="exact"/>
        <w:rPr>
          <w:rFonts w:ascii="Arial" w:cs="Arial" w:eastAsia="Arial" w:hAnsi="Arial"/>
          <w:sz w:val="19"/>
          <w:szCs w:val="19"/>
          <w:color w:val="auto"/>
        </w:rPr>
      </w:pPr>
    </w:p>
    <w:p>
      <w:pPr>
        <w:jc w:val="both"/>
        <w:ind w:left="4" w:firstLine="644"/>
        <w:spacing w:after="0" w:line="244" w:lineRule="auto"/>
        <w:tabs>
          <w:tab w:leader="none" w:pos="1047" w:val="left"/>
        </w:tabs>
        <w:numPr>
          <w:ilvl w:val="1"/>
          <w:numId w:val="335"/>
        </w:numPr>
        <w:rPr>
          <w:rFonts w:ascii="Arial" w:cs="Arial" w:eastAsia="Arial" w:hAnsi="Arial"/>
          <w:sz w:val="20"/>
          <w:szCs w:val="20"/>
          <w:color w:val="auto"/>
        </w:rPr>
      </w:pPr>
      <w:r>
        <w:rPr>
          <w:rFonts w:ascii="Arial" w:cs="Arial" w:eastAsia="Arial" w:hAnsi="Arial"/>
          <w:sz w:val="20"/>
          <w:szCs w:val="20"/>
          <w:color w:val="auto"/>
        </w:rPr>
        <w:t xml:space="preserve">noncash purchase accounting adjustments (including, but not limited to deferred revenue write down) and any adjustments as required or permitted by the application of FASB 141 (requiring the use of purchase method of accounting for acquisitions and consolidations), FASB 142 (relating to changes in accounting for the amortization of goodwill and certain other intangibles) and FASB 144 (relating to the write downs of long-lived assets), in each case, in connection with Permitted Acquisitions; </w:t>
      </w:r>
      <w:r>
        <w:rPr>
          <w:rFonts w:ascii="Arial" w:cs="Arial" w:eastAsia="Arial" w:hAnsi="Arial"/>
          <w:sz w:val="20"/>
          <w:szCs w:val="20"/>
          <w:u w:val="single" w:color="auto"/>
          <w:color w:val="auto"/>
        </w:rPr>
        <w:t>plus</w:t>
      </w:r>
    </w:p>
    <w:p>
      <w:pPr>
        <w:spacing w:after="0" w:line="140" w:lineRule="exact"/>
        <w:rPr>
          <w:rFonts w:ascii="Arial" w:cs="Arial" w:eastAsia="Arial" w:hAnsi="Arial"/>
          <w:sz w:val="20"/>
          <w:szCs w:val="20"/>
          <w:color w:val="auto"/>
        </w:rPr>
      </w:pPr>
    </w:p>
    <w:p>
      <w:pPr>
        <w:ind w:left="4" w:firstLine="644"/>
        <w:spacing w:after="0" w:line="260" w:lineRule="auto"/>
        <w:tabs>
          <w:tab w:leader="none" w:pos="938" w:val="left"/>
        </w:tabs>
        <w:numPr>
          <w:ilvl w:val="1"/>
          <w:numId w:val="335"/>
        </w:numPr>
        <w:rPr>
          <w:rFonts w:ascii="Arial" w:cs="Arial" w:eastAsia="Arial" w:hAnsi="Arial"/>
          <w:sz w:val="20"/>
          <w:szCs w:val="20"/>
          <w:color w:val="auto"/>
        </w:rPr>
      </w:pPr>
      <w:r>
        <w:rPr>
          <w:rFonts w:ascii="Arial" w:cs="Arial" w:eastAsia="Arial" w:hAnsi="Arial"/>
          <w:sz w:val="20"/>
          <w:szCs w:val="20"/>
          <w:color w:val="auto"/>
        </w:rPr>
        <w:t xml:space="preserve">noncash charges for goodwill and other intangible write-offs and write-downs in connection with Permitted Acquisitions or otherwise; </w:t>
      </w:r>
      <w:r>
        <w:rPr>
          <w:rFonts w:ascii="Arial" w:cs="Arial" w:eastAsia="Arial" w:hAnsi="Arial"/>
          <w:sz w:val="20"/>
          <w:szCs w:val="20"/>
          <w:u w:val="single" w:color="auto"/>
          <w:color w:val="auto"/>
        </w:rPr>
        <w:t>plus</w:t>
      </w:r>
    </w:p>
    <w:p>
      <w:pPr>
        <w:spacing w:after="0" w:line="122" w:lineRule="exact"/>
        <w:rPr>
          <w:rFonts w:ascii="Arial" w:cs="Arial" w:eastAsia="Arial" w:hAnsi="Arial"/>
          <w:sz w:val="20"/>
          <w:szCs w:val="20"/>
          <w:color w:val="auto"/>
        </w:rPr>
      </w:pPr>
    </w:p>
    <w:p>
      <w:pPr>
        <w:jc w:val="both"/>
        <w:ind w:left="4" w:firstLine="644"/>
        <w:spacing w:after="0" w:line="303" w:lineRule="auto"/>
        <w:tabs>
          <w:tab w:leader="none" w:pos="1020" w:val="left"/>
        </w:tabs>
        <w:numPr>
          <w:ilvl w:val="1"/>
          <w:numId w:val="335"/>
        </w:numPr>
        <w:rPr>
          <w:rFonts w:ascii="Arial" w:cs="Arial" w:eastAsia="Arial" w:hAnsi="Arial"/>
          <w:sz w:val="16"/>
          <w:szCs w:val="16"/>
          <w:color w:val="auto"/>
        </w:rPr>
      </w:pPr>
      <w:r>
        <w:rPr>
          <w:rFonts w:ascii="Arial" w:cs="Arial" w:eastAsia="Arial" w:hAnsi="Arial"/>
          <w:sz w:val="16"/>
          <w:szCs w:val="16"/>
          <w:color w:val="auto"/>
        </w:rPr>
        <w:t>the amount of any restructuring charge, accrual or reserve, integration cost or other business optimization expense, including any restructuring costs incurred in connection with acquisitions, mergers or consolidations after the Original Closing Date and any other restructuring expenses, severance expenses, one-time compensation charges, post-retirement employee benefits plans, any expenses relating to reconstruction, decommissioning or recommissioning fixed assets for alternate use, expenses or charges relating to facility closing costs, acquisition integration costs and signing, retention or completion bonuses or expenses, in an amount,</w:t>
      </w:r>
    </w:p>
    <w:p>
      <w:pPr>
        <w:spacing w:after="0" w:line="2" w:lineRule="exact"/>
        <w:rPr>
          <w:rFonts w:ascii="Arial" w:cs="Arial" w:eastAsia="Arial" w:hAnsi="Arial"/>
          <w:sz w:val="16"/>
          <w:szCs w:val="16"/>
          <w:color w:val="auto"/>
        </w:rPr>
      </w:pPr>
    </w:p>
    <w:p>
      <w:pPr>
        <w:ind w:left="4" w:hanging="4"/>
        <w:spacing w:after="0" w:line="244" w:lineRule="auto"/>
        <w:tabs>
          <w:tab w:leader="none" w:pos="340" w:val="left"/>
        </w:tabs>
        <w:numPr>
          <w:ilvl w:val="0"/>
          <w:numId w:val="336"/>
        </w:numPr>
        <w:rPr>
          <w:rFonts w:ascii="Arial" w:cs="Arial" w:eastAsia="Arial" w:hAnsi="Arial"/>
          <w:sz w:val="20"/>
          <w:szCs w:val="20"/>
          <w:color w:val="auto"/>
        </w:rPr>
      </w:pPr>
      <w:r>
        <w:rPr>
          <w:rFonts w:ascii="Arial" w:cs="Arial" w:eastAsia="Arial" w:hAnsi="Arial"/>
          <w:sz w:val="20"/>
          <w:szCs w:val="20"/>
          <w:color w:val="auto"/>
        </w:rPr>
        <w:t xml:space="preserve">when taken together with any amounts under clause (xviii) below, not to exceed $4,000,000 in any period; and (B) when taken together with any amounts in clauses (xii) and (xviii) below, not to exceed $5,000,000 in any period; </w:t>
      </w:r>
      <w:r>
        <w:rPr>
          <w:rFonts w:ascii="Arial" w:cs="Arial" w:eastAsia="Arial" w:hAnsi="Arial"/>
          <w:sz w:val="20"/>
          <w:szCs w:val="20"/>
          <w:u w:val="single" w:color="auto"/>
          <w:color w:val="auto"/>
        </w:rPr>
        <w:t>plus</w:t>
      </w:r>
    </w:p>
    <w:p>
      <w:pPr>
        <w:spacing w:after="0" w:line="200" w:lineRule="exact"/>
        <w:rPr>
          <w:sz w:val="20"/>
          <w:szCs w:val="20"/>
          <w:color w:val="auto"/>
        </w:rPr>
      </w:pPr>
    </w:p>
    <w:p>
      <w:pPr>
        <w:spacing w:after="0" w:line="356"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584"/>
          </w:cols>
          <w:pgMar w:left="976" w:top="771" w:right="339" w:bottom="1440" w:gutter="0" w:footer="0" w:header="0"/>
        </w:sectPr>
      </w:pPr>
    </w:p>
    <w:bookmarkStart w:id="398" w:name="page399"/>
    <w:bookmarkEnd w:id="398"/>
    <w:p>
      <w:pPr>
        <w:jc w:val="both"/>
        <w:ind w:left="660" w:firstLine="644"/>
        <w:spacing w:after="0" w:line="250" w:lineRule="auto"/>
        <w:tabs>
          <w:tab w:leader="none" w:pos="1731" w:val="left"/>
        </w:tabs>
        <w:numPr>
          <w:ilvl w:val="1"/>
          <w:numId w:val="337"/>
        </w:numPr>
        <w:rPr>
          <w:rFonts w:ascii="Arial" w:cs="Arial" w:eastAsia="Arial" w:hAnsi="Arial"/>
          <w:sz w:val="20"/>
          <w:szCs w:val="20"/>
          <w:color w:val="auto"/>
        </w:rPr>
      </w:pPr>
      <w:r>
        <w:rPr>
          <w:rFonts w:ascii="Arial" w:cs="Arial" w:eastAsia="Arial" w:hAnsi="Arial"/>
          <w:sz w:val="20"/>
          <w:szCs w:val="20"/>
          <w:color w:val="auto"/>
        </w:rPr>
        <w:t xml:space="preserve">(A) any extraordinary, unusual or non-recurring non-cash expenses or non-cash charges and (B) any non-recurring expenses or charges in an amount not to exceed in any period (I) $2,000,000; and (II) when taken together with any amounts in clauses (xi) and (xviii), $5,000,000; </w:t>
      </w:r>
      <w:r>
        <w:rPr>
          <w:rFonts w:ascii="Arial" w:cs="Arial" w:eastAsia="Arial" w:hAnsi="Arial"/>
          <w:sz w:val="20"/>
          <w:szCs w:val="20"/>
          <w:u w:val="single" w:color="auto"/>
          <w:color w:val="auto"/>
        </w:rPr>
        <w:t>plus</w:t>
      </w:r>
    </w:p>
    <w:p>
      <w:pPr>
        <w:spacing w:after="0" w:line="131" w:lineRule="exact"/>
        <w:rPr>
          <w:rFonts w:ascii="Arial" w:cs="Arial" w:eastAsia="Arial" w:hAnsi="Arial"/>
          <w:sz w:val="20"/>
          <w:szCs w:val="20"/>
          <w:color w:val="auto"/>
        </w:rPr>
      </w:pPr>
    </w:p>
    <w:p>
      <w:pPr>
        <w:jc w:val="both"/>
        <w:ind w:left="660" w:firstLine="644"/>
        <w:spacing w:after="0" w:line="291" w:lineRule="auto"/>
        <w:tabs>
          <w:tab w:leader="none" w:pos="1796" w:val="left"/>
        </w:tabs>
        <w:numPr>
          <w:ilvl w:val="1"/>
          <w:numId w:val="337"/>
        </w:numPr>
        <w:rPr>
          <w:rFonts w:ascii="Arial" w:cs="Arial" w:eastAsia="Arial" w:hAnsi="Arial"/>
          <w:sz w:val="18"/>
          <w:szCs w:val="18"/>
          <w:color w:val="auto"/>
        </w:rPr>
      </w:pPr>
      <w:r>
        <w:rPr>
          <w:rFonts w:ascii="Arial" w:cs="Arial" w:eastAsia="Arial" w:hAnsi="Arial"/>
          <w:sz w:val="18"/>
          <w:szCs w:val="18"/>
          <w:color w:val="auto"/>
        </w:rPr>
        <w:t xml:space="preserve">other noncash items reducing Consolidated Net Income (excluding any such non cash item to the extent that it represents an accrual or reserve for potential cash items in any future period or amortization of a prepaid cash item that was paid in a prior period) approved by the Administrative Agent in writing as an ‘add-back’ to Consolidated Adjusted EBITDA; </w:t>
      </w:r>
      <w:r>
        <w:rPr>
          <w:rFonts w:ascii="Arial" w:cs="Arial" w:eastAsia="Arial" w:hAnsi="Arial"/>
          <w:sz w:val="18"/>
          <w:szCs w:val="18"/>
          <w:u w:val="single" w:color="auto"/>
          <w:color w:val="auto"/>
        </w:rPr>
        <w:t>plus</w:t>
      </w:r>
    </w:p>
    <w:p>
      <w:pPr>
        <w:spacing w:after="0" w:line="97" w:lineRule="exact"/>
        <w:rPr>
          <w:rFonts w:ascii="Arial" w:cs="Arial" w:eastAsia="Arial" w:hAnsi="Arial"/>
          <w:sz w:val="18"/>
          <w:szCs w:val="18"/>
          <w:color w:val="auto"/>
        </w:rPr>
      </w:pPr>
    </w:p>
    <w:p>
      <w:pPr>
        <w:ind w:left="1740" w:hanging="436"/>
        <w:spacing w:after="0"/>
        <w:tabs>
          <w:tab w:leader="none" w:pos="1740" w:val="left"/>
        </w:tabs>
        <w:numPr>
          <w:ilvl w:val="1"/>
          <w:numId w:val="337"/>
        </w:numPr>
        <w:rPr>
          <w:rFonts w:ascii="Arial" w:cs="Arial" w:eastAsia="Arial" w:hAnsi="Arial"/>
          <w:sz w:val="20"/>
          <w:szCs w:val="20"/>
          <w:color w:val="auto"/>
        </w:rPr>
      </w:pPr>
      <w:r>
        <w:rPr>
          <w:rFonts w:ascii="Arial" w:cs="Arial" w:eastAsia="Arial" w:hAnsi="Arial"/>
          <w:sz w:val="20"/>
          <w:szCs w:val="20"/>
          <w:color w:val="auto"/>
        </w:rPr>
        <w:t xml:space="preserve">any Insurance Loss Addback; </w:t>
      </w:r>
      <w:r>
        <w:rPr>
          <w:rFonts w:ascii="Arial" w:cs="Arial" w:eastAsia="Arial" w:hAnsi="Arial"/>
          <w:sz w:val="20"/>
          <w:szCs w:val="20"/>
          <w:u w:val="single" w:color="auto"/>
          <w:color w:val="auto"/>
        </w:rPr>
        <w:t>plus</w:t>
      </w:r>
    </w:p>
    <w:p>
      <w:pPr>
        <w:spacing w:after="0" w:line="161" w:lineRule="exact"/>
        <w:rPr>
          <w:rFonts w:ascii="Arial" w:cs="Arial" w:eastAsia="Arial" w:hAnsi="Arial"/>
          <w:sz w:val="20"/>
          <w:szCs w:val="20"/>
          <w:color w:val="auto"/>
        </w:rPr>
      </w:pPr>
    </w:p>
    <w:p>
      <w:pPr>
        <w:jc w:val="both"/>
        <w:ind w:left="660" w:firstLine="644"/>
        <w:spacing w:after="0" w:line="246" w:lineRule="auto"/>
        <w:tabs>
          <w:tab w:leader="none" w:pos="1701" w:val="left"/>
        </w:tabs>
        <w:numPr>
          <w:ilvl w:val="1"/>
          <w:numId w:val="337"/>
        </w:numPr>
        <w:rPr>
          <w:rFonts w:ascii="Arial" w:cs="Arial" w:eastAsia="Arial" w:hAnsi="Arial"/>
          <w:sz w:val="20"/>
          <w:szCs w:val="20"/>
          <w:color w:val="auto"/>
        </w:rPr>
      </w:pPr>
      <w:r>
        <w:rPr>
          <w:rFonts w:ascii="Arial" w:cs="Arial" w:eastAsia="Arial" w:hAnsi="Arial"/>
          <w:sz w:val="20"/>
          <w:szCs w:val="20"/>
          <w:color w:val="auto"/>
        </w:rPr>
        <w:t xml:space="preserve">expenses and payments that are covered by indemnification or purchase price adjustment provisions in any agreement entered into by a Group Member in connection with any proposed or actual Permitted Acquisition and for which (A) the indemnitor or counterparty has assumed coverage and (B) the Borrower reasonably expects to receive such expenses and payments within one year from the date of calculation; </w:t>
      </w:r>
      <w:r>
        <w:rPr>
          <w:rFonts w:ascii="Arial" w:cs="Arial" w:eastAsia="Arial" w:hAnsi="Arial"/>
          <w:sz w:val="20"/>
          <w:szCs w:val="20"/>
          <w:u w:val="single" w:color="auto"/>
          <w:color w:val="auto"/>
        </w:rPr>
        <w:t>plus</w:t>
      </w:r>
    </w:p>
    <w:p>
      <w:pPr>
        <w:spacing w:after="0" w:line="137" w:lineRule="exact"/>
        <w:rPr>
          <w:rFonts w:ascii="Arial" w:cs="Arial" w:eastAsia="Arial" w:hAnsi="Arial"/>
          <w:sz w:val="20"/>
          <w:szCs w:val="20"/>
          <w:color w:val="auto"/>
        </w:rPr>
      </w:pPr>
    </w:p>
    <w:p>
      <w:pPr>
        <w:ind w:left="660" w:firstLine="644"/>
        <w:spacing w:after="0" w:line="260" w:lineRule="auto"/>
        <w:tabs>
          <w:tab w:leader="none" w:pos="1768" w:val="left"/>
        </w:tabs>
        <w:numPr>
          <w:ilvl w:val="1"/>
          <w:numId w:val="337"/>
        </w:numPr>
        <w:rPr>
          <w:rFonts w:ascii="Arial" w:cs="Arial" w:eastAsia="Arial" w:hAnsi="Arial"/>
          <w:sz w:val="20"/>
          <w:szCs w:val="20"/>
          <w:color w:val="auto"/>
        </w:rPr>
      </w:pPr>
      <w:r>
        <w:rPr>
          <w:rFonts w:ascii="Arial" w:cs="Arial" w:eastAsia="Arial" w:hAnsi="Arial"/>
          <w:sz w:val="20"/>
          <w:szCs w:val="20"/>
          <w:color w:val="auto"/>
        </w:rPr>
        <w:t xml:space="preserve">any expense deducted in calculating Consolidated Net Income and reimbursed by third parties (other than a Group Member); </w:t>
      </w:r>
      <w:r>
        <w:rPr>
          <w:rFonts w:ascii="Arial" w:cs="Arial" w:eastAsia="Arial" w:hAnsi="Arial"/>
          <w:sz w:val="20"/>
          <w:szCs w:val="20"/>
          <w:u w:val="single" w:color="auto"/>
          <w:color w:val="auto"/>
        </w:rPr>
        <w:t>plus</w:t>
      </w:r>
    </w:p>
    <w:p>
      <w:pPr>
        <w:spacing w:after="0" w:line="122" w:lineRule="exact"/>
        <w:rPr>
          <w:rFonts w:ascii="Arial" w:cs="Arial" w:eastAsia="Arial" w:hAnsi="Arial"/>
          <w:sz w:val="20"/>
          <w:szCs w:val="20"/>
          <w:color w:val="auto"/>
        </w:rPr>
      </w:pPr>
    </w:p>
    <w:p>
      <w:pPr>
        <w:ind w:left="660" w:right="20" w:firstLine="644"/>
        <w:spacing w:after="0" w:line="260" w:lineRule="auto"/>
        <w:tabs>
          <w:tab w:leader="none" w:pos="1801" w:val="left"/>
        </w:tabs>
        <w:numPr>
          <w:ilvl w:val="1"/>
          <w:numId w:val="337"/>
        </w:numPr>
        <w:rPr>
          <w:rFonts w:ascii="Arial" w:cs="Arial" w:eastAsia="Arial" w:hAnsi="Arial"/>
          <w:sz w:val="20"/>
          <w:szCs w:val="20"/>
          <w:color w:val="auto"/>
        </w:rPr>
      </w:pPr>
      <w:r>
        <w:rPr>
          <w:rFonts w:ascii="Arial" w:cs="Arial" w:eastAsia="Arial" w:hAnsi="Arial"/>
          <w:sz w:val="20"/>
          <w:szCs w:val="20"/>
          <w:color w:val="auto"/>
        </w:rPr>
        <w:t xml:space="preserve">the amount of earn-out obligations incurred in connection with any Permitted Acquisition, to the extent such earn-outs are permitted under this Agreement and expensed under GAAP standards; </w:t>
      </w:r>
      <w:r>
        <w:rPr>
          <w:rFonts w:ascii="Arial" w:cs="Arial" w:eastAsia="Arial" w:hAnsi="Arial"/>
          <w:sz w:val="20"/>
          <w:szCs w:val="20"/>
          <w:u w:val="single" w:color="auto"/>
          <w:color w:val="auto"/>
        </w:rPr>
        <w:t>plus</w:t>
      </w:r>
    </w:p>
    <w:p>
      <w:pPr>
        <w:spacing w:after="0" w:line="122" w:lineRule="exact"/>
        <w:rPr>
          <w:rFonts w:ascii="Arial" w:cs="Arial" w:eastAsia="Arial" w:hAnsi="Arial"/>
          <w:sz w:val="20"/>
          <w:szCs w:val="20"/>
          <w:color w:val="auto"/>
        </w:rPr>
      </w:pPr>
    </w:p>
    <w:p>
      <w:pPr>
        <w:jc w:val="both"/>
        <w:ind w:left="660" w:firstLine="644"/>
        <w:spacing w:after="0" w:line="271" w:lineRule="auto"/>
        <w:tabs>
          <w:tab w:leader="none" w:pos="1858" w:val="left"/>
        </w:tabs>
        <w:numPr>
          <w:ilvl w:val="1"/>
          <w:numId w:val="337"/>
        </w:numPr>
        <w:rPr>
          <w:rFonts w:ascii="Arial" w:cs="Arial" w:eastAsia="Arial" w:hAnsi="Arial"/>
          <w:sz w:val="18"/>
          <w:szCs w:val="18"/>
          <w:color w:val="auto"/>
        </w:rPr>
      </w:pPr>
      <w:r>
        <w:rPr>
          <w:rFonts w:ascii="Arial" w:cs="Arial" w:eastAsia="Arial" w:hAnsi="Arial"/>
          <w:sz w:val="18"/>
          <w:szCs w:val="18"/>
          <w:color w:val="auto"/>
        </w:rPr>
        <w:t xml:space="preserve">the amount of cost savings, operating expense reductions, other operating improvements and initiatives and synergies projected by the Borrower in good faith to result from actions actually taken in connection with any Investment, Disposition, merger, amalgamation, consolidation, discontinued operations, or operational changes (which will be added to Consolidated Adjusted EBITDA as so projected until fully realized and calculated on a Pro Forma Basis as though such cost savings, operating expense reductions, other operating improvements and initiatives and synergies had been realized on the first day of such period), net of the amount of actual benefits realized during such period from such actions in an amount (A) when taken together with any amounts under clause (xi) above, not to exceed $4,000,000 in any period; and (B) when taken together with any amounts under clauses (xi) and (xii) above, not to exceed $5,000,000 in any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(x) such actions have actually been taken within 6 months after the consummation of the Investment, acquisition, Disposition, merger, amalgamation, consolidation, discontinued operations, or operational change expected to result in such cost savings or other benefits, and (y) such cost savings are reasonably identifiable and factually supportable (in the good faith determination of the Borrower); </w:t>
      </w:r>
      <w:r>
        <w:rPr>
          <w:rFonts w:ascii="Arial" w:cs="Arial" w:eastAsia="Arial" w:hAnsi="Arial"/>
          <w:sz w:val="18"/>
          <w:szCs w:val="18"/>
          <w:u w:val="single" w:color="auto"/>
          <w:color w:val="auto"/>
        </w:rPr>
        <w:t>plus</w:t>
      </w:r>
    </w:p>
    <w:p>
      <w:pPr>
        <w:spacing w:after="0" w:line="115" w:lineRule="exact"/>
        <w:rPr>
          <w:rFonts w:ascii="Arial" w:cs="Arial" w:eastAsia="Arial" w:hAnsi="Arial"/>
          <w:sz w:val="18"/>
          <w:szCs w:val="18"/>
          <w:color w:val="auto"/>
        </w:rPr>
      </w:pPr>
    </w:p>
    <w:p>
      <w:pPr>
        <w:ind w:left="1880" w:hanging="576"/>
        <w:spacing w:after="0"/>
        <w:tabs>
          <w:tab w:leader="none" w:pos="1880" w:val="left"/>
        </w:tabs>
        <w:numPr>
          <w:ilvl w:val="1"/>
          <w:numId w:val="337"/>
        </w:numPr>
        <w:rPr>
          <w:rFonts w:ascii="Arial" w:cs="Arial" w:eastAsia="Arial" w:hAnsi="Arial"/>
          <w:sz w:val="20"/>
          <w:szCs w:val="20"/>
          <w:color w:val="auto"/>
        </w:rPr>
      </w:pPr>
      <w:r>
        <w:rPr>
          <w:rFonts w:ascii="Arial" w:cs="Arial" w:eastAsia="Arial" w:hAnsi="Arial"/>
          <w:sz w:val="20"/>
          <w:szCs w:val="20"/>
          <w:color w:val="auto"/>
        </w:rPr>
        <w:t xml:space="preserve">write-downs of capitalized software development costs; </w:t>
      </w:r>
      <w:r>
        <w:rPr>
          <w:rFonts w:ascii="Arial" w:cs="Arial" w:eastAsia="Arial" w:hAnsi="Arial"/>
          <w:sz w:val="20"/>
          <w:szCs w:val="20"/>
          <w:u w:val="single" w:color="auto"/>
          <w:color w:val="auto"/>
        </w:rPr>
        <w:t>minus</w:t>
      </w:r>
    </w:p>
    <w:p>
      <w:pPr>
        <w:spacing w:after="0" w:line="161" w:lineRule="exact"/>
        <w:rPr>
          <w:rFonts w:ascii="Arial" w:cs="Arial" w:eastAsia="Arial" w:hAnsi="Arial"/>
          <w:sz w:val="20"/>
          <w:szCs w:val="20"/>
          <w:color w:val="auto"/>
        </w:rPr>
      </w:pPr>
    </w:p>
    <w:p>
      <w:pPr>
        <w:ind w:left="920" w:hanging="264"/>
        <w:spacing w:after="0"/>
        <w:tabs>
          <w:tab w:leader="none" w:pos="920" w:val="left"/>
        </w:tabs>
        <w:numPr>
          <w:ilvl w:val="0"/>
          <w:numId w:val="338"/>
        </w:numPr>
        <w:rPr>
          <w:rFonts w:ascii="Arial" w:cs="Arial" w:eastAsia="Arial" w:hAnsi="Arial"/>
          <w:sz w:val="20"/>
          <w:szCs w:val="20"/>
          <w:color w:val="auto"/>
        </w:rPr>
      </w:pPr>
      <w:r>
        <w:rPr>
          <w:rFonts w:ascii="Arial" w:cs="Arial" w:eastAsia="Arial" w:hAnsi="Arial"/>
          <w:sz w:val="20"/>
          <w:szCs w:val="20"/>
          <w:color w:val="auto"/>
        </w:rPr>
        <w:t>the sum, without duplication of the amounts for such period of</w:t>
      </w:r>
    </w:p>
    <w:p>
      <w:pPr>
        <w:spacing w:after="0" w:line="161" w:lineRule="exact"/>
        <w:rPr>
          <w:rFonts w:ascii="Arial" w:cs="Arial" w:eastAsia="Arial" w:hAnsi="Arial"/>
          <w:sz w:val="20"/>
          <w:szCs w:val="20"/>
          <w:color w:val="auto"/>
        </w:rPr>
      </w:pPr>
    </w:p>
    <w:p>
      <w:pPr>
        <w:ind w:left="1540" w:hanging="236"/>
        <w:spacing w:after="0"/>
        <w:tabs>
          <w:tab w:leader="none" w:pos="1540" w:val="left"/>
        </w:tabs>
        <w:numPr>
          <w:ilvl w:val="1"/>
          <w:numId w:val="338"/>
        </w:numPr>
        <w:rPr>
          <w:rFonts w:ascii="Arial" w:cs="Arial" w:eastAsia="Arial" w:hAnsi="Arial"/>
          <w:sz w:val="20"/>
          <w:szCs w:val="20"/>
          <w:color w:val="auto"/>
        </w:rPr>
      </w:pPr>
      <w:r>
        <w:rPr>
          <w:rFonts w:ascii="Arial" w:cs="Arial" w:eastAsia="Arial" w:hAnsi="Arial"/>
          <w:sz w:val="20"/>
          <w:szCs w:val="20"/>
          <w:color w:val="auto"/>
        </w:rPr>
        <w:t xml:space="preserve">interest income; </w:t>
      </w:r>
      <w:r>
        <w:rPr>
          <w:rFonts w:ascii="Arial" w:cs="Arial" w:eastAsia="Arial" w:hAnsi="Arial"/>
          <w:sz w:val="20"/>
          <w:szCs w:val="20"/>
          <w:u w:val="single" w:color="auto"/>
          <w:color w:val="auto"/>
        </w:rPr>
        <w:t>plus</w:t>
      </w:r>
    </w:p>
    <w:p>
      <w:pPr>
        <w:spacing w:after="0" w:line="161" w:lineRule="exact"/>
        <w:rPr>
          <w:rFonts w:ascii="Arial" w:cs="Arial" w:eastAsia="Arial" w:hAnsi="Arial"/>
          <w:sz w:val="20"/>
          <w:szCs w:val="20"/>
          <w:color w:val="auto"/>
        </w:rPr>
      </w:pPr>
    </w:p>
    <w:p>
      <w:pPr>
        <w:ind w:left="1600" w:hanging="296"/>
        <w:spacing w:after="0"/>
        <w:tabs>
          <w:tab w:leader="none" w:pos="1600" w:val="left"/>
        </w:tabs>
        <w:numPr>
          <w:ilvl w:val="1"/>
          <w:numId w:val="338"/>
        </w:numPr>
        <w:rPr>
          <w:rFonts w:ascii="Arial" w:cs="Arial" w:eastAsia="Arial" w:hAnsi="Arial"/>
          <w:sz w:val="20"/>
          <w:szCs w:val="20"/>
          <w:color w:val="auto"/>
        </w:rPr>
      </w:pPr>
      <w:r>
        <w:rPr>
          <w:rFonts w:ascii="Arial" w:cs="Arial" w:eastAsia="Arial" w:hAnsi="Arial"/>
          <w:sz w:val="20"/>
          <w:szCs w:val="20"/>
          <w:color w:val="auto"/>
        </w:rPr>
        <w:t xml:space="preserve">capitalized software development costs; </w:t>
      </w:r>
      <w:r>
        <w:rPr>
          <w:rFonts w:ascii="Arial" w:cs="Arial" w:eastAsia="Arial" w:hAnsi="Arial"/>
          <w:sz w:val="20"/>
          <w:szCs w:val="20"/>
          <w:u w:val="single" w:color="auto"/>
          <w:color w:val="auto"/>
        </w:rPr>
        <w:t>plus</w:t>
      </w:r>
    </w:p>
    <w:p>
      <w:pPr>
        <w:spacing w:after="0" w:line="161" w:lineRule="exact"/>
        <w:rPr>
          <w:rFonts w:ascii="Arial" w:cs="Arial" w:eastAsia="Arial" w:hAnsi="Arial"/>
          <w:sz w:val="20"/>
          <w:szCs w:val="20"/>
          <w:color w:val="auto"/>
        </w:rPr>
      </w:pPr>
    </w:p>
    <w:p>
      <w:pPr>
        <w:ind w:left="660" w:firstLine="644"/>
        <w:spacing w:after="0" w:line="260" w:lineRule="auto"/>
        <w:tabs>
          <w:tab w:leader="none" w:pos="1674" w:val="left"/>
        </w:tabs>
        <w:numPr>
          <w:ilvl w:val="1"/>
          <w:numId w:val="338"/>
        </w:numPr>
        <w:rPr>
          <w:rFonts w:ascii="Arial" w:cs="Arial" w:eastAsia="Arial" w:hAnsi="Arial"/>
          <w:sz w:val="20"/>
          <w:szCs w:val="20"/>
          <w:color w:val="auto"/>
        </w:rPr>
      </w:pPr>
      <w:r>
        <w:rPr>
          <w:rFonts w:ascii="Arial" w:cs="Arial" w:eastAsia="Arial" w:hAnsi="Arial"/>
          <w:sz w:val="20"/>
          <w:szCs w:val="20"/>
          <w:color w:val="auto"/>
        </w:rPr>
        <w:t xml:space="preserve">noncash items increasing Consolidated Net Income for such period (excluding any such noncash item to the extent it represents the reversal of an accrual or reserve for potential cash item in any prior period); </w:t>
      </w:r>
      <w:r>
        <w:rPr>
          <w:rFonts w:ascii="Arial" w:cs="Arial" w:eastAsia="Arial" w:hAnsi="Arial"/>
          <w:sz w:val="20"/>
          <w:szCs w:val="20"/>
          <w:u w:val="single" w:color="auto"/>
          <w:color w:val="auto"/>
        </w:rPr>
        <w:t>plus</w:t>
      </w:r>
    </w:p>
    <w:p>
      <w:pPr>
        <w:spacing w:after="0" w:line="122" w:lineRule="exact"/>
        <w:rPr>
          <w:rFonts w:ascii="Arial" w:cs="Arial" w:eastAsia="Arial" w:hAnsi="Arial"/>
          <w:sz w:val="20"/>
          <w:szCs w:val="20"/>
          <w:color w:val="auto"/>
        </w:rPr>
      </w:pPr>
    </w:p>
    <w:p>
      <w:pPr>
        <w:ind w:left="1640" w:hanging="336"/>
        <w:spacing w:after="0"/>
        <w:tabs>
          <w:tab w:leader="none" w:pos="1640" w:val="left"/>
        </w:tabs>
        <w:numPr>
          <w:ilvl w:val="1"/>
          <w:numId w:val="338"/>
        </w:numPr>
        <w:rPr>
          <w:rFonts w:ascii="Arial" w:cs="Arial" w:eastAsia="Arial" w:hAnsi="Arial"/>
          <w:sz w:val="20"/>
          <w:szCs w:val="20"/>
          <w:color w:val="auto"/>
        </w:rPr>
      </w:pPr>
      <w:r>
        <w:rPr>
          <w:rFonts w:ascii="Arial" w:cs="Arial" w:eastAsia="Arial" w:hAnsi="Arial"/>
          <w:sz w:val="20"/>
          <w:szCs w:val="20"/>
          <w:color w:val="auto"/>
        </w:rPr>
        <w:t>any extraordinary, unusual or non-recurring gains.</w:t>
      </w:r>
    </w:p>
    <w:p>
      <w:pPr>
        <w:spacing w:after="0" w:line="16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Consolidated Adjusted EBITDA for any period shall be determined on a Pro Forma Basis to give effect to any Permitted Acquisitions or any Disposition of any business or assets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771" w:right="339" w:bottom="1440" w:gutter="0" w:footer="0" w:header="0"/>
        </w:sectPr>
      </w:pPr>
    </w:p>
    <w:bookmarkStart w:id="399" w:name="page400"/>
    <w:bookmarkEnd w:id="399"/>
    <w:p>
      <w:pPr>
        <w:jc w:val="both"/>
        <w:spacing w:after="0" w:line="260" w:lineRule="auto"/>
        <w:rPr>
          <w:sz w:val="20"/>
          <w:szCs w:val="20"/>
          <w:color w:val="auto"/>
        </w:rPr>
      </w:pPr>
      <w:r>
        <w:rPr>
          <w:rFonts w:ascii="Arial" w:cs="Arial" w:eastAsia="Arial" w:hAnsi="Arial"/>
          <w:sz w:val="20"/>
          <w:szCs w:val="20"/>
          <w:color w:val="auto"/>
        </w:rPr>
        <w:t>consummated during such period, in each case as if such transaction occurred on the first day of such period and in accordance with Regulation S-X promulgated by the SEC.</w:t>
      </w:r>
    </w:p>
    <w:p>
      <w:pPr>
        <w:spacing w:after="0" w:line="12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Consolidated Interest Expense</w:t>
      </w:r>
      <w:r>
        <w:rPr>
          <w:rFonts w:ascii="Arial" w:cs="Arial" w:eastAsia="Arial" w:hAnsi="Arial"/>
          <w:sz w:val="18"/>
          <w:szCs w:val="18"/>
          <w:color w:val="auto"/>
        </w:rPr>
        <w:t>”: for any period, total cash interest expense (including that attributable to Capital Lease Obligations) of the Group Members for such period with respect to all outstanding Indebtedness of such Persons (including all commissions, discounts and other fees and charges owed with respect to letters of credit and bankers’ acceptance financing and net costs under Swap Agreements in respect of interest rates to the extent such net costs are allocable to such period in accordance with GAAP).</w:t>
      </w:r>
    </w:p>
    <w:p>
      <w:pPr>
        <w:spacing w:after="0" w:line="10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Consolidated Net Income</w:t>
      </w:r>
      <w:r>
        <w:rPr>
          <w:rFonts w:ascii="Arial" w:cs="Arial" w:eastAsia="Arial" w:hAnsi="Arial"/>
          <w:sz w:val="19"/>
          <w:szCs w:val="19"/>
          <w:color w:val="auto"/>
        </w:rPr>
        <w:t xml:space="preserve">”: for any period, the consolidated net income (or loss) of the Group Members, determined on a consolidated basis in accordance with GAAP;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there shall be excluded from the calculation of “Consolidated Net Income” (a) the income (or deficit) of any such Person accrued prior to the date it becomes a Subsidiary of the Borrower or is merged into or consolidated with a Group Member, (b) the income (or deficit) of any such Person (other than a Subsidiary of the Borrower) in which a Group Member has an ownership interest, except to the extent that any such income is actually received by a Group Member in the form of dividends or similar distributions, and (c) the undistributed earnings of any Subsidiary of the Borrower to the extent that the declaration or payment of dividends or similar distributions by such Subsidiary is not at the time permitted by the terms of any Contractual Obligation (other than under any Loan Document) or Requirement of Law applicable to such Subsidiary.</w:t>
      </w:r>
    </w:p>
    <w:p>
      <w:pPr>
        <w:spacing w:after="0" w:line="12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Contractual Obligation</w:t>
      </w:r>
      <w:r>
        <w:rPr>
          <w:rFonts w:ascii="Arial" w:cs="Arial" w:eastAsia="Arial" w:hAnsi="Arial"/>
          <w:sz w:val="20"/>
          <w:szCs w:val="20"/>
          <w:color w:val="auto"/>
        </w:rPr>
        <w:t>”: as to any Person, any provision of any security issued by such Person or of any agreement, instrument or other undertaking to which such Person is a party or by which it or any of its property is bound.</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Control</w:t>
      </w:r>
      <w:r>
        <w:rPr>
          <w:rFonts w:ascii="Arial" w:cs="Arial" w:eastAsia="Arial" w:hAnsi="Arial"/>
          <w:sz w:val="20"/>
          <w:szCs w:val="20"/>
          <w:color w:val="auto"/>
        </w:rPr>
        <w:t>”: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0"/>
          <w:szCs w:val="20"/>
          <w:b w:val="1"/>
          <w:bCs w:val="1"/>
          <w:i w:val="1"/>
          <w:iCs w:val="1"/>
          <w:color w:val="auto"/>
        </w:rPr>
        <w:t>Controlling</w:t>
      </w:r>
      <w:r>
        <w:rPr>
          <w:rFonts w:ascii="Arial" w:cs="Arial" w:eastAsia="Arial" w:hAnsi="Arial"/>
          <w:sz w:val="20"/>
          <w:szCs w:val="20"/>
          <w:color w:val="auto"/>
        </w:rPr>
        <w:t>” and “</w:t>
      </w:r>
      <w:r>
        <w:rPr>
          <w:rFonts w:ascii="Arial" w:cs="Arial" w:eastAsia="Arial" w:hAnsi="Arial"/>
          <w:sz w:val="20"/>
          <w:szCs w:val="20"/>
          <w:b w:val="1"/>
          <w:bCs w:val="1"/>
          <w:i w:val="1"/>
          <w:iCs w:val="1"/>
          <w:color w:val="auto"/>
        </w:rPr>
        <w:t>Controlled</w:t>
      </w:r>
      <w:r>
        <w:rPr>
          <w:rFonts w:ascii="Arial" w:cs="Arial" w:eastAsia="Arial" w:hAnsi="Arial"/>
          <w:sz w:val="20"/>
          <w:szCs w:val="20"/>
          <w:color w:val="auto"/>
        </w:rPr>
        <w:t>” have meanings correlative thereto.</w:t>
      </w:r>
    </w:p>
    <w:p>
      <w:pPr>
        <w:spacing w:after="0" w:line="13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Control Agreement</w:t>
      </w:r>
      <w:r>
        <w:rPr>
          <w:rFonts w:ascii="Arial" w:cs="Arial" w:eastAsia="Arial" w:hAnsi="Arial"/>
          <w:sz w:val="18"/>
          <w:szCs w:val="18"/>
          <w:color w:val="auto"/>
        </w:rPr>
        <w:t>”: any account control agreement in form and substance reasonably satisfactory to the Administrative Agent entered into among the depository institution at which a Loan Party maintains a Deposit Account or the securities intermediary at which a Loan Party maintains a Securities Account, such Loan Party, and the Administrative Agent pursuant to which the Administrative Agent obtains control (within the meaning of the UCC or any other applicable law) over such Deposit Account or Securities Account.</w:t>
      </w:r>
    </w:p>
    <w:p>
      <w:pPr>
        <w:spacing w:after="0" w:line="10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Control Investment Affiliate</w:t>
      </w:r>
      <w:r>
        <w:rPr>
          <w:rFonts w:ascii="Arial" w:cs="Arial" w:eastAsia="Arial" w:hAnsi="Arial"/>
          <w:sz w:val="20"/>
          <w:szCs w:val="20"/>
          <w:color w:val="auto"/>
        </w:rPr>
        <w:t>”: as to any Person, any other Person that (a) directly or indirectly, is in Control of, is Controlled by, or is under common Control with, such Person and (b) is organized by such Person primarily for the purpose of making equity or debt investments in one or more companies.</w:t>
      </w:r>
    </w:p>
    <w:p>
      <w:pPr>
        <w:spacing w:after="0" w:line="13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Corresponding Tenor</w:t>
      </w:r>
      <w:r>
        <w:rPr>
          <w:rFonts w:ascii="Arial" w:cs="Arial" w:eastAsia="Arial" w:hAnsi="Arial"/>
          <w:sz w:val="19"/>
          <w:szCs w:val="19"/>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9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Current Liabilities</w:t>
      </w:r>
      <w:r>
        <w:rPr>
          <w:rFonts w:ascii="Arial" w:cs="Arial" w:eastAsia="Arial" w:hAnsi="Arial"/>
          <w:sz w:val="20"/>
          <w:szCs w:val="20"/>
          <w:color w:val="auto"/>
        </w:rPr>
        <w:t>”: the sum of (without duplication) (a) the Obligations (including, without limitation, any outstanding drawn or undrawn Letters of Credit), plus (b) the aggregate amount of the Group Members’ Total Liabilities (excluding operating leases and leases of real property) that mature within one year from the applicable date of determination.</w:t>
      </w:r>
    </w:p>
    <w:p>
      <w:pPr>
        <w:spacing w:after="0" w:line="13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Daily Simple SOFR</w:t>
      </w:r>
      <w:r>
        <w:rPr>
          <w:rFonts w:ascii="Arial" w:cs="Arial" w:eastAsia="Arial" w:hAnsi="Arial"/>
          <w:sz w:val="20"/>
          <w:szCs w:val="20"/>
          <w:color w:val="auto"/>
        </w:rPr>
        <w:t xml:space="preserve">”: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w:t>
      </w:r>
      <w:r>
        <w:rPr>
          <w:rFonts w:ascii="Arial" w:cs="Arial" w:eastAsia="Arial" w:hAnsi="Arial"/>
          <w:sz w:val="20"/>
          <w:szCs w:val="20"/>
          <w:u w:val="single" w:color="auto"/>
          <w:color w:val="auto"/>
        </w:rPr>
        <w:t>provided</w:t>
      </w:r>
      <w:r>
        <w:rPr>
          <w:rFonts w:ascii="Arial" w:cs="Arial" w:eastAsia="Arial" w:hAnsi="Arial"/>
          <w:sz w:val="20"/>
          <w:szCs w:val="20"/>
          <w:color w:val="auto"/>
        </w:rPr>
        <w:t>, that if the Administrative Agent decides that any such convention is not administratively feasible for the Administrative Agent, then the Administrative Agent may establish another convention in its reasonable discretion.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771" w:right="339" w:bottom="1440" w:gutter="0" w:footer="0" w:header="0"/>
        </w:sectPr>
      </w:pPr>
    </w:p>
    <w:bookmarkStart w:id="400" w:name="page401"/>
    <w:bookmarkEnd w:id="400"/>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Debtor Relief Laws</w:t>
      </w:r>
      <w:r>
        <w:rPr>
          <w:rFonts w:ascii="Arial" w:cs="Arial" w:eastAsia="Arial" w:hAnsi="Arial"/>
          <w:sz w:val="20"/>
          <w:szCs w:val="20"/>
          <w:color w:val="auto"/>
        </w:rPr>
        <w:t>”: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Default</w:t>
      </w:r>
      <w:r>
        <w:rPr>
          <w:rFonts w:ascii="Arial" w:cs="Arial" w:eastAsia="Arial" w:hAnsi="Arial"/>
          <w:sz w:val="20"/>
          <w:szCs w:val="20"/>
          <w:color w:val="auto"/>
        </w:rPr>
        <w:t xml:space="preserve">”: any of the events specified in </w:t>
      </w:r>
      <w:r>
        <w:rPr>
          <w:rFonts w:ascii="Arial" w:cs="Arial" w:eastAsia="Arial" w:hAnsi="Arial"/>
          <w:sz w:val="20"/>
          <w:szCs w:val="20"/>
          <w:u w:val="single" w:color="auto"/>
          <w:color w:val="auto"/>
        </w:rPr>
        <w:t>Section 8.1</w:t>
      </w:r>
      <w:r>
        <w:rPr>
          <w:rFonts w:ascii="Arial" w:cs="Arial" w:eastAsia="Arial" w:hAnsi="Arial"/>
          <w:sz w:val="20"/>
          <w:szCs w:val="20"/>
          <w:color w:val="auto"/>
        </w:rPr>
        <w:t>, whether or not any requirement for the giving of notice, the lapse of time, or both, has been satisfied.</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Default Rate</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2.15(c)</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Defaulting Lender</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2.24(b)</w:t>
      </w:r>
      <w:r>
        <w:rPr>
          <w:rFonts w:ascii="Arial" w:cs="Arial" w:eastAsia="Arial" w:hAnsi="Arial"/>
          <w:sz w:val="18"/>
          <w:szCs w:val="18"/>
          <w:color w:val="auto"/>
        </w:rPr>
        <w:t>, any Lender that (a) has failed to (i) fund all or any portion of its Loans within 2 Business Days of the date such Loans were required to be funded hereunder unless such Lender notifies the Administrative Agent and the Borrower in writing that such failure is the result of such Lender’s reasonable determination that one or more conditions precedent to funding (each of which conditions precedent, together with any applicable default, shall be specifically identified in such writing) has not been satisfied, or (ii) pay to the Administrative Agent, the Issuing Lender, the Swingline Lender or any other Lender any other amount required to be paid by it hereunder (including in respect of its participation in Letters of Credit or Swingline Loans) within 2 Business Days of the date when due, (b) has notified the Borrower, the Administrative Agent, the Issuing Lender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that a condition precedent to funding (which condition precedent, together with any applicable default, shall be specifically identified in such writing or public statement) cannot be satisfied), (c) has failed, within 3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become the subject of a Bail-In Action or (iii)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 Lender shall not be a Defaulting Lender solely by virtue of the ownership or acquisition of any Capital Stock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w:t>
      </w:r>
      <w:r>
        <w:rPr>
          <w:rFonts w:ascii="Arial" w:cs="Arial" w:eastAsia="Arial" w:hAnsi="Arial"/>
          <w:sz w:val="18"/>
          <w:szCs w:val="18"/>
          <w:u w:val="single" w:color="auto"/>
          <w:color w:val="auto"/>
        </w:rPr>
        <w:t>Section 2.24(b)</w:t>
      </w:r>
      <w:r>
        <w:rPr>
          <w:rFonts w:ascii="Arial" w:cs="Arial" w:eastAsia="Arial" w:hAnsi="Arial"/>
          <w:sz w:val="18"/>
          <w:szCs w:val="18"/>
          <w:color w:val="auto"/>
        </w:rPr>
        <w:t>) upon delivery of written notice of such determination to the Borrower, the Issuing Lender, the Swingline Lender and each Lender.</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Deferred Revenue</w:t>
      </w:r>
      <w:r>
        <w:rPr>
          <w:rFonts w:ascii="Arial" w:cs="Arial" w:eastAsia="Arial" w:hAnsi="Arial"/>
          <w:sz w:val="16"/>
          <w:szCs w:val="16"/>
          <w:color w:val="auto"/>
        </w:rPr>
        <w:t>”: all amounts received or invoiced in advance of performance under contracts and not yet recognized as revenue.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Deposit Account</w:t>
      </w:r>
      <w:r>
        <w:rPr>
          <w:rFonts w:ascii="Arial" w:cs="Arial" w:eastAsia="Arial" w:hAnsi="Arial"/>
          <w:sz w:val="19"/>
          <w:szCs w:val="19"/>
          <w:color w:val="auto"/>
        </w:rPr>
        <w:t>”: any “deposit account” as defined in the UCC with such additions to such term as may hereafter be made.</w:t>
      </w:r>
    </w:p>
    <w:p>
      <w:pPr>
        <w:spacing w:after="0" w:line="17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Deposit Account Control Agreement</w:t>
      </w:r>
      <w:r>
        <w:rPr>
          <w:rFonts w:ascii="Arial" w:cs="Arial" w:eastAsia="Arial" w:hAnsi="Arial"/>
          <w:sz w:val="20"/>
          <w:szCs w:val="20"/>
          <w:color w:val="auto"/>
        </w:rPr>
        <w:t>”: any Control Agreement entered into by the Administrative Agent, a Loan Party and a financial institution holding a Deposit Account of such Loan Party pursuant to which the Administrative Agent is granted “control” (for purposes of the UCC) over such Deposit Account.</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Designated Jurisdiction</w:t>
      </w:r>
      <w:r>
        <w:rPr>
          <w:rFonts w:ascii="Arial" w:cs="Arial" w:eastAsia="Arial" w:hAnsi="Arial"/>
          <w:sz w:val="18"/>
          <w:szCs w:val="18"/>
          <w:color w:val="auto"/>
        </w:rPr>
        <w:t>”: any country or territory to the extent that such country or territory itself is the subject of any Sanction.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771" w:right="339" w:bottom="1440" w:gutter="0" w:footer="0" w:header="0"/>
        </w:sectPr>
      </w:pPr>
    </w:p>
    <w:bookmarkStart w:id="401" w:name="page402"/>
    <w:bookmarkEnd w:id="401"/>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Determination Date</w:t>
      </w:r>
      <w:r>
        <w:rPr>
          <w:rFonts w:ascii="Arial" w:cs="Arial" w:eastAsia="Arial" w:hAnsi="Arial"/>
          <w:sz w:val="20"/>
          <w:szCs w:val="20"/>
          <w:color w:val="auto"/>
        </w:rPr>
        <w:t>”: as defined in the definition of “Pro Forma Basis”.</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Discharge of Obligations</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10.8</w:t>
      </w:r>
      <w:r>
        <w:rPr>
          <w:rFonts w:ascii="Arial" w:cs="Arial" w:eastAsia="Arial" w:hAnsi="Arial"/>
          <w:sz w:val="19"/>
          <w:szCs w:val="19"/>
          <w:color w:val="auto"/>
        </w:rPr>
        <w:t>, the satisfaction of the Obligations (including all such Obligations relating to Cash Management Services) by the payment in full, in cash (or, as applicable, Cash Collateralization in accordance with the terms hereof) of the principal of and interest on or other liabilities relating to each Loan and any previously provided Cash Management Services, all fees and all other expenses or amounts payable under any Loan Document (other than inchoate indemnification obligations and any other obligations which pursuant to the terms of any Loan Document specifically survive repayment of the Loans for which no claim has been made), and other Obligations under or in respect of Specified Swap Agreements and Cash Management Services, to the extent (a) no default or termination event shall have occurred and be continuing thereunder, (b) any such Obligations in respect of Specified Swap Agreements have, if required by any applicable Qualified Counterparties, been Cash Collateralized, (c) no Letter of Credit shall be outstanding (or, as applicable, each outstanding and undrawn Letter of Credit has been Cash Collateralized in accordance with the terms hereof), (d) no Obligations in respect of any Cash Management Services are outstanding (or, as applicable, all such outstanding Obligations in respect of Cash Management Services have been Cash Collateralized in accordance with the terms hereof), and (e) the aggregate Commitments of the Lenders are terminated.</w:t>
      </w:r>
    </w:p>
    <w:p>
      <w:pPr>
        <w:spacing w:after="0" w:line="1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Disclosure Letter</w:t>
      </w:r>
      <w:r>
        <w:rPr>
          <w:rFonts w:ascii="Arial" w:cs="Arial" w:eastAsia="Arial" w:hAnsi="Arial"/>
          <w:sz w:val="20"/>
          <w:szCs w:val="20"/>
          <w:color w:val="auto"/>
        </w:rPr>
        <w:t>”: the disclosure letter, dated as of the date hereof, delivered by each Loan Party to Administrative Agent for the benefit of the Lenders.</w:t>
      </w:r>
    </w:p>
    <w:p>
      <w:pPr>
        <w:spacing w:after="0" w:line="1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Disposition</w:t>
      </w:r>
      <w:r>
        <w:rPr>
          <w:rFonts w:ascii="Arial" w:cs="Arial" w:eastAsia="Arial" w:hAnsi="Arial"/>
          <w:sz w:val="20"/>
          <w:szCs w:val="20"/>
          <w:color w:val="auto"/>
        </w:rPr>
        <w:t>”: with respect to any property (including, without limitation, Capital Stock of any Group Member), any sale, lease, Sale Leaseback Transaction, assignment, conveyance, transfer, encumbrance or other disposition thereof (in one transaction or in a series of transactions and whether effected pursuant to a Division or otherwise) and any issuance of Capital Stock of any Group Member. The terms “</w:t>
      </w:r>
      <w:r>
        <w:rPr>
          <w:rFonts w:ascii="Arial" w:cs="Arial" w:eastAsia="Arial" w:hAnsi="Arial"/>
          <w:sz w:val="20"/>
          <w:szCs w:val="20"/>
          <w:b w:val="1"/>
          <w:bCs w:val="1"/>
          <w:i w:val="1"/>
          <w:iCs w:val="1"/>
          <w:color w:val="auto"/>
        </w:rPr>
        <w:t>Dispose</w:t>
      </w:r>
      <w:r>
        <w:rPr>
          <w:rFonts w:ascii="Arial" w:cs="Arial" w:eastAsia="Arial" w:hAnsi="Arial"/>
          <w:sz w:val="20"/>
          <w:szCs w:val="20"/>
          <w:color w:val="auto"/>
        </w:rPr>
        <w:t>” and “</w:t>
      </w:r>
      <w:r>
        <w:rPr>
          <w:rFonts w:ascii="Arial" w:cs="Arial" w:eastAsia="Arial" w:hAnsi="Arial"/>
          <w:sz w:val="20"/>
          <w:szCs w:val="20"/>
          <w:b w:val="1"/>
          <w:bCs w:val="1"/>
          <w:i w:val="1"/>
          <w:iCs w:val="1"/>
          <w:color w:val="auto"/>
        </w:rPr>
        <w:t>Disposed of</w:t>
      </w:r>
      <w:r>
        <w:rPr>
          <w:rFonts w:ascii="Arial" w:cs="Arial" w:eastAsia="Arial" w:hAnsi="Arial"/>
          <w:sz w:val="20"/>
          <w:szCs w:val="20"/>
          <w:color w:val="auto"/>
        </w:rPr>
        <w:t>” shall have correlative meanings.</w:t>
      </w:r>
    </w:p>
    <w:p>
      <w:pPr>
        <w:spacing w:after="0" w:line="1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Disqualified Stock</w:t>
      </w:r>
      <w:r>
        <w:rPr>
          <w:rFonts w:ascii="Arial" w:cs="Arial" w:eastAsia="Arial" w:hAnsi="Arial"/>
          <w:sz w:val="19"/>
          <w:szCs w:val="19"/>
          <w:color w:val="auto"/>
        </w:rPr>
        <w:t>”: any Capital Stock that, by its terms (or by the terms of any security into which it is convertible, or for which it is exchangeable, in each case at the option of the holder thereof), or upon the happening of any event (other than a change of control or similar event), matures or is mandatorily redeemable, pursuant to a sinking fund obligation or otherwise, or redeemable at the option of the holder thereof, in whole or in part, on or prior to the date that is 91 days after the date on which the Loans mature. The amount of Disqualified Stock deemed to be outstanding at any time for purposes of this Agreement will be the maximum amount that the Group Members may become obligated to pay upon maturity of, or pursuant to any mandatory redemption provisions of, such Disqualified Stock or portion thereof, plus accrued dividends. Notwithstanding the preceding sentence, any Capital Stock that would constitute Disqualified Stock solely because the holders of the Capital Stock have the right to be paid upon liquidation, dissolution, winding up or pursuant to such other applicable statutory or regulatory obligations of the issuer of such Capital Stock will not constitute Disqualified Stock if the terms of such Capital Stock provide that such payments may not be made with respect to such Capital Stock unless such payments are made after the Discharge of Obligations.</w:t>
      </w:r>
    </w:p>
    <w:p>
      <w:pPr>
        <w:spacing w:after="0" w:line="13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Division</w:t>
      </w:r>
      <w:r>
        <w:rPr>
          <w:rFonts w:ascii="Arial" w:cs="Arial" w:eastAsia="Arial" w:hAnsi="Arial"/>
          <w:sz w:val="18"/>
          <w:szCs w:val="18"/>
          <w:color w:val="auto"/>
        </w:rPr>
        <w:t>”: in reference to any Person which is an entity, the division of such Person into two (2) or more separate Persons, with the dividing Person either continuing or terminating its existence as part of such division, including as contemplated under Section 18-217 of the Delaware Limited Liability Company Act, or any analogous action taken pursuant to any other applicable Requirements of Law.</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Dollars</w:t>
      </w:r>
      <w:r>
        <w:rPr>
          <w:rFonts w:ascii="Arial" w:cs="Arial" w:eastAsia="Arial" w:hAnsi="Arial"/>
          <w:sz w:val="20"/>
          <w:szCs w:val="20"/>
          <w:color w:val="auto"/>
        </w:rPr>
        <w:t>” and “</w:t>
      </w:r>
      <w:r>
        <w:rPr>
          <w:rFonts w:ascii="Arial" w:cs="Arial" w:eastAsia="Arial" w:hAnsi="Arial"/>
          <w:sz w:val="20"/>
          <w:szCs w:val="20"/>
          <w:b w:val="1"/>
          <w:bCs w:val="1"/>
          <w:i w:val="1"/>
          <w:iCs w:val="1"/>
          <w:color w:val="auto"/>
        </w:rPr>
        <w:t>$</w:t>
      </w:r>
      <w:r>
        <w:rPr>
          <w:rFonts w:ascii="Arial" w:cs="Arial" w:eastAsia="Arial" w:hAnsi="Arial"/>
          <w:sz w:val="20"/>
          <w:szCs w:val="20"/>
          <w:color w:val="auto"/>
        </w:rPr>
        <w:t>”: dollars in lawful currency of the United States.</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Dollar Equivalent</w:t>
      </w:r>
      <w:r>
        <w:rPr>
          <w:rFonts w:ascii="Arial" w:cs="Arial" w:eastAsia="Arial" w:hAnsi="Arial"/>
          <w:sz w:val="20"/>
          <w:szCs w:val="20"/>
          <w:color w:val="auto"/>
        </w:rPr>
        <w:t>”: at any time, (a) with respect to any amount denominated in Dollars, such amount, (b) with respect to any amount denominated in any currency other than Dollars, the equivalent amount thereof in Dollars as determined by the Administrative Agent at such time on the basis of the Spot Rate for the purchase of Dollars with such currency.</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Domestic Subsidiary</w:t>
      </w:r>
      <w:r>
        <w:rPr>
          <w:rFonts w:ascii="Arial" w:cs="Arial" w:eastAsia="Arial" w:hAnsi="Arial"/>
          <w:sz w:val="20"/>
          <w:szCs w:val="20"/>
          <w:color w:val="auto"/>
        </w:rPr>
        <w:t>”: any Subsidiary of the Borrower organized under the laws of any jurisdiction within the United States.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771" w:right="339" w:bottom="1440" w:gutter="0" w:footer="0" w:header="0"/>
        </w:sectPr>
      </w:pPr>
    </w:p>
    <w:bookmarkStart w:id="402" w:name="page403"/>
    <w:bookmarkEnd w:id="402"/>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Early Opt-in Election</w:t>
      </w:r>
      <w:r>
        <w:rPr>
          <w:rFonts w:ascii="Arial" w:cs="Arial" w:eastAsia="Arial" w:hAnsi="Arial"/>
          <w:sz w:val="20"/>
          <w:szCs w:val="20"/>
          <w:color w:val="auto"/>
        </w:rPr>
        <w:t>”: if the then-current Benchmark is LIBOR, the occurrence of:</w:t>
      </w:r>
    </w:p>
    <w:p>
      <w:pPr>
        <w:spacing w:after="0" w:line="162" w:lineRule="exact"/>
        <w:rPr>
          <w:sz w:val="20"/>
          <w:szCs w:val="20"/>
          <w:color w:val="auto"/>
        </w:rPr>
      </w:pPr>
    </w:p>
    <w:p>
      <w:pPr>
        <w:jc w:val="both"/>
        <w:ind w:left="660" w:firstLine="644"/>
        <w:spacing w:after="0" w:line="244" w:lineRule="auto"/>
        <w:tabs>
          <w:tab w:leader="none" w:pos="1800" w:val="left"/>
        </w:tabs>
        <w:numPr>
          <w:ilvl w:val="0"/>
          <w:numId w:val="339"/>
        </w:numPr>
        <w:rPr>
          <w:rFonts w:ascii="Arial" w:cs="Arial" w:eastAsia="Arial" w:hAnsi="Arial"/>
          <w:sz w:val="20"/>
          <w:szCs w:val="20"/>
          <w:color w:val="auto"/>
        </w:rPr>
      </w:pPr>
      <w:r>
        <w:rPr>
          <w:rFonts w:ascii="Arial" w:cs="Arial" w:eastAsia="Arial" w:hAnsi="Arial"/>
          <w:sz w:val="20"/>
          <w:szCs w:val="20"/>
          <w:color w:val="auto"/>
        </w:rPr>
        <w:t>a notification by the Administrative Agent to (or the request by the Borrower to the Administrative Agent to notify) each of the other parties hereto that at least five currently outstanding U.S.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140" w:lineRule="exact"/>
        <w:rPr>
          <w:rFonts w:ascii="Arial" w:cs="Arial" w:eastAsia="Arial" w:hAnsi="Arial"/>
          <w:sz w:val="20"/>
          <w:szCs w:val="20"/>
          <w:color w:val="auto"/>
        </w:rPr>
      </w:pPr>
    </w:p>
    <w:p>
      <w:pPr>
        <w:ind w:left="660" w:firstLine="644"/>
        <w:spacing w:after="0" w:line="260" w:lineRule="auto"/>
        <w:tabs>
          <w:tab w:leader="none" w:pos="1751" w:val="left"/>
        </w:tabs>
        <w:numPr>
          <w:ilvl w:val="0"/>
          <w:numId w:val="339"/>
        </w:numPr>
        <w:rPr>
          <w:rFonts w:ascii="Arial" w:cs="Arial" w:eastAsia="Arial" w:hAnsi="Arial"/>
          <w:sz w:val="20"/>
          <w:szCs w:val="20"/>
          <w:color w:val="auto"/>
        </w:rPr>
      </w:pPr>
      <w:r>
        <w:rPr>
          <w:rFonts w:ascii="Arial" w:cs="Arial" w:eastAsia="Arial" w:hAnsi="Arial"/>
          <w:sz w:val="20"/>
          <w:szCs w:val="20"/>
          <w:color w:val="auto"/>
        </w:rPr>
        <w:t>the joint election by the Administrative Agent and the Borrower to trigger a fallback from LIBOR and the provision by the Administrative Agent of written notice of such election to the Lenders.</w:t>
      </w:r>
    </w:p>
    <w:p>
      <w:pPr>
        <w:spacing w:after="0" w:line="1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EEA Financial Institution</w:t>
      </w:r>
      <w:r>
        <w:rPr>
          <w:rFonts w:ascii="Arial" w:cs="Arial" w:eastAsia="Arial" w:hAnsi="Arial"/>
          <w:sz w:val="19"/>
          <w:szCs w:val="19"/>
          <w:color w:val="auto"/>
        </w:rPr>
        <w:t>”: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EEA Member Country</w:t>
      </w:r>
      <w:r>
        <w:rPr>
          <w:rFonts w:ascii="Arial" w:cs="Arial" w:eastAsia="Arial" w:hAnsi="Arial"/>
          <w:sz w:val="20"/>
          <w:szCs w:val="20"/>
          <w:color w:val="auto"/>
        </w:rPr>
        <w:t>”: any of the member states of the European Union, Iceland, Liechtenstein, and Norway.</w:t>
      </w:r>
    </w:p>
    <w:p>
      <w:pPr>
        <w:spacing w:after="0" w:line="1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EEA Resolution Authority</w:t>
      </w:r>
      <w:r>
        <w:rPr>
          <w:rFonts w:ascii="Arial" w:cs="Arial" w:eastAsia="Arial" w:hAnsi="Arial"/>
          <w:sz w:val="19"/>
          <w:szCs w:val="19"/>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771" w:right="339" w:bottom="1440" w:gutter="0" w:footer="0" w:header="0"/>
        </w:sectPr>
      </w:pPr>
    </w:p>
    <w:bookmarkStart w:id="403" w:name="page404"/>
    <w:bookmarkEnd w:id="403"/>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Eligible Assignee</w:t>
      </w:r>
      <w:r>
        <w:rPr>
          <w:rFonts w:ascii="Arial" w:cs="Arial" w:eastAsia="Arial" w:hAnsi="Arial"/>
          <w:sz w:val="20"/>
          <w:szCs w:val="20"/>
          <w:color w:val="auto"/>
        </w:rPr>
        <w:t xml:space="preserve">”: any Person that meets the requirements to be an assignee under </w:t>
      </w:r>
      <w:r>
        <w:rPr>
          <w:rFonts w:ascii="Arial" w:cs="Arial" w:eastAsia="Arial" w:hAnsi="Arial"/>
          <w:sz w:val="20"/>
          <w:szCs w:val="20"/>
          <w:u w:val="single" w:color="auto"/>
          <w:color w:val="auto"/>
        </w:rPr>
        <w:t>Section 10.6(b)(iii)</w:t>
      </w:r>
      <w:r>
        <w:rPr>
          <w:rFonts w:ascii="Arial" w:cs="Arial" w:eastAsia="Arial" w:hAnsi="Arial"/>
          <w:sz w:val="20"/>
          <w:szCs w:val="20"/>
          <w:color w:val="auto"/>
        </w:rPr>
        <w:t xml:space="preserve">, </w:t>
      </w:r>
      <w:r>
        <w:rPr>
          <w:rFonts w:ascii="Arial" w:cs="Arial" w:eastAsia="Arial" w:hAnsi="Arial"/>
          <w:sz w:val="20"/>
          <w:szCs w:val="20"/>
          <w:u w:val="single" w:color="auto"/>
          <w:color w:val="auto"/>
        </w:rPr>
        <w:t>(v)</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(vi)</w:t>
      </w:r>
      <w:r>
        <w:rPr>
          <w:rFonts w:ascii="Arial" w:cs="Arial" w:eastAsia="Arial" w:hAnsi="Arial"/>
          <w:sz w:val="20"/>
          <w:szCs w:val="20"/>
          <w:color w:val="auto"/>
        </w:rPr>
        <w:t xml:space="preserve"> (subject to such consents, if any, as may be required under </w:t>
      </w:r>
      <w:r>
        <w:rPr>
          <w:rFonts w:ascii="Arial" w:cs="Arial" w:eastAsia="Arial" w:hAnsi="Arial"/>
          <w:sz w:val="20"/>
          <w:szCs w:val="20"/>
          <w:u w:val="single" w:color="auto"/>
          <w:color w:val="auto"/>
        </w:rPr>
        <w:t>Section 10.6(b)(iii)</w:t>
      </w:r>
      <w:r>
        <w:rPr>
          <w:rFonts w:ascii="Arial" w:cs="Arial" w:eastAsia="Arial" w:hAnsi="Arial"/>
          <w:sz w:val="20"/>
          <w:szCs w:val="20"/>
          <w:color w:val="auto"/>
        </w:rPr>
        <w:t>).</w:t>
      </w:r>
    </w:p>
    <w:p>
      <w:pPr>
        <w:spacing w:after="0" w:line="1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Environmental Laws</w:t>
      </w:r>
      <w:r>
        <w:rPr>
          <w:rFonts w:ascii="Arial" w:cs="Arial" w:eastAsia="Arial" w:hAnsi="Arial"/>
          <w:sz w:val="20"/>
          <w:szCs w:val="20"/>
          <w:color w:val="auto"/>
        </w:rPr>
        <w:t>”: any and all foreign, federal, state, local or municipal laws, rules, orders, regulations, statutes, ordinances, codes, decrees, requirements of any Governmental Authority or other Requirements of Law (including common law) regulating, relating to or imposing liability or standards of conduct concerning protection of human health or the environment, as now or may at any time hereafter be in effect.</w:t>
      </w:r>
    </w:p>
    <w:p>
      <w:pPr>
        <w:spacing w:after="0" w:line="13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Environmental Liability</w:t>
      </w:r>
      <w:r>
        <w:rPr>
          <w:rFonts w:ascii="Arial" w:cs="Arial" w:eastAsia="Arial" w:hAnsi="Arial"/>
          <w:sz w:val="20"/>
          <w:szCs w:val="20"/>
          <w:color w:val="auto"/>
        </w:rPr>
        <w:t>”: any liability, contingent or otherwise (including any liability for damages, costs of environmental remediation, fines, penalties or indemnities), of any Group Member directly or indirectly resulting from or based upon (a) a violation of an Environmental Law, (b) the generation, use, handling, transportation, storage, treatment or disposal of any Materials of Environmental Concern, (c) exposure to any Materials of Environmental Concern, (d) the release or threatened release of any Materials of Environmental Concern into the environment, or (e) any contract, agreement or other consensual arrangement pursuant to which liability is assumed or imposed with respect to any of the foregoing.</w:t>
      </w:r>
    </w:p>
    <w:p>
      <w:pPr>
        <w:spacing w:after="0" w:line="14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ERISA</w:t>
      </w:r>
      <w:r>
        <w:rPr>
          <w:rFonts w:ascii="Arial" w:cs="Arial" w:eastAsia="Arial" w:hAnsi="Arial"/>
          <w:sz w:val="20"/>
          <w:szCs w:val="20"/>
          <w:color w:val="auto"/>
        </w:rPr>
        <w:t>”: the Employee Retirement Income Security Act of 1974, as amended, including (unless the context otherwise requires) any rules or regulations promulgated thereunder.</w:t>
      </w:r>
    </w:p>
    <w:p>
      <w:pPr>
        <w:spacing w:after="0" w:line="1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ERISA Affiliate</w:t>
      </w:r>
      <w:r>
        <w:rPr>
          <w:rFonts w:ascii="Arial" w:cs="Arial" w:eastAsia="Arial" w:hAnsi="Arial"/>
          <w:sz w:val="19"/>
          <w:szCs w:val="19"/>
          <w:color w:val="auto"/>
        </w:rPr>
        <w:t>”: each business or entity which is, or within the last six years was, a member of a “controlled group of corporations,” under “common control” or an “affiliated service group” with any Loan Party within the meaning of Section 414(b), (c), (m) or (n) of the Code, required to be aggregated with any Loan Party under Section 414(o) of the Code, or is, or within the last six years was, under “common control” with any Loan Party, within the meaning of Section 4001(a)(14) of ERISA.</w:t>
      </w:r>
    </w:p>
    <w:p>
      <w:pPr>
        <w:spacing w:after="0" w:line="12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 Event</w:t>
      </w:r>
      <w:r>
        <w:rPr>
          <w:rFonts w:ascii="Arial" w:cs="Arial" w:eastAsia="Arial" w:hAnsi="Arial"/>
          <w:sz w:val="18"/>
          <w:szCs w:val="18"/>
          <w:color w:val="auto"/>
        </w:rPr>
        <w:t>”: any of (a) a reportable event as defined in Section 4043 of ERISA with respect to a Pension Plan, excluding, however, such events as to which the PBGC by regulation has waived the requirement of Section 4043(a) of ERISA that it be notified within 30 days of the occurrence of such event; (b) the applicability of the requirements of Section 4043(b) of ERISA with respect to a contributing sponsor, as defined in Section 4001(a)(13) of ERISA, to any Pension Plan where an event described in paragraph (9), (10), (11), (12) or (13) of Section 4043(c) of ERISA is reasonably expected to occur with respect to such plan within the following 30 days; (c) a withdrawal by any Loan Party or any ERISA Affiliate thereof from a Pension Plan or the termination of any Pension Plan resulting in liability to a Loan Party under Sections 4063 or 4064 of ERISA; (d) the withdrawal of any Loan Party or any ERISA Affiliate thereof in a complete or partial withdrawal (within the meaning of Section 4203 and 4205 of ERISA) from any Multiemployer Plan if there is any potential liability to a Loan Party therefor, or the receipt by any Loan Party or any ERISA Affiliate thereof of notice from any Multiemployer Plan that it is in reorganization or insolvency pursuant to Section 4241 or 4245 of ERISA; (e) the filing of a notice of intent to terminate, the treatment of a Pension Plan or Multiemployer Plan amendment as a termination under Section 4041 or 4041A of ERISA, or the commencement of proceedings by the PBGC to terminate a Pension Plan or Multiemployer Plan; (f) the imposition of liability on any Loan Party or any ERISA Affiliate thereof pursuant to Sections 4062(e) or 4069 of ERISA or by reason of the application of Section 4212(c) of ERISA; (g) the failure by any Loan Party or any ERISA Affiliate thereof to make any required contribution to a Pension Plan, or the failure to meet the minimum funding standard of Section 412 of the Code with respect to any Pension Plan (whether or not waived in accordance with Section 412(c) of the Code) or the failure to make by its due date a required installment under Section 430 of the Code with respect to any Pension Plan or the failure to make any required contribution to a Multiemployer Plan; (h) the determination that any Pension Plan is considered an at-risk plan or a plan in endangered to critical status within the meaning of Sections 430, 431 and 432 of the Code or Sections 303, 304 and 305 of ERISA; (i) an event or condition which would reasonably be expected to constitute grounds under Section 4042 of ERISA for the termination of, or the appointment of a trustee to administer, any Pension Plan or Multiemployer Plan; (j) the imposition of any liability under Title I or Title IV of ERISA, other than PBGC premiums due but not delinquent under Section 4007 of ERISA, upon any Loan Party or any</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771" w:right="339" w:bottom="1440" w:gutter="0" w:footer="0" w:header="0"/>
        </w:sectPr>
      </w:pPr>
    </w:p>
    <w:bookmarkStart w:id="404" w:name="page405"/>
    <w:bookmarkEnd w:id="404"/>
    <w:p>
      <w:pPr>
        <w:jc w:val="both"/>
        <w:spacing w:after="0" w:line="269" w:lineRule="auto"/>
        <w:rPr>
          <w:sz w:val="20"/>
          <w:szCs w:val="20"/>
          <w:color w:val="auto"/>
        </w:rPr>
      </w:pPr>
      <w:r>
        <w:rPr>
          <w:rFonts w:ascii="Arial" w:cs="Arial" w:eastAsia="Arial" w:hAnsi="Arial"/>
          <w:sz w:val="18"/>
          <w:szCs w:val="18"/>
          <w:color w:val="auto"/>
        </w:rPr>
        <w:t>ERISA Affiliate thereof; (k) an application for a funding waiver under Section 303 of ERISA or an extension of any amortization period pursuant to Section 412 of the Code with respect to any Pension Plan; (l) the occurrence of a non-exempt prohibited transaction under Sections 406 or 407 of ERISA for which any Group Member may be directly or indirectly liable; (m) a violation of the applicable requirements of Section 404 or 405 of ERISA or the exclusive benefit rule under Section 401(a) of the Code by any fiduciary or disqualified person for which any Loan Party or any ERISA Affiliate thereof may be directly or indirectly liable; (n) the occurrence of an act or omission which could give rise to the imposition on any Loan Party or any ERISA Affiliate thereof of fines, penalties, taxes or related charges under Chapter 43 of the Code or under Sections 409, 502(c), (i) or (1) or 4071 of ERISA; (o) the assertion of a material claim (other than routine claims for benefits) against any Plan or the assets thereof, or against any Group Member in connection with any such Plan; (p) receipt from the IRS of notice of the failure of any Qualified Plan to qualify under Section 401(a) of the Code, or the failure of any trust forming part of any Qualified Plan to qualify for exemption from taxation under Section 501(a) of the Code; (q) the imposition of any lien (or the fulfillment of the conditions for the imposition of any lien) on any of the rights, properties or assets of any Loan Party or any ERISA Affiliate thereof, in either case pursuant to Title I or IV of ERISA, including Section 302(f) or 303(k) of ERISA or to Section 401(a)(29) or 430(k) of the Code; or (r) the establishment or amendment by any Group Member of any “welfare plan” as such term is defined in Section 3(1) of ERISA, that provides post-employment welfare benefits in a manner that would increase the liability of any Loan Party.</w:t>
      </w:r>
    </w:p>
    <w:p>
      <w:pPr>
        <w:spacing w:after="0" w:line="12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ERISA Funding Rules</w:t>
      </w:r>
      <w:r>
        <w:rPr>
          <w:rFonts w:ascii="Arial" w:cs="Arial" w:eastAsia="Arial" w:hAnsi="Arial"/>
          <w:sz w:val="20"/>
          <w:szCs w:val="20"/>
          <w:color w:val="auto"/>
        </w:rPr>
        <w:t>”: the rules regarding minimum required contributions (including any installment payment thereof) to Pension Plans, as set forth in Section 412 of the Code and Section 302 of ERISA, with respect to Plan years ending prior to the effective date of the Pension Protection Act of 2006, and thereafter, as set forth in Sections 412, 430, 431, 432 and 436 of the Code and Sections 302, 303, 304 and 305 of ERISA.</w:t>
      </w:r>
    </w:p>
    <w:p>
      <w:pPr>
        <w:spacing w:after="0" w:line="13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EU Bail-In Legislation Schedule</w:t>
      </w:r>
      <w:r>
        <w:rPr>
          <w:rFonts w:ascii="Arial" w:cs="Arial" w:eastAsia="Arial" w:hAnsi="Arial"/>
          <w:sz w:val="20"/>
          <w:szCs w:val="20"/>
          <w:color w:val="auto"/>
        </w:rPr>
        <w:t>”: the EU Bail-In Legislation Schedule published by the Loan Market Association (or any successor Person), as in effect from time to time.</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Eurocurrency Reserve Requirements</w:t>
      </w:r>
      <w:r>
        <w:rPr>
          <w:rFonts w:ascii="Arial" w:cs="Arial" w:eastAsia="Arial" w:hAnsi="Arial"/>
          <w:sz w:val="19"/>
          <w:szCs w:val="19"/>
          <w:color w:val="auto"/>
        </w:rPr>
        <w:t>”: for any day as applied to a Eurodollar Loan, the aggregate (without duplication) of the maximum rates (expressed as a decimal fraction) of reserve requirements in effect on such day (including basic, supplemental, marginal and emergency reserves) under any regulations of the Board or other Governmental Authority having jurisdiction with respect thereto dealing with reserve requirements prescribed for eurocurrency funding (currently referred to as “Eurocurrency Liabilities” in Regulation D of the Board) maintained by a member bank of the Federal Reserve System.</w:t>
      </w:r>
    </w:p>
    <w:p>
      <w:pPr>
        <w:spacing w:after="0" w:line="12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Eurodollar Base Rate</w:t>
      </w:r>
      <w:r>
        <w:rPr>
          <w:rFonts w:ascii="Arial" w:cs="Arial" w:eastAsia="Arial" w:hAnsi="Arial"/>
          <w:sz w:val="19"/>
          <w:szCs w:val="19"/>
          <w:color w:val="auto"/>
        </w:rPr>
        <w:t>”: with respect to each day during each Interest Period pertaining to (a) a Eurodollar Loan, the rate per annum determined by the Administrative Agent by reference to the ICE Benchmark Administration London Interbank Offered Rate (“</w:t>
      </w:r>
      <w:r>
        <w:rPr>
          <w:rFonts w:ascii="Arial" w:cs="Arial" w:eastAsia="Arial" w:hAnsi="Arial"/>
          <w:sz w:val="19"/>
          <w:szCs w:val="19"/>
          <w:b w:val="1"/>
          <w:bCs w:val="1"/>
          <w:i w:val="1"/>
          <w:iCs w:val="1"/>
          <w:color w:val="auto"/>
        </w:rPr>
        <w:t>LIBOR</w:t>
      </w:r>
      <w:r>
        <w:rPr>
          <w:rFonts w:ascii="Arial" w:cs="Arial" w:eastAsia="Arial" w:hAnsi="Arial"/>
          <w:sz w:val="19"/>
          <w:szCs w:val="19"/>
          <w:color w:val="auto"/>
        </w:rPr>
        <w:t xml:space="preserve">”) (or any successor thereto if the ICE Benchmark Administration is no longer making LIBOR available) for deposits (for delivery on the first day of such Interest Period) with a term equivalent to such Interest Period in Dollars, determined as of approximately 11:00 A.M. (London, England time) 2 Business Days prior to the beginning of such Interest Period (as set forth by Bloomberg Information Service or any successor thereto or any other commercially available service selected by the Administrative Agent which provides quotations of LIBOR);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the Eurodollar Base Rate shall not be less than 1.00%. In the event that the Administrative Agent determines that LIBOR is not available, the “Eurodollar Base Rate” shall be determined by reference to the rate per annum equal to the offered quotation rate to first class banks in the London interbank market by SVB for deposits (for delivery on the first day of the relevant Interest Period) in Dollars of amounts in Same Day Funds comparable to the principal amount of the applicable Loan of the Administrative Agent, in its capacity as a Lender, for which the Eurodollar Base Rate is then being determined with maturities comparable to such period as of approximately 11:00 A.M. (London, England time) 2 Business Days prior to the beginning of such Interest Period; </w:t>
      </w:r>
      <w:r>
        <w:rPr>
          <w:rFonts w:ascii="Arial" w:cs="Arial" w:eastAsia="Arial" w:hAnsi="Arial"/>
          <w:sz w:val="19"/>
          <w:szCs w:val="19"/>
          <w:u w:val="single" w:color="auto"/>
          <w:color w:val="auto"/>
        </w:rPr>
        <w:t>provided that</w:t>
      </w:r>
      <w:r>
        <w:rPr>
          <w:rFonts w:ascii="Arial" w:cs="Arial" w:eastAsia="Arial" w:hAnsi="Arial"/>
          <w:sz w:val="19"/>
          <w:szCs w:val="19"/>
          <w:color w:val="auto"/>
        </w:rPr>
        <w:t>, in all events, such Eurodollar Base Rate shall not be less than 1.00%.</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771" w:right="339" w:bottom="1440" w:gutter="0" w:footer="0" w:header="0"/>
        </w:sectPr>
      </w:pPr>
    </w:p>
    <w:bookmarkStart w:id="405" w:name="page406"/>
    <w:bookmarkEnd w:id="40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Eurodollar Loans</w:t>
      </w:r>
      <w:r>
        <w:rPr>
          <w:rFonts w:ascii="Arial" w:cs="Arial" w:eastAsia="Arial" w:hAnsi="Arial"/>
          <w:sz w:val="18"/>
          <w:szCs w:val="18"/>
          <w:color w:val="auto"/>
        </w:rPr>
        <w:t>”: Loans the rate of interest applicable to which is based upon clause (a) of the definition of “Eurodollar Base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Rate”.</w:t>
      </w:r>
    </w:p>
    <w:p>
      <w:pPr>
        <w:spacing w:after="0" w:line="14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Eurodollar Rate</w:t>
      </w:r>
      <w:r>
        <w:rPr>
          <w:rFonts w:ascii="Arial" w:cs="Arial" w:eastAsia="Arial" w:hAnsi="Arial"/>
          <w:sz w:val="20"/>
          <w:szCs w:val="20"/>
          <w:color w:val="auto"/>
        </w:rPr>
        <w:t>”: with respect to each day during each Interest Period pertaining to a Eurodollar Loan, a rate per annum determined for such day in accordance with the following formula:</w:t>
      </w:r>
    </w:p>
    <w:p>
      <w:pPr>
        <w:spacing w:after="0" w:line="177" w:lineRule="exact"/>
        <w:rPr>
          <w:sz w:val="20"/>
          <w:szCs w:val="20"/>
          <w:color w:val="auto"/>
        </w:rPr>
      </w:pPr>
    </w:p>
    <w:p>
      <w:pPr>
        <w:ind w:left="4200"/>
        <w:spacing w:after="0"/>
        <w:rPr>
          <w:sz w:val="20"/>
          <w:szCs w:val="20"/>
          <w:color w:val="auto"/>
        </w:rPr>
      </w:pPr>
      <w:r>
        <w:rPr>
          <w:rFonts w:ascii="Arial" w:cs="Arial" w:eastAsia="Arial" w:hAnsi="Arial"/>
          <w:sz w:val="20"/>
          <w:szCs w:val="20"/>
          <w:color w:val="auto"/>
        </w:rPr>
        <w:t>Eurodollar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27305</wp:posOffset>
            </wp:positionV>
            <wp:extent cx="347154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47"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1.00 - Eurocurrency Reserve Requirements</w:t>
      </w:r>
    </w:p>
    <w:p>
      <w:pPr>
        <w:spacing w:after="0" w:line="28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The Eurodollar Rate shall be adjusted automatically as of the effective date of any change in the Eurocurrency Reserve Requirements;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the Eurodollar Rate shall not be less than 1.00%.</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Eurodollar Tranche</w:t>
      </w:r>
      <w:r>
        <w:rPr>
          <w:rFonts w:ascii="Arial" w:cs="Arial" w:eastAsia="Arial" w:hAnsi="Arial"/>
          <w:sz w:val="20"/>
          <w:szCs w:val="20"/>
          <w:color w:val="auto"/>
        </w:rPr>
        <w:t>”: the collective reference to Eurodollar Loans under a particular Facility (other than the L/C Facility), the then current Interest Periods with respect to all of which begin on the same date and end on the same later date (whether or not such Loans shall originally have been made on the same day).</w:t>
      </w:r>
    </w:p>
    <w:p>
      <w:pPr>
        <w:spacing w:after="0" w:line="13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Event of Default</w:t>
      </w:r>
      <w:r>
        <w:rPr>
          <w:rFonts w:ascii="Arial" w:cs="Arial" w:eastAsia="Arial" w:hAnsi="Arial"/>
          <w:sz w:val="20"/>
          <w:szCs w:val="20"/>
          <w:color w:val="auto"/>
        </w:rPr>
        <w:t xml:space="preserve">”: any of the events specified in </w:t>
      </w:r>
      <w:r>
        <w:rPr>
          <w:rFonts w:ascii="Arial" w:cs="Arial" w:eastAsia="Arial" w:hAnsi="Arial"/>
          <w:sz w:val="20"/>
          <w:szCs w:val="20"/>
          <w:u w:val="single" w:color="auto"/>
          <w:color w:val="auto"/>
        </w:rPr>
        <w:t>Section 8.1</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any requirement for the giving of notice, the lapse of time, or both, has been satisfied.</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Exchange Act</w:t>
      </w:r>
      <w:r>
        <w:rPr>
          <w:rFonts w:ascii="Arial" w:cs="Arial" w:eastAsia="Arial" w:hAnsi="Arial"/>
          <w:sz w:val="20"/>
          <w:szCs w:val="20"/>
          <w:color w:val="auto"/>
        </w:rPr>
        <w:t>”: the Securities Exchange Act of 1934, as amended from time to time and any successor statute.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Excluded Assets</w:t>
      </w:r>
      <w:r>
        <w:rPr>
          <w:rFonts w:ascii="Arial" w:cs="Arial" w:eastAsia="Arial" w:hAnsi="Arial"/>
          <w:sz w:val="20"/>
          <w:szCs w:val="20"/>
          <w:color w:val="auto"/>
        </w:rPr>
        <w:t>”: as defined in the Guarantee and Collateral Agreement.</w:t>
      </w:r>
    </w:p>
    <w:p>
      <w:pPr>
        <w:spacing w:after="0" w:line="16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Excluded Swap Obligations</w:t>
      </w:r>
      <w:r>
        <w:rPr>
          <w:rFonts w:ascii="Arial" w:cs="Arial" w:eastAsia="Arial" w:hAnsi="Arial"/>
          <w:sz w:val="20"/>
          <w:szCs w:val="20"/>
          <w:color w:val="auto"/>
        </w:rPr>
        <w:t>”: with respect to any Guarantor, any Swap Obligation if, and to the extent that, all or a portion of the Guarantee Obligation of such Guarantor with respect to, or the grant by such Guarantor of a Lien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at the time such Guarantee Obligation of such Guarantor, or the grant by such Guarantor of such Lien, becomes effective with respect to such Swap Obligation. If such a Swap Obligation arises under a master agreement governing more than one swap, such exclusion shall apply only to the portion of such Swap Obligation that is attributable to swaps for which such Guarantee Obligation or Lien is or becomes excluded in accordance with the first sentence of this definition.</w:t>
      </w:r>
    </w:p>
    <w:p>
      <w:pPr>
        <w:spacing w:after="0" w:line="14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Excluded Taxes</w:t>
      </w:r>
      <w:r>
        <w:rPr>
          <w:rFonts w:ascii="Arial" w:cs="Arial" w:eastAsia="Arial" w:hAnsi="Arial"/>
          <w:sz w:val="18"/>
          <w:szCs w:val="18"/>
          <w:color w:val="auto"/>
        </w:rPr>
        <w:t xml:space="preserve">”: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Arial" w:cs="Arial" w:eastAsia="Arial" w:hAnsi="Arial"/>
          <w:sz w:val="18"/>
          <w:szCs w:val="18"/>
          <w:u w:val="single" w:color="auto"/>
          <w:color w:val="auto"/>
        </w:rPr>
        <w:t>Section 2.23</w:t>
      </w:r>
      <w:r>
        <w:rPr>
          <w:rFonts w:ascii="Arial" w:cs="Arial" w:eastAsia="Arial" w:hAnsi="Arial"/>
          <w:sz w:val="18"/>
          <w:szCs w:val="18"/>
          <w:color w:val="auto"/>
        </w:rPr>
        <w:t>) or</w:t>
      </w:r>
    </w:p>
    <w:p>
      <w:pPr>
        <w:spacing w:after="0" w:line="5" w:lineRule="exact"/>
        <w:rPr>
          <w:sz w:val="20"/>
          <w:szCs w:val="20"/>
          <w:color w:val="auto"/>
        </w:rPr>
      </w:pPr>
    </w:p>
    <w:p>
      <w:pPr>
        <w:jc w:val="both"/>
        <w:ind w:firstLine="8"/>
        <w:spacing w:after="0" w:line="241" w:lineRule="auto"/>
        <w:tabs>
          <w:tab w:leader="none" w:pos="312" w:val="left"/>
        </w:tabs>
        <w:numPr>
          <w:ilvl w:val="0"/>
          <w:numId w:val="340"/>
        </w:numPr>
        <w:rPr>
          <w:rFonts w:ascii="Arial" w:cs="Arial" w:eastAsia="Arial" w:hAnsi="Arial"/>
          <w:sz w:val="20"/>
          <w:szCs w:val="20"/>
          <w:color w:val="auto"/>
        </w:rPr>
      </w:pPr>
      <w:r>
        <w:rPr>
          <w:rFonts w:ascii="Arial" w:cs="Arial" w:eastAsia="Arial" w:hAnsi="Arial"/>
          <w:sz w:val="20"/>
          <w:szCs w:val="20"/>
          <w:color w:val="auto"/>
        </w:rPr>
        <w:t xml:space="preserve">such Lender changes its lending office, except in each case to the extent that, pursuant to </w:t>
      </w:r>
      <w:r>
        <w:rPr>
          <w:rFonts w:ascii="Arial" w:cs="Arial" w:eastAsia="Arial" w:hAnsi="Arial"/>
          <w:sz w:val="20"/>
          <w:szCs w:val="20"/>
          <w:u w:val="single" w:color="auto"/>
          <w:color w:val="auto"/>
        </w:rPr>
        <w:t>Section 2.20</w:t>
      </w:r>
      <w:r>
        <w:rPr>
          <w:rFonts w:ascii="Arial" w:cs="Arial" w:eastAsia="Arial" w:hAnsi="Arial"/>
          <w:sz w:val="20"/>
          <w:szCs w:val="20"/>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20"/>
          <w:szCs w:val="20"/>
          <w:u w:val="single" w:color="auto"/>
          <w:color w:val="auto"/>
        </w:rPr>
        <w:t>Section 2.20(f)</w:t>
      </w:r>
      <w:r>
        <w:rPr>
          <w:rFonts w:ascii="Arial" w:cs="Arial" w:eastAsia="Arial" w:hAnsi="Arial"/>
          <w:sz w:val="20"/>
          <w:szCs w:val="20"/>
          <w:color w:val="auto"/>
        </w:rPr>
        <w:t xml:space="preserve"> and (d) any withholding Taxes imposed under FATCA.</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Existing Credit Agreement</w:t>
      </w:r>
      <w:r>
        <w:rPr>
          <w:rFonts w:ascii="Arial" w:cs="Arial" w:eastAsia="Arial" w:hAnsi="Arial"/>
          <w:sz w:val="20"/>
          <w:szCs w:val="20"/>
          <w:color w:val="auto"/>
        </w:rPr>
        <w:t>”: as defined in the recitals hereto.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Existing Fee Letter</w:t>
      </w:r>
      <w:r>
        <w:rPr>
          <w:rFonts w:ascii="Arial" w:cs="Arial" w:eastAsia="Arial" w:hAnsi="Arial"/>
          <w:sz w:val="20"/>
          <w:szCs w:val="20"/>
          <w:color w:val="auto"/>
        </w:rPr>
        <w:t>”: the letter agreement dated August 11, 2020, between the Borrower and SVB.</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771" w:right="339" w:bottom="1440" w:gutter="0" w:footer="0" w:header="0"/>
        </w:sectPr>
      </w:pPr>
    </w:p>
    <w:bookmarkStart w:id="406" w:name="page407"/>
    <w:bookmarkEnd w:id="406"/>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Existing Letters of Credit</w:t>
      </w:r>
      <w:r>
        <w:rPr>
          <w:rFonts w:ascii="Arial" w:cs="Arial" w:eastAsia="Arial" w:hAnsi="Arial"/>
          <w:sz w:val="20"/>
          <w:szCs w:val="20"/>
          <w:color w:val="auto"/>
        </w:rPr>
        <w:t xml:space="preserve">”: the letters of credit as in effect on the Original Closing Date and described on </w:t>
      </w:r>
      <w:r>
        <w:rPr>
          <w:rFonts w:ascii="Arial" w:cs="Arial" w:eastAsia="Arial" w:hAnsi="Arial"/>
          <w:sz w:val="20"/>
          <w:szCs w:val="20"/>
          <w:u w:val="single" w:color="auto"/>
          <w:color w:val="auto"/>
        </w:rPr>
        <w:t>Schedule 1.1B</w:t>
      </w:r>
      <w:r>
        <w:rPr>
          <w:rFonts w:ascii="Arial" w:cs="Arial" w:eastAsia="Arial" w:hAnsi="Arial"/>
          <w:sz w:val="20"/>
          <w:szCs w:val="20"/>
          <w:color w:val="auto"/>
        </w:rPr>
        <w:t xml:space="preserve"> of the Disclosure Letter.</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Facility</w:t>
      </w:r>
      <w:r>
        <w:rPr>
          <w:rFonts w:ascii="Arial" w:cs="Arial" w:eastAsia="Arial" w:hAnsi="Arial"/>
          <w:sz w:val="20"/>
          <w:szCs w:val="20"/>
          <w:color w:val="auto"/>
        </w:rPr>
        <w:t>”: each of (a) the L/C Facility (which is a sub-facility of the Revolving Facility), (b) the Revolving Facility and (c) the Swingline Facility (which is a sub-facility of the Revolving Facility).</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FASB ASC</w:t>
      </w:r>
      <w:r>
        <w:rPr>
          <w:rFonts w:ascii="Arial" w:cs="Arial" w:eastAsia="Arial" w:hAnsi="Arial"/>
          <w:sz w:val="20"/>
          <w:szCs w:val="20"/>
          <w:color w:val="auto"/>
        </w:rPr>
        <w:t>”: the Accounting Standards certification of the Financial Accounting Standards Board</w:t>
      </w:r>
    </w:p>
    <w:p>
      <w:pPr>
        <w:spacing w:after="0" w:line="16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FATCA</w:t>
      </w:r>
      <w:r>
        <w:rPr>
          <w:rFonts w:ascii="Arial" w:cs="Arial" w:eastAsia="Arial" w:hAnsi="Arial"/>
          <w:sz w:val="20"/>
          <w:szCs w:val="20"/>
          <w:color w:val="auto"/>
        </w:rPr>
        <w:t>”: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4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Federal Funds Effective Rate</w:t>
      </w:r>
      <w:r>
        <w:rPr>
          <w:rFonts w:ascii="Arial" w:cs="Arial" w:eastAsia="Arial" w:hAnsi="Arial"/>
          <w:sz w:val="19"/>
          <w:szCs w:val="19"/>
          <w:color w:val="auto"/>
        </w:rPr>
        <w:t>”: for any day, the greater of (a) 0.00% and (b) the weighted average of the rates on overnight federal funds transactions with members of the Federal Reserve System, as published on the next succeeding Business Day by the Federal Reserve Bank of New York, or, if such rate is not so published for any day that is a Business Day, the average of the quotations for the day of such transactions received by SVB from three federal funds brokers of recognized standing selected by it.</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Fee Letter</w:t>
      </w:r>
      <w:r>
        <w:rPr>
          <w:rFonts w:ascii="Arial" w:cs="Arial" w:eastAsia="Arial" w:hAnsi="Arial"/>
          <w:sz w:val="20"/>
          <w:szCs w:val="20"/>
          <w:color w:val="auto"/>
        </w:rPr>
        <w:t>”: the letter agreement dated February 19, 2021, between the Borrower and SVB.</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Flood Laws</w:t>
      </w:r>
      <w:r>
        <w:rPr>
          <w:rFonts w:ascii="Arial" w:cs="Arial" w:eastAsia="Arial" w:hAnsi="Arial"/>
          <w:sz w:val="20"/>
          <w:szCs w:val="20"/>
          <w:color w:val="auto"/>
        </w:rPr>
        <w:t>”: the National Flood Insurance Reform Act of 1994 and related legislation (including the regulations of the Board of Governors of the Federal Reserve System).</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Floor</w:t>
      </w:r>
      <w:r>
        <w:rPr>
          <w:rFonts w:ascii="Arial" w:cs="Arial" w:eastAsia="Arial" w:hAnsi="Arial"/>
          <w:sz w:val="20"/>
          <w:szCs w:val="20"/>
          <w:color w:val="auto"/>
        </w:rPr>
        <w:t>”: 1.00% per annum.</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Foreclosed Borrowers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2.25</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Foreign Lender</w:t>
      </w:r>
      <w:r>
        <w:rPr>
          <w:rFonts w:ascii="Arial" w:cs="Arial" w:eastAsia="Arial" w:hAnsi="Arial"/>
          <w:sz w:val="20"/>
          <w:szCs w:val="20"/>
          <w:color w:val="auto"/>
        </w:rPr>
        <w:t>”: (a) if the Borrower is a U.S. Person, a Lender that is not a U.S. Person, and (b) if the Borrower is not a U.S. Person, a Lender that is resident or organized under the laws of a jurisdiction other than that in which the Borrower is resident for tax purposes.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Foreign Subsidiary</w:t>
      </w:r>
      <w:r>
        <w:rPr>
          <w:rFonts w:ascii="Arial" w:cs="Arial" w:eastAsia="Arial" w:hAnsi="Arial"/>
          <w:sz w:val="20"/>
          <w:szCs w:val="20"/>
          <w:color w:val="auto"/>
        </w:rPr>
        <w:t>”: any Subsidiary of the Borrower that is not a Domestic Subsidiary.</w:t>
      </w:r>
    </w:p>
    <w:p>
      <w:pPr>
        <w:spacing w:after="0" w:line="16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Fronting Exposure</w:t>
      </w:r>
      <w:r>
        <w:rPr>
          <w:rFonts w:ascii="Arial" w:cs="Arial" w:eastAsia="Arial" w:hAnsi="Arial"/>
          <w:sz w:val="18"/>
          <w:szCs w:val="18"/>
          <w:color w:val="auto"/>
        </w:rPr>
        <w:t>”: at any time there is a Defaulting Lender, as applicable, (a) with respect to the Issuing Lender, such Defaulting Lender’s L/C Percentage of the outstanding L/C Exposure other than L/C Exposure as to which such Defaulting Lender’s participation obligation has been reallocated to other Lenders or Cash Collateralized in accordance with the terms hereof, and (b) with respect to the Swingline Lender, such Defaulting Lender’s Revolving Percentage of outstanding Swingline Loans made by the Swingline Lender other than Swingline Loans as to which such Defaulting Lender’s participation obligation has been reallocated to other Lenders.</w:t>
      </w:r>
    </w:p>
    <w:p>
      <w:pPr>
        <w:spacing w:after="0" w:line="11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Fund</w:t>
      </w:r>
      <w:r>
        <w:rPr>
          <w:rFonts w:ascii="Arial" w:cs="Arial" w:eastAsia="Arial" w:hAnsi="Arial"/>
          <w:sz w:val="20"/>
          <w:szCs w:val="20"/>
          <w:color w:val="auto"/>
        </w:rPr>
        <w:t>”: any Person (other than a natural Person) that is (or will be) engaged in making, purchasing, holding or otherwise investing in commercial loans, bonds and similar extensions of credit in the ordinary course of its activities.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Funding Office</w:t>
      </w:r>
      <w:r>
        <w:rPr>
          <w:rFonts w:ascii="Arial" w:cs="Arial" w:eastAsia="Arial" w:hAnsi="Arial"/>
          <w:sz w:val="20"/>
          <w:szCs w:val="20"/>
          <w:color w:val="auto"/>
        </w:rPr>
        <w:t>”: the Revolving Loan Funding Office.</w:t>
      </w:r>
    </w:p>
    <w:p>
      <w:pPr>
        <w:spacing w:after="0" w:line="16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GAAP</w:t>
      </w:r>
      <w:r>
        <w:rPr>
          <w:rFonts w:ascii="Arial" w:cs="Arial" w:eastAsia="Arial" w:hAnsi="Arial"/>
          <w:sz w:val="18"/>
          <w:szCs w:val="18"/>
          <w:color w:val="auto"/>
        </w:rPr>
        <w:t xml:space="preserve">”: generally accepted accounting principles in the United States as in effect from time to time, except that for purposes of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GAAP shall be determined on the basis of such principles in effect on the date hereof and consistent with those used in the preparation of the most recent audited financial statements referred to in </w:t>
      </w:r>
      <w:r>
        <w:rPr>
          <w:rFonts w:ascii="Arial" w:cs="Arial" w:eastAsia="Arial" w:hAnsi="Arial"/>
          <w:sz w:val="18"/>
          <w:szCs w:val="18"/>
          <w:u w:val="single" w:color="auto"/>
          <w:color w:val="auto"/>
        </w:rPr>
        <w:t>Section 4.1(b)</w:t>
      </w:r>
      <w:r>
        <w:rPr>
          <w:rFonts w:ascii="Arial" w:cs="Arial" w:eastAsia="Arial" w:hAnsi="Arial"/>
          <w:sz w:val="18"/>
          <w:szCs w:val="18"/>
          <w:color w:val="auto"/>
        </w:rPr>
        <w:t>. In the event that any “</w:t>
      </w:r>
      <w:r>
        <w:rPr>
          <w:rFonts w:ascii="Arial" w:cs="Arial" w:eastAsia="Arial" w:hAnsi="Arial"/>
          <w:sz w:val="18"/>
          <w:szCs w:val="18"/>
          <w:b w:val="1"/>
          <w:bCs w:val="1"/>
          <w:i w:val="1"/>
          <w:iCs w:val="1"/>
          <w:color w:val="auto"/>
        </w:rPr>
        <w:t>Accounting Change</w:t>
      </w:r>
      <w:r>
        <w:rPr>
          <w:rFonts w:ascii="Arial" w:cs="Arial" w:eastAsia="Arial" w:hAnsi="Arial"/>
          <w:sz w:val="18"/>
          <w:szCs w:val="18"/>
          <w:color w:val="auto"/>
        </w:rPr>
        <w:t>” (as defined below) shall occur and such change results in a change in the method of calculation of financial covenants, standards or terms in this Agreement, then the Borrower and the Administrative Agent agree to enter into negotiations to amend such provisions of this Agreement so as to reflect equitably such Accounting Changes with the desired result that the criteria for evaluating the Borrower’s financial</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771" w:right="339" w:bottom="1440" w:gutter="0" w:footer="0" w:header="0"/>
        </w:sectPr>
      </w:pPr>
    </w:p>
    <w:bookmarkStart w:id="407" w:name="page408"/>
    <w:bookmarkEnd w:id="407"/>
    <w:p>
      <w:pPr>
        <w:jc w:val="both"/>
        <w:spacing w:after="0" w:line="243" w:lineRule="auto"/>
        <w:rPr>
          <w:sz w:val="20"/>
          <w:szCs w:val="20"/>
          <w:color w:val="auto"/>
        </w:rPr>
      </w:pPr>
      <w:r>
        <w:rPr>
          <w:rFonts w:ascii="Arial" w:cs="Arial" w:eastAsia="Arial" w:hAnsi="Arial"/>
          <w:sz w:val="20"/>
          <w:szCs w:val="20"/>
          <w:color w:val="auto"/>
        </w:rPr>
        <w:t>condition shall be the same after such Accounting Changes as if such Accounting Changes had not been made. Until such time as such an amendment shall have been executed and delivered by the Borrower, the Administrative Agent and the Required Lenders, all financial covenants, standards and terms in this Agreement shall continue to be calculated or construed as if such Accounting Changes had not occurred. “</w:t>
      </w:r>
      <w:r>
        <w:rPr>
          <w:rFonts w:ascii="Arial" w:cs="Arial" w:eastAsia="Arial" w:hAnsi="Arial"/>
          <w:sz w:val="20"/>
          <w:szCs w:val="20"/>
          <w:b w:val="1"/>
          <w:bCs w:val="1"/>
          <w:i w:val="1"/>
          <w:iCs w:val="1"/>
          <w:color w:val="auto"/>
        </w:rPr>
        <w:t>Accounting Changes</w:t>
      </w:r>
      <w:r>
        <w:rPr>
          <w:rFonts w:ascii="Arial" w:cs="Arial" w:eastAsia="Arial" w:hAnsi="Arial"/>
          <w:sz w:val="20"/>
          <w:szCs w:val="20"/>
          <w:color w:val="auto"/>
        </w:rPr>
        <w:t>” refers to changes in accounting principles required by the promulgation of any rule, regulation, pronouncement or opinion by the Financial Accounting Standards Board of the American Institute of Certified Public Accountants or, if applicable, the SEC, or the adoption of IFRS.</w:t>
      </w:r>
    </w:p>
    <w:p>
      <w:pPr>
        <w:spacing w:after="0" w:line="14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Governmental Approval</w:t>
      </w:r>
      <w:r>
        <w:rPr>
          <w:rFonts w:ascii="Arial" w:cs="Arial" w:eastAsia="Arial" w:hAnsi="Arial"/>
          <w:sz w:val="20"/>
          <w:szCs w:val="20"/>
          <w:color w:val="auto"/>
        </w:rPr>
        <w:t>”: any consent, authorization, approval, order, license, franchise, permit, certificate, accreditation, registration, filing or notice, of, issued by, from or to, or other act by or in respect of, any Governmental Authority.</w:t>
      </w:r>
    </w:p>
    <w:p>
      <w:pPr>
        <w:spacing w:after="0" w:line="1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Governmental Authority</w:t>
      </w:r>
      <w:r>
        <w:rPr>
          <w:rFonts w:ascii="Arial" w:cs="Arial" w:eastAsia="Arial" w:hAnsi="Arial"/>
          <w:sz w:val="19"/>
          <w:szCs w:val="19"/>
          <w:color w:val="auto"/>
        </w:rPr>
        <w:t>”: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accounting or regulatory capital rules or standards (including the Financial Standards Board, the Bank for International Settlements, the Basel Committee on Banking Supervision and any successor or similar authority to any of the foregoing).</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Group Members</w:t>
      </w:r>
      <w:r>
        <w:rPr>
          <w:rFonts w:ascii="Arial" w:cs="Arial" w:eastAsia="Arial" w:hAnsi="Arial"/>
          <w:sz w:val="20"/>
          <w:szCs w:val="20"/>
          <w:color w:val="auto"/>
        </w:rPr>
        <w:t>”: the collective reference to the Borrower and its Subsidiaries.</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Guarantee and Collateral Agreement</w:t>
      </w:r>
      <w:r>
        <w:rPr>
          <w:rFonts w:ascii="Arial" w:cs="Arial" w:eastAsia="Arial" w:hAnsi="Arial"/>
          <w:sz w:val="20"/>
          <w:szCs w:val="20"/>
          <w:color w:val="auto"/>
        </w:rPr>
        <w:t>”: the Guarantee and Collateral Agreement dated as of the Original Closing Date by and among the Loan Parties and the Administrative Agent.</w:t>
      </w:r>
    </w:p>
    <w:p>
      <w:pPr>
        <w:spacing w:after="0" w:line="12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Guarantee Obligation</w:t>
      </w:r>
      <w:r>
        <w:rPr>
          <w:rFonts w:ascii="Arial" w:cs="Arial" w:eastAsia="Arial" w:hAnsi="Arial"/>
          <w:sz w:val="19"/>
          <w:szCs w:val="19"/>
          <w:color w:val="auto"/>
        </w:rPr>
        <w:t>”: as to any Person (the “</w:t>
      </w:r>
      <w:r>
        <w:rPr>
          <w:rFonts w:ascii="Arial" w:cs="Arial" w:eastAsia="Arial" w:hAnsi="Arial"/>
          <w:sz w:val="19"/>
          <w:szCs w:val="19"/>
          <w:b w:val="1"/>
          <w:bCs w:val="1"/>
          <w:i w:val="1"/>
          <w:iCs w:val="1"/>
          <w:color w:val="auto"/>
        </w:rPr>
        <w:t>guaranteeing person</w:t>
      </w:r>
      <w:r>
        <w:rPr>
          <w:rFonts w:ascii="Arial" w:cs="Arial" w:eastAsia="Arial" w:hAnsi="Arial"/>
          <w:sz w:val="19"/>
          <w:szCs w:val="19"/>
          <w:color w:val="auto"/>
        </w:rPr>
        <w:t>”), any obligation, including a reimbursement, counterindemnity or similar obligation, of the guaranteeing person that guarantees or in effect guarantees, or which is given to induce the creation of a separate obligation by another Person (including any bank under any letter of credit) that guarantees or in effect guarantees, any Indebtedness, leases, dividends or other obligations (the “</w:t>
      </w:r>
      <w:r>
        <w:rPr>
          <w:rFonts w:ascii="Arial" w:cs="Arial" w:eastAsia="Arial" w:hAnsi="Arial"/>
          <w:sz w:val="19"/>
          <w:szCs w:val="19"/>
          <w:b w:val="1"/>
          <w:bCs w:val="1"/>
          <w:i w:val="1"/>
          <w:iCs w:val="1"/>
          <w:color w:val="auto"/>
        </w:rPr>
        <w:t>primary obligations</w:t>
      </w:r>
      <w:r>
        <w:rPr>
          <w:rFonts w:ascii="Arial" w:cs="Arial" w:eastAsia="Arial" w:hAnsi="Arial"/>
          <w:sz w:val="19"/>
          <w:szCs w:val="19"/>
          <w:color w:val="auto"/>
        </w:rPr>
        <w:t>”) of any other third Person (the “</w:t>
      </w:r>
      <w:r>
        <w:rPr>
          <w:rFonts w:ascii="Arial" w:cs="Arial" w:eastAsia="Arial" w:hAnsi="Arial"/>
          <w:sz w:val="19"/>
          <w:szCs w:val="19"/>
          <w:b w:val="1"/>
          <w:bCs w:val="1"/>
          <w:i w:val="1"/>
          <w:iCs w:val="1"/>
          <w:color w:val="auto"/>
        </w:rPr>
        <w:t>primary obligor</w:t>
      </w:r>
      <w:r>
        <w:rPr>
          <w:rFonts w:ascii="Arial" w:cs="Arial" w:eastAsia="Arial" w:hAnsi="Arial"/>
          <w:sz w:val="19"/>
          <w:szCs w:val="19"/>
          <w:color w:val="auto"/>
        </w:rPr>
        <w:t xml:space="preserve">”) in any manner, whether directly or indirectly, including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Borrower in good faith.</w:t>
      </w:r>
    </w:p>
    <w:p>
      <w:pPr>
        <w:spacing w:after="0" w:line="13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Guarantors</w:t>
      </w:r>
      <w:r>
        <w:rPr>
          <w:rFonts w:ascii="Arial" w:cs="Arial" w:eastAsia="Arial" w:hAnsi="Arial"/>
          <w:sz w:val="19"/>
          <w:szCs w:val="19"/>
          <w:color w:val="auto"/>
        </w:rPr>
        <w:t xml:space="preserve">”: a collective reference to each Subsidiary of the Borrower which has become a Guarantor pursuant to the requirements of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hereof and the Guarantee and Collateral Agreement. Notwithstanding the foregoing or any contrary provision herein or in any other Loan Document, no Immaterial Subsidiary shall be required to be a Guarantor, and no Subsidiary shall be required to become a Guarantor if, in the reasonable judgment of the Administrative Agent and the Borrower, the burden or cost of providing a guarantee shall be excessive in view of the benefits to be obtained by the Secured Parties therefrom.</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40"/>
          </w:cols>
          <w:pgMar w:left="320" w:top="771" w:right="339" w:bottom="1440" w:gutter="0" w:footer="0" w:header="0"/>
        </w:sectPr>
      </w:pPr>
    </w:p>
    <w:bookmarkStart w:id="408" w:name="page409"/>
    <w:bookmarkEnd w:id="408"/>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IFRS</w:t>
      </w:r>
      <w:r>
        <w:rPr>
          <w:rFonts w:ascii="Arial" w:cs="Arial" w:eastAsia="Arial" w:hAnsi="Arial"/>
          <w:sz w:val="20"/>
          <w:szCs w:val="20"/>
          <w:color w:val="auto"/>
        </w:rPr>
        <w:t>”: international accounting standards within the meaning of IAS Regulation 1606/2002 to the extent applicable to the relevant financial statements delivered under or referred to herein.</w:t>
      </w:r>
    </w:p>
    <w:p>
      <w:pPr>
        <w:spacing w:after="0" w:line="12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Immaterial Subsidiary</w:t>
      </w:r>
      <w:r>
        <w:rPr>
          <w:rFonts w:ascii="Arial" w:cs="Arial" w:eastAsia="Arial" w:hAnsi="Arial"/>
          <w:sz w:val="18"/>
          <w:szCs w:val="18"/>
          <w:color w:val="auto"/>
        </w:rPr>
        <w:t xml:space="preserve">”: as of the last day of each fiscal quarter and at any other date of determination, any Subsidiary of any Loan Party (other than a Borrower or a Guarantor) designated as such by the Borrower in writing and which as of such date (a) holds assets representing 10% or less of the Borrower’s consolidated total assets as of such date (determined in accordance with GAAP), (b) has generated 10% or less of the Borrower’s consolidated total revenues determined in accordance with GAAP for the four fiscal quarter period ending on the last day of the most recent period for which financial statements have been delivered after the Closing Date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6.1(b),</w:t>
      </w:r>
      <w:r>
        <w:rPr>
          <w:rFonts w:ascii="Arial" w:cs="Arial" w:eastAsia="Arial" w:hAnsi="Arial"/>
          <w:sz w:val="18"/>
          <w:szCs w:val="18"/>
          <w:color w:val="auto"/>
        </w:rPr>
        <w:t xml:space="preserve"> (c) has contributed 10% or less of Borrower’s Consolidated Adjusted EBITDA for the four fiscal quarter period ending on the last day of the most recent period for which financial statements have been delivered after the Closing Date pursuant to </w:t>
      </w:r>
      <w:r>
        <w:rPr>
          <w:rFonts w:ascii="Arial" w:cs="Arial" w:eastAsia="Arial" w:hAnsi="Arial"/>
          <w:sz w:val="18"/>
          <w:szCs w:val="18"/>
          <w:u w:val="single" w:color="auto"/>
          <w:color w:val="auto"/>
        </w:rPr>
        <w:t>Section 6.1(b)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all Subsidiaries that are individually </w:t>
      </w:r>
      <w:r>
        <w:rPr>
          <w:rFonts w:ascii="Arial" w:cs="Arial" w:eastAsia="Arial" w:hAnsi="Arial"/>
          <w:sz w:val="18"/>
          <w:szCs w:val="18"/>
          <w:b w:val="1"/>
          <w:bCs w:val="1"/>
          <w:i w:val="1"/>
          <w:iCs w:val="1"/>
          <w:color w:val="auto"/>
        </w:rPr>
        <w:t>“Immaterial Subsidiaries”</w:t>
      </w:r>
      <w:r>
        <w:rPr>
          <w:rFonts w:ascii="Arial" w:cs="Arial" w:eastAsia="Arial" w:hAnsi="Arial"/>
          <w:sz w:val="18"/>
          <w:szCs w:val="18"/>
          <w:color w:val="auto"/>
        </w:rPr>
        <w:t xml:space="preserve"> shall not have (i) aggregate consolidated total assets that would represent 20% or more of the Borrower’s consolidated total assets as of such date, (ii) generated 20% or more of the Borrower’s consolidated total revenues for such four fiscal quarter period, in each case of clauses (i) and (ii) determined in accordance with GAAP, or (iii) contributed 20% or more of the Borrower’s Consolidated Adjusted EBITDA for such four fiscal quarter period, (d) owns no Capital Stock of any Subsidiary that is not an Immaterial Subsidiary, and (e) owns no material Intellectual Property.</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Increase</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2.27</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Increase Joinder</w:t>
      </w:r>
      <w:r>
        <w:rPr>
          <w:rFonts w:ascii="Arial" w:cs="Arial" w:eastAsia="Arial" w:hAnsi="Arial"/>
          <w:sz w:val="18"/>
          <w:szCs w:val="18"/>
          <w:color w:val="auto"/>
        </w:rPr>
        <w:t>”: an instrument, in form and substance reasonably satisfactory to the Administrative Agent, by which a Lender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becomes a party to this Agreement pursuant to </w:t>
      </w:r>
      <w:r>
        <w:rPr>
          <w:rFonts w:ascii="Arial" w:cs="Arial" w:eastAsia="Arial" w:hAnsi="Arial"/>
          <w:sz w:val="20"/>
          <w:szCs w:val="20"/>
          <w:u w:val="single" w:color="auto"/>
          <w:color w:val="auto"/>
        </w:rPr>
        <w:t>Section 2.27</w:t>
      </w:r>
      <w:r>
        <w:rPr>
          <w:rFonts w:ascii="Arial" w:cs="Arial" w:eastAsia="Arial" w:hAnsi="Arial"/>
          <w:sz w:val="20"/>
          <w:szCs w:val="20"/>
          <w:color w:val="auto"/>
        </w:rPr>
        <w:t>.“</w:t>
      </w:r>
      <w:r>
        <w:rPr>
          <w:rFonts w:ascii="Arial" w:cs="Arial" w:eastAsia="Arial" w:hAnsi="Arial"/>
          <w:sz w:val="20"/>
          <w:szCs w:val="20"/>
          <w:b w:val="1"/>
          <w:bCs w:val="1"/>
          <w:i w:val="1"/>
          <w:iCs w:val="1"/>
          <w:color w:val="auto"/>
        </w:rPr>
        <w:t>Incurred</w:t>
      </w:r>
      <w:r>
        <w:rPr>
          <w:rFonts w:ascii="Arial" w:cs="Arial" w:eastAsia="Arial" w:hAnsi="Arial"/>
          <w:sz w:val="20"/>
          <w:szCs w:val="20"/>
          <w:color w:val="auto"/>
        </w:rPr>
        <w:t>”: as defined in the definition of “Pro Forma Basis”.</w:t>
      </w:r>
    </w:p>
    <w:p>
      <w:pPr>
        <w:spacing w:after="0" w:line="14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Indebtedness</w:t>
      </w:r>
      <w:r>
        <w:rPr>
          <w:rFonts w:ascii="Arial" w:cs="Arial" w:eastAsia="Arial" w:hAnsi="Arial"/>
          <w:sz w:val="18"/>
          <w:szCs w:val="18"/>
          <w:color w:val="auto"/>
        </w:rPr>
        <w:t>”: of any Person at any date, without duplication, (a) all indebtedness of such Person for borrowed money, (b) all obligations of such Person for the deferred purchase price of property or services (other than (i) current trade payables incurred in the ordinary course of such Person’s business, (ii) any earn-out obligation unless either such obligation is not paid after becoming due and payable or such obligation is required to be reflected on the Borrower’s balance sheet in accordance with GAAP and (iii) accruals for payroll and other liabilities, including deferred compensation arrangements, in each case, accrued in the ordinary course of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and all Synthetic Lease Obligations of such Person, (f) all obligations of such Person, contingent or otherwise, as an account party or applicant under or in respect of acceptances, letters of credit, surety bonds or similar arrangements, (g) all obligations of such Person to purchase, redeem, retire, defease or otherwise make any payment in respect of Disqualified Stock, (h) all Guarantee Obligations of such Person in respect of obligations of the kind referred to in clauses (a) through (g) above, (i) all obligations of the kind referred to in clauses (a) through (h)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and (j) the net obligations of such Person in respect of Swap Agreements.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w:t>
      </w:r>
    </w:p>
    <w:p>
      <w:pPr>
        <w:spacing w:after="0" w:line="11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Indemnified Taxes</w:t>
      </w:r>
      <w:r>
        <w:rPr>
          <w:rFonts w:ascii="Arial" w:cs="Arial" w:eastAsia="Arial" w:hAnsi="Arial"/>
          <w:sz w:val="18"/>
          <w:szCs w:val="18"/>
          <w:color w:val="auto"/>
        </w:rPr>
        <w:t>”: (a) Taxes, other than Excluded Taxes, imposed on or with respect to any payment made by or on account of any obligation of any Loan Party under any Loan Document and (b) to the extent not otherwise described in clause (a), Other Taxes.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Indemnitee</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10.5(b)</w:t>
      </w:r>
      <w:r>
        <w:rPr>
          <w:rFonts w:ascii="Arial" w:cs="Arial" w:eastAsia="Arial" w:hAnsi="Arial"/>
          <w:sz w:val="20"/>
          <w:szCs w:val="20"/>
          <w:color w:val="auto"/>
        </w:rPr>
        <w: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771" w:right="339" w:bottom="1440" w:gutter="0" w:footer="0" w:header="0"/>
        </w:sectPr>
      </w:pPr>
    </w:p>
    <w:bookmarkStart w:id="409" w:name="page410"/>
    <w:bookmarkEnd w:id="409"/>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Insolvency Proceeding</w:t>
      </w:r>
      <w:r>
        <w:rPr>
          <w:rFonts w:ascii="Arial" w:cs="Arial" w:eastAsia="Arial" w:hAnsi="Arial"/>
          <w:sz w:val="20"/>
          <w:szCs w:val="20"/>
          <w:color w:val="auto"/>
        </w:rPr>
        <w:t>”: (a) any case, action or proceeding before any court or other Governmental Authority relating to bankruptcy, reorganization, insolvency, liquidation, receivership, dissolution, winding-up or relief of debtors, or (b) any general assignment for the benefit of creditors, composition, marshalling of assets for creditors, or other, similar arrangement in respect of any Person’s creditors generally or any substantial portion of such Person’s creditors, in each case undertaken under U.S. federal, state or foreign law, including any Debtor Relief Law.</w:t>
      </w:r>
    </w:p>
    <w:p>
      <w:pPr>
        <w:spacing w:after="0" w:line="14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Insurance Loss Addback</w:t>
      </w:r>
      <w:r>
        <w:rPr>
          <w:rFonts w:ascii="Arial" w:cs="Arial" w:eastAsia="Arial" w:hAnsi="Arial"/>
          <w:sz w:val="20"/>
          <w:szCs w:val="20"/>
          <w:color w:val="auto"/>
        </w:rPr>
        <w:t>”: with respect to any fiscal period, the amount of any loss incurred during such fiscal period for which there is insurance or indemnity coverage and for which a related insurance or indemnity recovery is not recorded in accordance with GAAP, but for which such insurance or indemnity recovery is reasonably expected to be received by a Loan Party in a subsequent fiscal period and within one year of the date of the underlying loss.</w:t>
      </w:r>
    </w:p>
    <w:p>
      <w:pPr>
        <w:spacing w:after="0" w:line="13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Intellectual Property</w:t>
      </w:r>
      <w:r>
        <w:rPr>
          <w:rFonts w:ascii="Arial" w:cs="Arial" w:eastAsia="Arial" w:hAnsi="Arial"/>
          <w:sz w:val="20"/>
          <w:szCs w:val="20"/>
          <w:color w:val="auto"/>
        </w:rPr>
        <w:t>”: the collective reference to all rights, priorities and privileges relating to intellectual property, whether arising under United States, multinational or foreign laws or otherwise, including copyrights, copyright licenses, patents, patent licenses, trademarks, trademark licenses, technology, know-how and processes, and all rights to sue at law or in equity for any infringement or other impairment thereof, including the right to receive all proceeds and damages therefrom.</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40"/>
          </w:cols>
          <w:pgMar w:left="320" w:top="771" w:right="339" w:bottom="1440" w:gutter="0" w:footer="0" w:header="0"/>
        </w:sectPr>
      </w:pPr>
    </w:p>
    <w:bookmarkStart w:id="410" w:name="page411"/>
    <w:bookmarkEnd w:id="410"/>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Interest Payment Date</w:t>
      </w:r>
      <w:r>
        <w:rPr>
          <w:rFonts w:ascii="Arial" w:cs="Arial" w:eastAsia="Arial" w:hAnsi="Arial"/>
          <w:sz w:val="19"/>
          <w:szCs w:val="19"/>
          <w:color w:val="auto"/>
        </w:rPr>
        <w:t>”: (a) as to any ABR Loan (including any Swingline Loan), the last calendar day of each month to occur while such Loan is outstanding and the final maturity date of such Loan, (b) as to any Eurodollar Loan having an Interest Period of 3 months or less, the last Business Day of such Interest Period, (c) as to any Eurodollar Loan having an Interest Period longer than 3 months, each day that is 3 months (or, if such date is not a Business Day, the Business Day next succeeding such date) after the first day of such Interest Period and the last Business Day of such Interest Period, and (d) as to any Loan (other than any Revolving Loan that is an ABR Loan and any Swingline Loan), the date of any repayment or prepayment made in respect thereof.</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Interest Period</w:t>
      </w:r>
      <w:r>
        <w:rPr>
          <w:rFonts w:ascii="Arial" w:cs="Arial" w:eastAsia="Arial" w:hAnsi="Arial"/>
          <w:sz w:val="19"/>
          <w:szCs w:val="19"/>
          <w:color w:val="auto"/>
        </w:rPr>
        <w:t xml:space="preserve">”: as to any Eurodollar Loan, (a) initially, the period commencing on the borrowing or conversion date, as the case may be, with respect to such Eurodollar Loan and ending 1, 3 or 6 months thereafter, as selected by the Borrower in its Notice of Borrowing or Notice of Conversion/Continuation, as the case may be, given with respect thereto; and (b) thereafter, each period commencing on the last day of the next preceding Interest Period applicable to such Eurodollar Loan and ending 1, 3 or 6 months thereafter, as selected by the Borrower by irrevocable notice to the Administrative Agent in a Notice of Conversion/Continuation not later than 10:00 A.M. on the date that is 3 Business Days prior to the last day of the then current Interest Period with respect thereto;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all of the foregoing provisions relating to Interest Periods are subject to the following:</w:t>
      </w:r>
    </w:p>
    <w:p>
      <w:pPr>
        <w:spacing w:after="0" w:line="131" w:lineRule="exact"/>
        <w:rPr>
          <w:sz w:val="20"/>
          <w:szCs w:val="20"/>
          <w:color w:val="auto"/>
        </w:rPr>
      </w:pPr>
    </w:p>
    <w:p>
      <w:pPr>
        <w:jc w:val="both"/>
        <w:ind w:firstLine="1952"/>
        <w:spacing w:after="0" w:line="250" w:lineRule="auto"/>
        <w:tabs>
          <w:tab w:leader="none" w:pos="2394" w:val="left"/>
        </w:tabs>
        <w:numPr>
          <w:ilvl w:val="0"/>
          <w:numId w:val="341"/>
        </w:numPr>
        <w:rPr>
          <w:rFonts w:ascii="Arial" w:cs="Arial" w:eastAsia="Arial" w:hAnsi="Arial"/>
          <w:sz w:val="20"/>
          <w:szCs w:val="20"/>
          <w:color w:val="auto"/>
        </w:rPr>
      </w:pPr>
      <w:r>
        <w:rPr>
          <w:rFonts w:ascii="Arial" w:cs="Arial" w:eastAsia="Arial" w:hAnsi="Arial"/>
          <w:sz w:val="20"/>
          <w:szCs w:val="20"/>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31" w:lineRule="exact"/>
        <w:rPr>
          <w:rFonts w:ascii="Arial" w:cs="Arial" w:eastAsia="Arial" w:hAnsi="Arial"/>
          <w:sz w:val="20"/>
          <w:szCs w:val="20"/>
          <w:color w:val="auto"/>
        </w:rPr>
      </w:pPr>
    </w:p>
    <w:p>
      <w:pPr>
        <w:ind w:left="2520" w:hanging="568"/>
        <w:spacing w:after="0"/>
        <w:tabs>
          <w:tab w:leader="none" w:pos="2520" w:val="left"/>
        </w:tabs>
        <w:numPr>
          <w:ilvl w:val="0"/>
          <w:numId w:val="341"/>
        </w:numPr>
        <w:rPr>
          <w:rFonts w:ascii="Arial" w:cs="Arial" w:eastAsia="Arial" w:hAnsi="Arial"/>
          <w:sz w:val="19"/>
          <w:szCs w:val="19"/>
          <w:color w:val="auto"/>
        </w:rPr>
      </w:pPr>
      <w:r>
        <w:rPr>
          <w:rFonts w:ascii="Arial" w:cs="Arial" w:eastAsia="Arial" w:hAnsi="Arial"/>
          <w:sz w:val="19"/>
          <w:szCs w:val="19"/>
          <w:color w:val="auto"/>
        </w:rPr>
        <w:t>the Borrower may not select an Interest Period under a particular Facility that would extend beyond the</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Revolving Termination Date;</w:t>
      </w:r>
    </w:p>
    <w:p>
      <w:pPr>
        <w:spacing w:after="0" w:line="145" w:lineRule="exact"/>
        <w:rPr>
          <w:rFonts w:ascii="Arial" w:cs="Arial" w:eastAsia="Arial" w:hAnsi="Arial"/>
          <w:sz w:val="19"/>
          <w:szCs w:val="19"/>
          <w:color w:val="auto"/>
        </w:rPr>
      </w:pPr>
    </w:p>
    <w:p>
      <w:pPr>
        <w:jc w:val="both"/>
        <w:ind w:right="20" w:firstLine="1952"/>
        <w:spacing w:after="0" w:line="250" w:lineRule="auto"/>
        <w:tabs>
          <w:tab w:leader="none" w:pos="2449" w:val="left"/>
        </w:tabs>
        <w:numPr>
          <w:ilvl w:val="0"/>
          <w:numId w:val="341"/>
        </w:numPr>
        <w:rPr>
          <w:rFonts w:ascii="Arial" w:cs="Arial" w:eastAsia="Arial" w:hAnsi="Arial"/>
          <w:sz w:val="20"/>
          <w:szCs w:val="20"/>
          <w:color w:val="auto"/>
        </w:rPr>
      </w:pPr>
      <w:r>
        <w:rPr>
          <w:rFonts w:ascii="Arial" w:cs="Arial" w:eastAsia="Arial" w:hAnsi="Arial"/>
          <w:sz w:val="20"/>
          <w:szCs w:val="20"/>
          <w:color w:val="auto"/>
        </w:rPr>
        <w:t>any Interest Period that begins on the last Business Day of a calendar month (or on a day for which there is no numerically corresponding day in the calendar month at the end of such Interest Period) shall end on the last Business Day of a calendar month; and</w:t>
      </w:r>
    </w:p>
    <w:p>
      <w:pPr>
        <w:spacing w:after="0" w:line="131" w:lineRule="exact"/>
        <w:rPr>
          <w:rFonts w:ascii="Arial" w:cs="Arial" w:eastAsia="Arial" w:hAnsi="Arial"/>
          <w:sz w:val="20"/>
          <w:szCs w:val="20"/>
          <w:color w:val="auto"/>
        </w:rPr>
      </w:pPr>
    </w:p>
    <w:p>
      <w:pPr>
        <w:ind w:right="20" w:firstLine="1952"/>
        <w:spacing w:after="0" w:line="260" w:lineRule="auto"/>
        <w:tabs>
          <w:tab w:leader="none" w:pos="2430" w:val="left"/>
        </w:tabs>
        <w:numPr>
          <w:ilvl w:val="0"/>
          <w:numId w:val="341"/>
        </w:numPr>
        <w:rPr>
          <w:rFonts w:ascii="Arial" w:cs="Arial" w:eastAsia="Arial" w:hAnsi="Arial"/>
          <w:sz w:val="20"/>
          <w:szCs w:val="20"/>
          <w:color w:val="auto"/>
        </w:rPr>
      </w:pPr>
      <w:r>
        <w:rPr>
          <w:rFonts w:ascii="Arial" w:cs="Arial" w:eastAsia="Arial" w:hAnsi="Arial"/>
          <w:sz w:val="20"/>
          <w:szCs w:val="20"/>
          <w:color w:val="auto"/>
        </w:rPr>
        <w:t>the Borrower shall select Interest Periods so as not to require a payment or prepayment of any Eurodollar Loan during an Interest Period for such Loan.</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Interest Rate Agreement</w:t>
      </w:r>
      <w:r>
        <w:rPr>
          <w:rFonts w:ascii="Arial" w:cs="Arial" w:eastAsia="Arial" w:hAnsi="Arial"/>
          <w:sz w:val="20"/>
          <w:szCs w:val="20"/>
          <w:color w:val="auto"/>
        </w:rPr>
        <w:t>”: any interest rate swap agreement, interest rate cap agreement, interest rate collar agreement, interest rate hedging agreement or other similar agreement or arrangement, each of which is (a) for the purpose of hedging the interest rate exposure associated with the Group Members’ operations and (b) not for speculative purposes.</w:t>
      </w:r>
    </w:p>
    <w:p>
      <w:pPr>
        <w:spacing w:after="0" w:line="132"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Inventory</w:t>
      </w:r>
      <w:r>
        <w:rPr>
          <w:rFonts w:ascii="Arial" w:cs="Arial" w:eastAsia="Arial" w:hAnsi="Arial"/>
          <w:sz w:val="16"/>
          <w:szCs w:val="16"/>
          <w:color w:val="auto"/>
        </w:rPr>
        <w:t>”: all “inventory,” as such term is defined in the UCC, now owned or hereafter acquired by any Loan Party, wherever located, and in any event including inventory, merchandise, goods and other personal property that are held by or on behalf of any Loan Party for sale or lease or are furnished or are to be furnished under a contract of service or that constitutes raw materials, work in process, finished goods, returned goods, or materials or supplies of any kind used or consumed or to be used or consumed in such Loan Party’s business or in the processing, production, packaging, promotion, delivery or shipping of the same, including all supplies and embedded software.</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Investments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7.8</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Investor Indebtedness</w:t>
      </w:r>
      <w:r>
        <w:rPr>
          <w:rFonts w:ascii="Arial" w:cs="Arial" w:eastAsia="Arial" w:hAnsi="Arial"/>
          <w:sz w:val="20"/>
          <w:szCs w:val="20"/>
          <w:color w:val="auto"/>
        </w:rPr>
        <w:t>”: Indebtedness evidenced by (a) that certain Subordinated Promissory Note dated as of January 23, 2017 between NerdWallet and The Kai R. Gibson 2014 Irrevocable Trust, (b) that certain Subordinated Promissory Note dated as of April 29, 2019 between NerdWallet and Beverly Picardo Living Trust, (c) that certain Subordinated Promissory Note dated as of January 23, 2017 between NerdWallet and The Gabriella I. Gibson 2014 Irrevocable Trust and (d) that certain Subordinated Promissory Note dated as of April 29, 2019 between NerdWallet and JakeG Living Trust.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40"/>
          </w:cols>
          <w:pgMar w:left="320" w:top="771" w:right="339" w:bottom="1440" w:gutter="0" w:footer="0" w:header="0"/>
        </w:sectPr>
      </w:pPr>
    </w:p>
    <w:bookmarkStart w:id="411" w:name="page412"/>
    <w:bookmarkEnd w:id="411"/>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Investor Subordination Agreement</w:t>
      </w:r>
      <w:r>
        <w:rPr>
          <w:rFonts w:ascii="Arial" w:cs="Arial" w:eastAsia="Arial" w:hAnsi="Arial"/>
          <w:sz w:val="20"/>
          <w:szCs w:val="20"/>
          <w:color w:val="auto"/>
        </w:rPr>
        <w:t>”: that certain Subordination Agreement dated as of the Original Closing Date, between the Administrative Agent, on the one hand, and JakeG Living Trust, Beverly Picardo Living Trust, The Gabriella I. Gibson 2014 Irrevocable Trust and The Kai R. Gibson 2014 Irrevocable Trust, on the other, and acknowledged by NerdWallet.</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IRS</w:t>
      </w:r>
      <w:r>
        <w:rPr>
          <w:rFonts w:ascii="Arial" w:cs="Arial" w:eastAsia="Arial" w:hAnsi="Arial"/>
          <w:sz w:val="20"/>
          <w:szCs w:val="20"/>
          <w:color w:val="auto"/>
        </w:rPr>
        <w:t>”: the Internal Revenue Service, or any successor thereto.</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ISDA Definitions</w:t>
      </w:r>
      <w:r>
        <w:rPr>
          <w:rFonts w:ascii="Arial" w:cs="Arial" w:eastAsia="Arial" w:hAnsi="Arial"/>
          <w:sz w:val="20"/>
          <w:szCs w:val="20"/>
          <w:color w:val="auto"/>
        </w:rPr>
        <w:t>”: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3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ISP</w:t>
      </w:r>
      <w:r>
        <w:rPr>
          <w:rFonts w:ascii="Arial" w:cs="Arial" w:eastAsia="Arial" w:hAnsi="Arial"/>
          <w:sz w:val="20"/>
          <w:szCs w:val="20"/>
          <w:color w:val="auto"/>
        </w:rPr>
        <w:t>”: with respect to any Letter of Credit, the “International Standby Practices 1998” published by the Institute of International Banking Law &amp; Practice (or such later version thereof as may be in effect at the time of issuance).</w:t>
      </w:r>
    </w:p>
    <w:p>
      <w:pPr>
        <w:spacing w:after="0" w:line="12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Issuing Lender</w:t>
      </w:r>
      <w:r>
        <w:rPr>
          <w:rFonts w:ascii="Arial" w:cs="Arial" w:eastAsia="Arial" w:hAnsi="Arial"/>
          <w:sz w:val="18"/>
          <w:szCs w:val="18"/>
          <w:color w:val="auto"/>
        </w:rPr>
        <w:t xml:space="preserve">”: as the context may require, (a) SVB or any Affiliate thereof, in its capacity as issuer of any Letter of Credit (including, without limitation, each Existing Letter of Credit), and (b) any other Lender or an Affiliate thereof that may become an Issuing Lender pursuant to </w:t>
      </w:r>
      <w:r>
        <w:rPr>
          <w:rFonts w:ascii="Arial" w:cs="Arial" w:eastAsia="Arial" w:hAnsi="Arial"/>
          <w:sz w:val="18"/>
          <w:szCs w:val="18"/>
          <w:u w:val="single" w:color="auto"/>
          <w:color w:val="auto"/>
        </w:rPr>
        <w:t>Section 3.11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3.12</w:t>
      </w:r>
      <w:r>
        <w:rPr>
          <w:rFonts w:ascii="Arial" w:cs="Arial" w:eastAsia="Arial" w:hAnsi="Arial"/>
          <w:sz w:val="18"/>
          <w:szCs w:val="18"/>
          <w:color w:val="auto"/>
        </w:rPr>
        <w:t>, with respect to Letters of Credit issued by such Lender or its Affiliate. The Issuing Lender may, in its discretion, arrange for one or more Letters of Credit to be issued by Affiliates of the Issuing Lender or other financial institutions, in which case the term “Issuing Lender” shall include any such Affiliate or other financial institution with respect to Letters of Credit issued by such Affiliate or other financial institution. For the avoidance of doubt, no Lender shall become an Issuing Lender unless it shall so agree.</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Issuing Lender Fees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3.3(a)</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L/C Advance</w:t>
      </w:r>
      <w:r>
        <w:rPr>
          <w:rFonts w:ascii="Arial" w:cs="Arial" w:eastAsia="Arial" w:hAnsi="Arial"/>
          <w:sz w:val="20"/>
          <w:szCs w:val="20"/>
          <w:color w:val="auto"/>
        </w:rPr>
        <w:t>”: each L/C Lender’s funding of its participation in any L/C Disbursement in accordance with its L/C Percentage of the L/C Commitment. All L/C Advances shall be denominated in Dollars.</w:t>
      </w:r>
    </w:p>
    <w:p>
      <w:pPr>
        <w:spacing w:after="0" w:line="12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L/C Commitment</w:t>
      </w:r>
      <w:r>
        <w:rPr>
          <w:rFonts w:ascii="Arial" w:cs="Arial" w:eastAsia="Arial" w:hAnsi="Arial"/>
          <w:sz w:val="20"/>
          <w:szCs w:val="20"/>
          <w:color w:val="auto"/>
        </w:rPr>
        <w:t xml:space="preserve">”: as to any L/C Lender, the obligation of such L/C Lender, if any, to purchase an undivided interest in the Issuing Lenders’ obligations and rights under and in respect of each Letter of Credit (including to make payments with respect to draws made under any Letter of Credit pursuant to </w:t>
      </w:r>
      <w:r>
        <w:rPr>
          <w:rFonts w:ascii="Arial" w:cs="Arial" w:eastAsia="Arial" w:hAnsi="Arial"/>
          <w:sz w:val="20"/>
          <w:szCs w:val="20"/>
          <w:u w:val="single" w:color="auto"/>
          <w:color w:val="auto"/>
        </w:rPr>
        <w:t>Section 3.5(b)</w:t>
      </w:r>
      <w:r>
        <w:rPr>
          <w:rFonts w:ascii="Arial" w:cs="Arial" w:eastAsia="Arial" w:hAnsi="Arial"/>
          <w:sz w:val="20"/>
          <w:szCs w:val="20"/>
          <w:color w:val="auto"/>
        </w:rPr>
        <w:t xml:space="preserve">) in an aggregate principal amount not to exceed the amount set forth under the heading “L/C Commitment” opposite such L/C Lender’s name on </w:t>
      </w:r>
      <w:r>
        <w:rPr>
          <w:rFonts w:ascii="Arial" w:cs="Arial" w:eastAsia="Arial" w:hAnsi="Arial"/>
          <w:sz w:val="20"/>
          <w:szCs w:val="20"/>
          <w:u w:val="single" w:color="auto"/>
          <w:color w:val="auto"/>
        </w:rPr>
        <w:t>Schedule 1.1A</w:t>
      </w:r>
      <w:r>
        <w:rPr>
          <w:rFonts w:ascii="Arial" w:cs="Arial" w:eastAsia="Arial" w:hAnsi="Arial"/>
          <w:sz w:val="20"/>
          <w:szCs w:val="20"/>
          <w:color w:val="auto"/>
        </w:rPr>
        <w:t xml:space="preserve"> or in the Assignment and Assumption or Increase Joinder pursuant to which such L/C Lender becomes a party hereto, as the same may be changed from time to time pursuant to the terms hereof. The L/C Commitment is a sublimit of the Revolving Commitment and the aggregate amount of the L/C Commitments shall not exceed the amount of the Total L/C Commitments at any time.</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L/C Disbursements</w:t>
      </w:r>
      <w:r>
        <w:rPr>
          <w:rFonts w:ascii="Arial" w:cs="Arial" w:eastAsia="Arial" w:hAnsi="Arial"/>
          <w:sz w:val="20"/>
          <w:szCs w:val="20"/>
          <w:color w:val="auto"/>
        </w:rPr>
        <w:t>”: a payment or disbursement made by the Issuing Lender pursuant to a Letter of Credit.</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L/C Exposure</w:t>
      </w:r>
      <w:r>
        <w:rPr>
          <w:rFonts w:ascii="Arial" w:cs="Arial" w:eastAsia="Arial" w:hAnsi="Arial"/>
          <w:sz w:val="20"/>
          <w:szCs w:val="20"/>
          <w:color w:val="auto"/>
        </w:rPr>
        <w:t>”: at any time, the sum of (a) the Dollar Equivalent of the aggregate undrawn amount of all outstanding Letters of Credit at such time, and (b) the aggregate amount of all L/C Disbursements that have not yet been reimbursed or converted into Revolving Loans or Swingline Loans at such time. The L/C Exposure of any L/C Lender at any time shall equal its L/C Percentage of the aggregate L/C Exposure at such time.</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L/C Facility</w:t>
      </w:r>
      <w:r>
        <w:rPr>
          <w:rFonts w:ascii="Arial" w:cs="Arial" w:eastAsia="Arial" w:hAnsi="Arial"/>
          <w:sz w:val="20"/>
          <w:szCs w:val="20"/>
          <w:color w:val="auto"/>
        </w:rPr>
        <w:t>”: the L/C Commitments and the extensions of credit made thereunder.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L/C Fee Payment Date</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3.3(a)</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L/C Lender</w:t>
      </w:r>
      <w:r>
        <w:rPr>
          <w:rFonts w:ascii="Arial" w:cs="Arial" w:eastAsia="Arial" w:hAnsi="Arial"/>
          <w:sz w:val="20"/>
          <w:szCs w:val="20"/>
          <w:color w:val="auto"/>
        </w:rPr>
        <w:t>”: a Lender with an L/C Commitment.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40"/>
          </w:cols>
          <w:pgMar w:left="320" w:top="771" w:right="339" w:bottom="1440" w:gutter="0" w:footer="0" w:header="0"/>
        </w:sectPr>
      </w:pPr>
    </w:p>
    <w:bookmarkStart w:id="412" w:name="page413"/>
    <w:bookmarkEnd w:id="412"/>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L/C Percentage</w:t>
      </w:r>
      <w:r>
        <w:rPr>
          <w:rFonts w:ascii="Arial" w:cs="Arial" w:eastAsia="Arial" w:hAnsi="Arial"/>
          <w:sz w:val="20"/>
          <w:szCs w:val="20"/>
          <w:color w:val="auto"/>
        </w:rPr>
        <w:t xml:space="preserve">”: as to any L/C Lender at any time, the percentage of the Total L/C Commitments represented by such L/C Lender’s L/C Commitment, as such percentage may be adjusted as provided in </w:t>
      </w:r>
      <w:r>
        <w:rPr>
          <w:rFonts w:ascii="Arial" w:cs="Arial" w:eastAsia="Arial" w:hAnsi="Arial"/>
          <w:sz w:val="20"/>
          <w:szCs w:val="20"/>
          <w:u w:val="single" w:color="auto"/>
          <w:color w:val="auto"/>
        </w:rPr>
        <w:t>Section 2.24</w:t>
      </w:r>
      <w:r>
        <w:rPr>
          <w:rFonts w:ascii="Arial" w:cs="Arial" w:eastAsia="Arial" w:hAnsi="Arial"/>
          <w:sz w:val="20"/>
          <w:szCs w:val="20"/>
          <w:color w:val="auto"/>
        </w:rPr>
        <w:t>.</w:t>
      </w:r>
    </w:p>
    <w:p>
      <w:pPr>
        <w:spacing w:after="0" w:line="1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L/C-Related Documents</w:t>
      </w:r>
      <w:r>
        <w:rPr>
          <w:rFonts w:ascii="Arial" w:cs="Arial" w:eastAsia="Arial" w:hAnsi="Arial"/>
          <w:sz w:val="20"/>
          <w:szCs w:val="20"/>
          <w:color w:val="auto"/>
        </w:rPr>
        <w:t>”: collectively, each Letter of Credit (including any Existing Letter of Credit), all applications for any Letter of Credit (and applications for the amendment of any Letter of Credit) submitted by the Borrower to the Issuing Lender and any other document, agreement and instrument relating to any Letter of Credit, including any of the Issuing Lender’s standard form documents for letter of credit issuances.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LCA Election</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1.6</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LCA Test Date</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1.6</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Lenders</w:t>
      </w:r>
      <w:r>
        <w:rPr>
          <w:rFonts w:ascii="Arial" w:cs="Arial" w:eastAsia="Arial" w:hAnsi="Arial"/>
          <w:sz w:val="20"/>
          <w:szCs w:val="20"/>
          <w:color w:val="auto"/>
        </w:rPr>
        <w:t xml:space="preserve">”: as defined in the preamble hereto;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unless the context otherwise requires, each reference herein to the Lenders shall be deemed to include the Issuing Lender, the L/C Lenders, and the Swingline Lender.</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Letter of Credit</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3.1(a)</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such term shall include each Existing Letter of Credit.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Letter of Credit Availability Period</w:t>
      </w:r>
      <w:r>
        <w:rPr>
          <w:rFonts w:ascii="Arial" w:cs="Arial" w:eastAsia="Arial" w:hAnsi="Arial"/>
          <w:sz w:val="18"/>
          <w:szCs w:val="18"/>
          <w:color w:val="auto"/>
        </w:rPr>
        <w:t>”: the period from and including the Closing Date to but excluding the Letter of Credit Maturity</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Letter of Credit Fees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3.3(a)</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Letter of Credit Fronting Fees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3.3(a)</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Letter of Credit Maturity Date</w:t>
      </w:r>
      <w:r>
        <w:rPr>
          <w:rFonts w:ascii="Arial" w:cs="Arial" w:eastAsia="Arial" w:hAnsi="Arial"/>
          <w:sz w:val="20"/>
          <w:szCs w:val="20"/>
          <w:color w:val="auto"/>
        </w:rPr>
        <w:t>”: the date occurring 15 days prior to the Revolving Termination Date then in effect (or, if such day is not a Business Day, the next preceding Business Day).</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LIBOR</w:t>
      </w:r>
      <w:r>
        <w:rPr>
          <w:rFonts w:ascii="Arial" w:cs="Arial" w:eastAsia="Arial" w:hAnsi="Arial"/>
          <w:sz w:val="20"/>
          <w:szCs w:val="20"/>
          <w:color w:val="auto"/>
        </w:rPr>
        <w:t>”: as defined in the definition of “Eurodollar Base Rate.”</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Lien</w:t>
      </w:r>
      <w:r>
        <w:rPr>
          <w:rFonts w:ascii="Arial" w:cs="Arial" w:eastAsia="Arial" w:hAnsi="Arial"/>
          <w:sz w:val="20"/>
          <w:szCs w:val="20"/>
          <w:color w:val="auto"/>
        </w:rPr>
        <w:t>”: any mortgage, deed of trust, pledge, hypothecation, collateral assignment, deposit arrangement, encumbrance, lien (statutory or other), charge or other security interest or any preference, priority or other security agreement or preferential arrangement of any kind or nature whatsoever (including any conditional sale or other title retention agreement and any capital lease having substantially the same economic effect as any of the foregoing).</w:t>
      </w:r>
    </w:p>
    <w:p>
      <w:pPr>
        <w:spacing w:after="0" w:line="13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Limited Condition Acquisition</w:t>
      </w:r>
      <w:r>
        <w:rPr>
          <w:rFonts w:ascii="Arial" w:cs="Arial" w:eastAsia="Arial" w:hAnsi="Arial"/>
          <w:sz w:val="18"/>
          <w:szCs w:val="18"/>
          <w:color w:val="auto"/>
        </w:rPr>
        <w:t xml:space="preserve">”: any Permitted Acquisition, the consummation of which is not conditioned on the availability of, or on obtaining, third party financing and is being financed with an Increase;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in the event the consummation of any such Permitted Acquisition shall not have occurred on or prior to the date that is 90 days following the signing of the applicable Limited Condition Acquisition Agreement, such Permitted Acquisition shall no longer constitute a Limited Condition Acquisition for any purpose.</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Limited Condition Acquisition Agreement</w:t>
      </w:r>
      <w:r>
        <w:rPr>
          <w:rFonts w:ascii="Arial" w:cs="Arial" w:eastAsia="Arial" w:hAnsi="Arial"/>
          <w:sz w:val="20"/>
          <w:szCs w:val="20"/>
          <w:color w:val="auto"/>
        </w:rPr>
        <w:t>”: any agreement providing for a Limited Condition Acquisition.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Loan</w:t>
      </w:r>
      <w:r>
        <w:rPr>
          <w:rFonts w:ascii="Arial" w:cs="Arial" w:eastAsia="Arial" w:hAnsi="Arial"/>
          <w:sz w:val="20"/>
          <w:szCs w:val="20"/>
          <w:color w:val="auto"/>
        </w:rPr>
        <w:t>”: any loan made or maintained by any Lender pursuant to this Agreement.</w:t>
      </w:r>
    </w:p>
    <w:p>
      <w:pPr>
        <w:spacing w:after="0" w:line="16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Loan Documents</w:t>
      </w:r>
      <w:r>
        <w:rPr>
          <w:rFonts w:ascii="Arial" w:cs="Arial" w:eastAsia="Arial" w:hAnsi="Arial"/>
          <w:sz w:val="18"/>
          <w:szCs w:val="18"/>
          <w:color w:val="auto"/>
        </w:rPr>
        <w:t xml:space="preserve">”: this Agreement, each Security Document, each Note, the Existing Fee Letter, the Fee Letter, each Assignment and Assumption, each Compliance Certificate, each Increase Joinder, each Notice of Borrowing, each Notice of Conversion/Continuation, the Solvency Certificate, the Collateral Information Certificate, each L/C-Related Document, the Investor Subordination Agreement, each subordination or intercreditor agreement and any agreement creating or perfecting rights in cash collateral pursuant to the provisions of </w:t>
      </w:r>
      <w:r>
        <w:rPr>
          <w:rFonts w:ascii="Arial" w:cs="Arial" w:eastAsia="Arial" w:hAnsi="Arial"/>
          <w:sz w:val="18"/>
          <w:szCs w:val="18"/>
          <w:u w:val="single" w:color="auto"/>
          <w:color w:val="auto"/>
        </w:rPr>
        <w:t>Section 3.10</w:t>
      </w:r>
      <w:r>
        <w:rPr>
          <w:rFonts w:ascii="Arial" w:cs="Arial" w:eastAsia="Arial" w:hAnsi="Arial"/>
          <w:sz w:val="18"/>
          <w:szCs w:val="18"/>
          <w:color w:val="auto"/>
        </w:rPr>
        <w:t>, or otherwise, and any amendment, waiver, supplement or other modification to any of the foregoing.</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240"/>
          </w:cols>
          <w:pgMar w:left="320" w:top="771" w:right="339" w:bottom="1440" w:gutter="0" w:footer="0" w:header="0"/>
        </w:sectPr>
      </w:pPr>
    </w:p>
    <w:bookmarkStart w:id="413" w:name="page414"/>
    <w:bookmarkEnd w:id="413"/>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Loan Parties</w:t>
      </w:r>
      <w:r>
        <w:rPr>
          <w:rFonts w:ascii="Arial" w:cs="Arial" w:eastAsia="Arial" w:hAnsi="Arial"/>
          <w:sz w:val="20"/>
          <w:szCs w:val="20"/>
          <w:color w:val="auto"/>
        </w:rPr>
        <w:t>”: each Group Member that is a party to a Loan Document, as a Borrower or a Guarantor.</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Material Adverse Effect</w:t>
      </w:r>
      <w:r>
        <w:rPr>
          <w:rFonts w:ascii="Arial" w:cs="Arial" w:eastAsia="Arial" w:hAnsi="Arial"/>
          <w:sz w:val="19"/>
          <w:szCs w:val="19"/>
          <w:color w:val="auto"/>
        </w:rPr>
        <w:t>”: (a) a material adverse change in, or a material adverse effect on, the operations, business, assets, properties, liabilities (actual or contingent), or financial condition of the Group Members, taken as a whole; (b) a material impairment of the rights and remedies, taken as a whole, of the Administrative Agent or any Lender under any Loan Document, or of the ability of the Loan Parties, taken as a whole, to perform their obligations under the Loan Documents; or (c) a material adverse effect upon the legality, validity, binding effect or enforceability against any Loan Party of any Loan Document to which it is a party.</w:t>
      </w:r>
    </w:p>
    <w:p>
      <w:pPr>
        <w:spacing w:after="0" w:line="1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Materials of Environmental Concern</w:t>
      </w:r>
      <w:r>
        <w:rPr>
          <w:rFonts w:ascii="Arial" w:cs="Arial" w:eastAsia="Arial" w:hAnsi="Arial"/>
          <w:sz w:val="19"/>
          <w:szCs w:val="19"/>
          <w:color w:val="auto"/>
        </w:rPr>
        <w:t>”: any substance, material or waste that is defined, regulated, governed or otherwise characterized under any Environmental Law as hazardous or toxic or as a pollutant or contaminant (or by words of similar meaning and regulatory effect), any petroleum or petroleum products, asbestos, polychlorinated biphenyls, urea-formaldehyde insulation, molds or fungus, and radioactivity, radiofrequency radiation at levels known to be hazardous to human health and safety.</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Minority Lender</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10.1(b)</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Moody’s</w:t>
      </w:r>
      <w:r>
        <w:rPr>
          <w:rFonts w:ascii="Arial" w:cs="Arial" w:eastAsia="Arial" w:hAnsi="Arial"/>
          <w:sz w:val="20"/>
          <w:szCs w:val="20"/>
          <w:color w:val="auto"/>
        </w:rPr>
        <w:t>”: Moody’s Investors Service, Inc.</w:t>
      </w:r>
    </w:p>
    <w:p>
      <w:pPr>
        <w:spacing w:after="0" w:line="16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Mortgaged Properties</w:t>
      </w:r>
      <w:r>
        <w:rPr>
          <w:rFonts w:ascii="Arial" w:cs="Arial" w:eastAsia="Arial" w:hAnsi="Arial"/>
          <w:sz w:val="20"/>
          <w:szCs w:val="20"/>
          <w:color w:val="auto"/>
        </w:rPr>
        <w:t xml:space="preserve">”: the real properties as to which, pursuant to </w:t>
      </w:r>
      <w:r>
        <w:rPr>
          <w:rFonts w:ascii="Arial" w:cs="Arial" w:eastAsia="Arial" w:hAnsi="Arial"/>
          <w:sz w:val="20"/>
          <w:szCs w:val="20"/>
          <w:u w:val="single" w:color="auto"/>
          <w:color w:val="auto"/>
        </w:rPr>
        <w:t>Section 6.12(b)</w:t>
      </w:r>
      <w:r>
        <w:rPr>
          <w:rFonts w:ascii="Arial" w:cs="Arial" w:eastAsia="Arial" w:hAnsi="Arial"/>
          <w:sz w:val="20"/>
          <w:szCs w:val="20"/>
          <w:color w:val="auto"/>
        </w:rPr>
        <w:t xml:space="preserve"> or otherwise, the Administrative Agent, for the benefit of the Secured Parties, shall be granted a Lien pursuant to the Mortgages.</w:t>
      </w:r>
    </w:p>
    <w:p>
      <w:pPr>
        <w:spacing w:after="0" w:line="1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Mortgages</w:t>
      </w:r>
      <w:r>
        <w:rPr>
          <w:rFonts w:ascii="Arial" w:cs="Arial" w:eastAsia="Arial" w:hAnsi="Arial"/>
          <w:sz w:val="20"/>
          <w:szCs w:val="20"/>
          <w:color w:val="auto"/>
        </w:rPr>
        <w:t>”: each of the mortgages, deeds of trust, deeds to secure debt or such equivalent documents hereafter entered into and executed and delivered by one or more of the Loan Parties to the Administrative Agent, in each case, as such documents may be amended, amended and restated, supplemented or otherwise modified, renewed or replaced from time to time and in form and substance reasonably acceptable to the Administrative Agent.</w:t>
      </w:r>
    </w:p>
    <w:p>
      <w:pPr>
        <w:spacing w:after="0" w:line="13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Multiemployer Plan</w:t>
      </w:r>
      <w:r>
        <w:rPr>
          <w:rFonts w:ascii="Arial" w:cs="Arial" w:eastAsia="Arial" w:hAnsi="Arial"/>
          <w:sz w:val="20"/>
          <w:szCs w:val="20"/>
          <w:color w:val="auto"/>
        </w:rPr>
        <w:t>”: a “multiemployer plan” (within the meaning of Section 3(37) of ERISA) to which any Loan Party or any ERISA Affiliate thereof makes, is making, or is obligated to make, contributions or has any liability.</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240"/>
          </w:cols>
          <w:pgMar w:left="320" w:top="771" w:right="339" w:bottom="1440" w:gutter="0" w:footer="0" w:header="0"/>
        </w:sectPr>
      </w:pPr>
    </w:p>
    <w:bookmarkStart w:id="414" w:name="page415"/>
    <w:bookmarkEnd w:id="414"/>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NerdWallet</w:t>
      </w:r>
      <w:r>
        <w:rPr>
          <w:rFonts w:ascii="Arial" w:cs="Arial" w:eastAsia="Arial" w:hAnsi="Arial"/>
          <w:sz w:val="20"/>
          <w:szCs w:val="20"/>
          <w:color w:val="auto"/>
        </w:rPr>
        <w:t>”: as defined in the preamble hereto.</w:t>
      </w:r>
    </w:p>
    <w:p>
      <w:pPr>
        <w:spacing w:after="0" w:line="1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Non-Consenting Lender</w:t>
      </w:r>
      <w:r>
        <w:rPr>
          <w:rFonts w:ascii="Arial" w:cs="Arial" w:eastAsia="Arial" w:hAnsi="Arial"/>
          <w:sz w:val="19"/>
          <w:szCs w:val="19"/>
          <w:color w:val="auto"/>
        </w:rPr>
        <w:t xml:space="preserve">”: any Lender that does not approve any consent, waiver or amendment that (a) requires the approval of all affected Lenders in accordance with the terms of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and (b) has been approved by the Required Lenders.</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Non-Defaulting Lender</w:t>
      </w:r>
      <w:r>
        <w:rPr>
          <w:rFonts w:ascii="Arial" w:cs="Arial" w:eastAsia="Arial" w:hAnsi="Arial"/>
          <w:sz w:val="20"/>
          <w:szCs w:val="20"/>
          <w:color w:val="auto"/>
        </w:rPr>
        <w:t>”: at any time, each Lender that is not a Defaulting Lender at such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Note</w:t>
      </w:r>
      <w:r>
        <w:rPr>
          <w:rFonts w:ascii="Arial" w:cs="Arial" w:eastAsia="Arial" w:hAnsi="Arial"/>
          <w:sz w:val="20"/>
          <w:szCs w:val="20"/>
          <w:color w:val="auto"/>
        </w:rPr>
        <w:t>”: a Revolving Loan Note or a Swingline Loan Note.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Notice of Borrowing</w:t>
      </w:r>
      <w:r>
        <w:rPr>
          <w:rFonts w:ascii="Arial" w:cs="Arial" w:eastAsia="Arial" w:hAnsi="Arial"/>
          <w:sz w:val="20"/>
          <w:szCs w:val="20"/>
          <w:color w:val="auto"/>
        </w:rPr>
        <w:t xml:space="preserve">”: a notice substantially in the form of </w:t>
      </w:r>
      <w:r>
        <w:rPr>
          <w:rFonts w:ascii="Arial" w:cs="Arial" w:eastAsia="Arial" w:hAnsi="Arial"/>
          <w:sz w:val="20"/>
          <w:szCs w:val="20"/>
          <w:u w:val="single" w:color="auto"/>
          <w:color w:val="auto"/>
        </w:rPr>
        <w:t>Exhibit K</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Notice of Conversion/Continuation</w:t>
      </w:r>
      <w:r>
        <w:rPr>
          <w:rFonts w:ascii="Arial" w:cs="Arial" w:eastAsia="Arial" w:hAnsi="Arial"/>
          <w:sz w:val="20"/>
          <w:szCs w:val="20"/>
          <w:color w:val="auto"/>
        </w:rPr>
        <w:t xml:space="preserve">”: a notice substantially in the form of </w:t>
      </w:r>
      <w:r>
        <w:rPr>
          <w:rFonts w:ascii="Arial" w:cs="Arial" w:eastAsia="Arial" w:hAnsi="Arial"/>
          <w:sz w:val="20"/>
          <w:szCs w:val="20"/>
          <w:u w:val="single" w:color="auto"/>
          <w:color w:val="auto"/>
        </w:rPr>
        <w:t>Exhibit L</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NW Compare</w:t>
      </w:r>
      <w:r>
        <w:rPr>
          <w:rFonts w:ascii="Arial" w:cs="Arial" w:eastAsia="Arial" w:hAnsi="Arial"/>
          <w:sz w:val="20"/>
          <w:szCs w:val="20"/>
          <w:color w:val="auto"/>
        </w:rPr>
        <w:t>”: as defined in the preamble hereto.</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Obligations</w:t>
      </w:r>
      <w:r>
        <w:rPr>
          <w:rFonts w:ascii="Arial" w:cs="Arial" w:eastAsia="Arial" w:hAnsi="Arial"/>
          <w:sz w:val="18"/>
          <w:szCs w:val="18"/>
          <w:color w:val="auto"/>
        </w:rPr>
        <w:t>”: the unpaid principal of and interest on (including interest accruing after the maturity of the Loans and interest accruing after the filing of any petition in bankruptcy, or the commencement of any Insolvency Proceeding relating to any Loan Party, whether or not a claim for post-filing or post-petition interest is allowed or allowable in such proceeding) the Loans and all other obligations and liabilities (including any fees or expenses that accrue after the filing of any petition in bankruptcy, or the commencement of any insolvency, reorganization or like proceeding, relating to any Loan Party, whether or not a claim for post-filing or post-petition interest is allowed or allowable in such proceeding) of the Loan Parties (and the other Group Members in the cash of obligations in respect of Cash Management Services) to the Administrative Agent, the Issuing Lender, any other Lender, any applicable Cash Management Bank, and any Qualified Counterparty, whether direct or indirect, absolute or contingent, due or to become due, or now existing or hereafter incurred, which may arise under, out of, or in connection with, this Agreement, any other Loan Document, the Letters of Credit, any Cash Management Agreement, any Specified Swap Agreement or any other document made, delivered or given in connection herewith or therewith, whether on account of principal, interest, reimbursement obligations, payment obligations, fees, indemnities, costs, expenses (including all reasonable and documented out-of-pocket fees, charges and disbursements of counsel to the Administrative Agent, the Issuing Lender, any other Lender, any applicable Cash Management Bank, to the extent that any applicable Cash Management Agreement requires the reimbursement by any applicable Group Member of any such expenses, and any Qualified Counterparty) that are required to be paid by any Group Member pursuant any Loan Document, Cash Management Agreement, Specified Swap Agreement or otherwise. For the avoidance of doubt, the Obligations shall not include (a) any obligations arising under any warrants or other equity instruments issued by any Loan Party to any Lender, or (b) solely with respect to any Guarantor that is not a Qualified ECP Guarantor, any Excluded Swap Obligations of such Guarantor.</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OFAC</w:t>
      </w:r>
      <w:r>
        <w:rPr>
          <w:rFonts w:ascii="Arial" w:cs="Arial" w:eastAsia="Arial" w:hAnsi="Arial"/>
          <w:sz w:val="19"/>
          <w:szCs w:val="19"/>
          <w:color w:val="auto"/>
        </w:rPr>
        <w:t>”: the Office of Foreign Assets Control of the United States Department of the Treasury and any successor thereto.</w:t>
      </w:r>
    </w:p>
    <w:p>
      <w:pPr>
        <w:spacing w:after="0" w:line="17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Operating Documents</w:t>
      </w:r>
      <w:r>
        <w:rPr>
          <w:rFonts w:ascii="Arial" w:cs="Arial" w:eastAsia="Arial" w:hAnsi="Arial"/>
          <w:sz w:val="20"/>
          <w:szCs w:val="20"/>
          <w:color w:val="auto"/>
        </w:rPr>
        <w:t>”: for any Person as of any date, such Person’s constitutional documents, formation documents and/or certificate of incorporation (or equivalent thereof), and, (a) if such Person is a corporation, its bylaws or memorandum and articles of association (or equivalent thereof)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Original Closing Date</w:t>
      </w:r>
      <w:r>
        <w:rPr>
          <w:rFonts w:ascii="Arial" w:cs="Arial" w:eastAsia="Arial" w:hAnsi="Arial"/>
          <w:sz w:val="20"/>
          <w:szCs w:val="20"/>
          <w:color w:val="auto"/>
        </w:rPr>
        <w:t>”: the “Closing Date” as defined in in the Existing Credit Agreement.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240"/>
          </w:cols>
          <w:pgMar w:left="320" w:top="771" w:right="339" w:bottom="1440" w:gutter="0" w:footer="0" w:header="0"/>
        </w:sectPr>
      </w:pPr>
    </w:p>
    <w:bookmarkStart w:id="415" w:name="page416"/>
    <w:bookmarkEnd w:id="415"/>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Original Loan Documents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10.22</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Connection Taxes</w:t>
      </w:r>
      <w:r>
        <w:rPr>
          <w:rFonts w:ascii="Arial" w:cs="Arial" w:eastAsia="Arial" w:hAnsi="Arial"/>
          <w:sz w:val="18"/>
          <w:szCs w:val="18"/>
          <w:color w:val="auto"/>
        </w:rPr>
        <w:t>”: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0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Other Taxes</w:t>
      </w:r>
      <w:r>
        <w:rPr>
          <w:rFonts w:ascii="Arial" w:cs="Arial" w:eastAsia="Arial" w:hAnsi="Arial"/>
          <w:sz w:val="20"/>
          <w:szCs w:val="20"/>
          <w:color w:val="auto"/>
        </w:rPr>
        <w:t xml:space="preserve">”: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20"/>
          <w:szCs w:val="20"/>
          <w:u w:val="single" w:color="auto"/>
          <w:color w:val="auto"/>
        </w:rPr>
        <w:t>Section 2.23</w:t>
      </w:r>
      <w:r>
        <w:rPr>
          <w:rFonts w:ascii="Arial" w:cs="Arial" w:eastAsia="Arial" w:hAnsi="Arial"/>
          <w:sz w:val="20"/>
          <w:szCs w:val="20"/>
          <w:color w:val="auto"/>
        </w:rPr>
        <w:t>).</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Overadvance</w:t>
      </w:r>
      <w:r>
        <w:rPr>
          <w:rFonts w:ascii="Arial" w:cs="Arial" w:eastAsia="Arial" w:hAnsi="Arial"/>
          <w:sz w:val="20"/>
          <w:szCs w:val="20"/>
          <w:i w:val="1"/>
          <w:iCs w:val="1"/>
          <w:color w:val="auto"/>
        </w:rPr>
        <w:t>”</w:t>
      </w:r>
      <w:r>
        <w:rPr>
          <w:rFonts w:ascii="Arial" w:cs="Arial" w:eastAsia="Arial" w:hAnsi="Arial"/>
          <w:sz w:val="20"/>
          <w:szCs w:val="20"/>
          <w:color w:val="auto"/>
        </w:rPr>
        <w:t>: as defined in</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Section 2.8</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10.6(d)</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Participant Register</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10.6(d)</w:t>
      </w:r>
      <w:r>
        <w:rPr>
          <w:rFonts w:ascii="Arial" w:cs="Arial" w:eastAsia="Arial" w:hAnsi="Arial"/>
          <w:sz w:val="20"/>
          <w:szCs w:val="20"/>
          <w:color w:val="auto"/>
        </w:rPr>
        <w:t>.</w:t>
      </w:r>
    </w:p>
    <w:p>
      <w:pPr>
        <w:spacing w:after="0" w:line="16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Patriot Act</w:t>
      </w:r>
      <w:r>
        <w:rPr>
          <w:rFonts w:ascii="Arial" w:cs="Arial" w:eastAsia="Arial" w:hAnsi="Arial"/>
          <w:sz w:val="20"/>
          <w:szCs w:val="20"/>
          <w:color w:val="auto"/>
        </w:rPr>
        <w:t>”: the Uniting and Strengthening America by Providing Appropriate Tools Required to Intercept and Obstruct Terrorism (USA PATRIOT ACT) Act of 2001, Title III of Pub. L. 107-56, signed into law October 26, 2001.</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PBGC</w:t>
      </w:r>
      <w:r>
        <w:rPr>
          <w:rFonts w:ascii="Arial" w:cs="Arial" w:eastAsia="Arial" w:hAnsi="Arial"/>
          <w:sz w:val="20"/>
          <w:szCs w:val="20"/>
          <w:color w:val="auto"/>
        </w:rPr>
        <w:t>”: the Pension Benefit Guaranty Corporation, or any successor thereto.</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Pension Plan</w:t>
      </w:r>
      <w:r>
        <w:rPr>
          <w:rFonts w:ascii="Arial" w:cs="Arial" w:eastAsia="Arial" w:hAnsi="Arial"/>
          <w:sz w:val="20"/>
          <w:szCs w:val="20"/>
          <w:color w:val="auto"/>
        </w:rPr>
        <w:t>”: an employee benefit plan (as defined in Section 3(3) of ERISA) other than a Multiemployer Plan (a) that is sponsored by any Loan Party or any ERISA Affiliate thereof or to which any Loan Party or any ERISA Affiliate thereof has any obligation to make contributions or has any liability (contingent or otherwise), and (b) that is or was subject to Section 412 of the Code, Section 302 of ERISA or Title IV of ERISA.</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Permitted Acquisition</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7.8(p)</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Person</w:t>
      </w:r>
      <w:r>
        <w:rPr>
          <w:rFonts w:ascii="Arial" w:cs="Arial" w:eastAsia="Arial" w:hAnsi="Arial"/>
          <w:sz w:val="20"/>
          <w:szCs w:val="20"/>
          <w:color w:val="auto"/>
        </w:rPr>
        <w:t>”: any natural Person, corporation, limited liability company, trust, joint venture, association, company, partnership, Governmental Authority or other entity.</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Plan</w:t>
      </w:r>
      <w:r>
        <w:rPr>
          <w:rFonts w:ascii="Arial" w:cs="Arial" w:eastAsia="Arial" w:hAnsi="Arial"/>
          <w:sz w:val="20"/>
          <w:szCs w:val="20"/>
          <w:color w:val="auto"/>
        </w:rPr>
        <w:t>”: (a) an employee benefit plan (as defined in Section 3(3) of ERISA) other than a Multiemployer Plan which is maintained or sponsored by any Group Member or to which any Group Member is obligated to make, contributions or has any liability, (b) a Pension Plan, or (c) a Qualified Plan.</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Plan Assets Regulation</w:t>
      </w:r>
      <w:r>
        <w:rPr>
          <w:rFonts w:ascii="Arial" w:cs="Arial" w:eastAsia="Arial" w:hAnsi="Arial"/>
          <w:sz w:val="19"/>
          <w:szCs w:val="19"/>
          <w:color w:val="auto"/>
        </w:rPr>
        <w:t>”: 29 CFR § 2510.3-101, as modified by Section 3(42) of ERISA, as amended from time to time.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Platform</w:t>
      </w:r>
      <w:r>
        <w:rPr>
          <w:rFonts w:ascii="Arial" w:cs="Arial" w:eastAsia="Arial" w:hAnsi="Arial"/>
          <w:sz w:val="20"/>
          <w:szCs w:val="20"/>
          <w:color w:val="auto"/>
        </w:rPr>
        <w:t>”: is any of Debt Domain, Intralinks, Syndtrak, DebtX or a substantially similar electronic transmission system.</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Preferred Stock</w:t>
      </w:r>
      <w:r>
        <w:rPr>
          <w:rFonts w:ascii="Arial" w:cs="Arial" w:eastAsia="Arial" w:hAnsi="Arial"/>
          <w:sz w:val="20"/>
          <w:szCs w:val="20"/>
          <w:color w:val="auto"/>
        </w:rPr>
        <w:t>”: the preferred Capital Stock of the Borrower, if any.</w:t>
      </w:r>
    </w:p>
    <w:p>
      <w:pPr>
        <w:spacing w:after="0" w:line="1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Prime Rate</w:t>
      </w:r>
      <w:r>
        <w:rPr>
          <w:rFonts w:ascii="Arial" w:cs="Arial" w:eastAsia="Arial" w:hAnsi="Arial"/>
          <w:sz w:val="19"/>
          <w:szCs w:val="19"/>
          <w:color w:val="auto"/>
        </w:rPr>
        <w:t xml:space="preserve">”: for any day, a rate per annum equal to the rate of interest per annum published in the money rates section of the Wall Street Journal or any successor publication thereto as the “prime rate” then in effect;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if such rate of interest, as set forth from time to time in the money rates section of the Wall Street Journal, becomes unavailable for any reason as determined by the Administrative Agent, the “Prime Rate” shall mean the rate of interest per annum announced by the Administrative Agent as its prime rate in effect at its principal office in the State of California (such announced Prime Rate not being intended to be the lowest rate of interest charged by the Administrative Agent in connection with extensions of credit to debtors).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240"/>
          </w:cols>
          <w:pgMar w:left="320" w:top="771" w:right="339" w:bottom="1440" w:gutter="0" w:footer="0" w:header="0"/>
        </w:sectPr>
      </w:pPr>
    </w:p>
    <w:bookmarkStart w:id="416" w:name="page417"/>
    <w:bookmarkEnd w:id="416"/>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Pro Forma Basis</w:t>
      </w:r>
      <w:r>
        <w:rPr>
          <w:rFonts w:ascii="Arial" w:cs="Arial" w:eastAsia="Arial" w:hAnsi="Arial"/>
          <w:sz w:val="20"/>
          <w:szCs w:val="20"/>
          <w:color w:val="auto"/>
        </w:rPr>
        <w:t>”: with respect to any calculation or determination for any period, in making such calculation or determination on the specified date of determination (the “</w:t>
      </w:r>
      <w:r>
        <w:rPr>
          <w:rFonts w:ascii="Arial" w:cs="Arial" w:eastAsia="Arial" w:hAnsi="Arial"/>
          <w:sz w:val="20"/>
          <w:szCs w:val="20"/>
          <w:b w:val="1"/>
          <w:bCs w:val="1"/>
          <w:i w:val="1"/>
          <w:iCs w:val="1"/>
          <w:color w:val="auto"/>
        </w:rPr>
        <w:t>Determination Date</w:t>
      </w:r>
      <w:r>
        <w:rPr>
          <w:rFonts w:ascii="Arial" w:cs="Arial" w:eastAsia="Arial" w:hAnsi="Arial"/>
          <w:sz w:val="20"/>
          <w:szCs w:val="20"/>
          <w:color w:val="auto"/>
        </w:rPr>
        <w:t>”):</w:t>
      </w:r>
    </w:p>
    <w:p>
      <w:pPr>
        <w:spacing w:after="0" w:line="123" w:lineRule="exact"/>
        <w:rPr>
          <w:sz w:val="20"/>
          <w:szCs w:val="20"/>
          <w:color w:val="auto"/>
        </w:rPr>
      </w:pPr>
    </w:p>
    <w:p>
      <w:pPr>
        <w:jc w:val="both"/>
        <w:ind w:firstLine="1304"/>
        <w:spacing w:after="0" w:line="246" w:lineRule="auto"/>
        <w:tabs>
          <w:tab w:leader="none" w:pos="1804" w:val="left"/>
        </w:tabs>
        <w:numPr>
          <w:ilvl w:val="0"/>
          <w:numId w:val="342"/>
        </w:numPr>
        <w:rPr>
          <w:rFonts w:ascii="Arial" w:cs="Arial" w:eastAsia="Arial" w:hAnsi="Arial"/>
          <w:sz w:val="20"/>
          <w:szCs w:val="20"/>
          <w:color w:val="auto"/>
        </w:rPr>
      </w:pPr>
      <w:r>
        <w:rPr>
          <w:rFonts w:ascii="Arial" w:cs="Arial" w:eastAsia="Arial" w:hAnsi="Arial"/>
          <w:sz w:val="20"/>
          <w:szCs w:val="20"/>
          <w:color w:val="auto"/>
        </w:rPr>
        <w:t>pro forma effect will be given to any Indebtedness incurred by a Group Member (including by assumption of then outstanding Indebtedness or by a Person becoming a Subsidiary) (“</w:t>
      </w:r>
      <w:r>
        <w:rPr>
          <w:rFonts w:ascii="Arial" w:cs="Arial" w:eastAsia="Arial" w:hAnsi="Arial"/>
          <w:sz w:val="20"/>
          <w:szCs w:val="20"/>
          <w:b w:val="1"/>
          <w:bCs w:val="1"/>
          <w:i w:val="1"/>
          <w:iCs w:val="1"/>
          <w:color w:val="auto"/>
        </w:rPr>
        <w:t>Incurred</w:t>
      </w:r>
      <w:r>
        <w:rPr>
          <w:rFonts w:ascii="Arial" w:cs="Arial" w:eastAsia="Arial" w:hAnsi="Arial"/>
          <w:sz w:val="20"/>
          <w:szCs w:val="20"/>
          <w:color w:val="auto"/>
        </w:rPr>
        <w:t>”) after the beginning of the applicable period and on or before the Determination Date to the extent the Indebtedness is outstanding or is to be Incurred on the Determination Date, as if such Indebtedness had been Incurred on the first day of such period;</w:t>
      </w:r>
    </w:p>
    <w:p>
      <w:pPr>
        <w:spacing w:after="0" w:line="137" w:lineRule="exact"/>
        <w:rPr>
          <w:rFonts w:ascii="Arial" w:cs="Arial" w:eastAsia="Arial" w:hAnsi="Arial"/>
          <w:sz w:val="20"/>
          <w:szCs w:val="20"/>
          <w:color w:val="auto"/>
        </w:rPr>
      </w:pPr>
    </w:p>
    <w:p>
      <w:pPr>
        <w:jc w:val="both"/>
        <w:ind w:firstLine="1304"/>
        <w:spacing w:after="0" w:line="250" w:lineRule="auto"/>
        <w:tabs>
          <w:tab w:leader="none" w:pos="1738" w:val="left"/>
        </w:tabs>
        <w:numPr>
          <w:ilvl w:val="0"/>
          <w:numId w:val="342"/>
        </w:numPr>
        <w:rPr>
          <w:rFonts w:ascii="Arial" w:cs="Arial" w:eastAsia="Arial" w:hAnsi="Arial"/>
          <w:sz w:val="20"/>
          <w:szCs w:val="20"/>
          <w:color w:val="auto"/>
        </w:rPr>
      </w:pPr>
      <w:r>
        <w:rPr>
          <w:rFonts w:ascii="Arial" w:cs="Arial" w:eastAsia="Arial" w:hAnsi="Arial"/>
          <w:sz w:val="20"/>
          <w:szCs w:val="20"/>
          <w:color w:val="auto"/>
        </w:rPr>
        <w:t>pro forma calculations of interest on Indebtedness bearing a floating interest rate will be made as if the rate in effect on the Determination Date (taking into account any Swap Agreement applicable to the Indebtedness) had been the applicable rate for the entire reference period; and</w:t>
      </w:r>
    </w:p>
    <w:p>
      <w:pPr>
        <w:spacing w:after="0" w:line="131" w:lineRule="exact"/>
        <w:rPr>
          <w:rFonts w:ascii="Arial" w:cs="Arial" w:eastAsia="Arial" w:hAnsi="Arial"/>
          <w:sz w:val="20"/>
          <w:szCs w:val="20"/>
          <w:color w:val="auto"/>
        </w:rPr>
      </w:pPr>
    </w:p>
    <w:p>
      <w:pPr>
        <w:jc w:val="both"/>
        <w:ind w:firstLine="1304"/>
        <w:spacing w:after="0" w:line="273" w:lineRule="auto"/>
        <w:tabs>
          <w:tab w:leader="none" w:pos="1743" w:val="left"/>
        </w:tabs>
        <w:numPr>
          <w:ilvl w:val="0"/>
          <w:numId w:val="342"/>
        </w:numPr>
        <w:rPr>
          <w:rFonts w:ascii="Arial" w:cs="Arial" w:eastAsia="Arial" w:hAnsi="Arial"/>
          <w:sz w:val="18"/>
          <w:szCs w:val="18"/>
          <w:color w:val="auto"/>
        </w:rPr>
      </w:pPr>
      <w:r>
        <w:rPr>
          <w:rFonts w:ascii="Arial" w:cs="Arial" w:eastAsia="Arial" w:hAnsi="Arial"/>
          <w:sz w:val="18"/>
          <w:szCs w:val="18"/>
          <w:color w:val="auto"/>
        </w:rPr>
        <w:t>pro forma effect will be given to: (A) the acquisition or disposition of companies, divisions or lines of businesses by a Group Member, including any acquisition or disposition of a company, division or line of business since the beginning of the reference period by a Person that became a Subsidiary after the beginning of the applicable period; and (B) the discontinuation of any discontinued operations; in each case of clauses (A) and (B), that have occurred since the beginning of the applicable period and before the Determination Date as if such events had occurred, and, in the case of any disposition, the proceeds thereof applied, on the first day of such period. To the extent that pro forma effect is to be given to an acquisition or disposition of a company, division or line of business, the pro forma calculation will be calculated in good faith by a responsible financial or accounting officer of the Borrower in accordance with Regulation S-X under the Securities Act based upon the most recent four full fiscal quarters for which the relevant financial information is available.</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Projections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6.2(c)</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Properties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4.17(a)</w:t>
      </w:r>
      <w:r>
        <w:rPr>
          <w:rFonts w:ascii="Arial" w:cs="Arial" w:eastAsia="Arial" w:hAnsi="Arial"/>
          <w:sz w:val="20"/>
          <w:szCs w:val="20"/>
          <w:color w:val="auto"/>
        </w:rPr>
        <w:t>.</w:t>
      </w:r>
    </w:p>
    <w:p>
      <w:pPr>
        <w:spacing w:after="0" w:line="162"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Qualified Cash</w:t>
      </w:r>
      <w:r>
        <w:rPr>
          <w:rFonts w:ascii="Arial" w:cs="Arial" w:eastAsia="Arial" w:hAnsi="Arial"/>
          <w:sz w:val="18"/>
          <w:szCs w:val="18"/>
          <w:color w:val="auto"/>
        </w:rPr>
        <w:t>”: as of any date of determination, the aggregate amount of unrestricted cash and Cash Equivalents held at such time by the Loan Parties in Deposit Accounts that are subject to a first priority perfected Lien in favor of the Administrative Agent.</w:t>
      </w:r>
    </w:p>
    <w:p>
      <w:pPr>
        <w:spacing w:after="0" w:line="7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Qualified Counterparty</w:t>
      </w:r>
      <w:r>
        <w:rPr>
          <w:rFonts w:ascii="Arial" w:cs="Arial" w:eastAsia="Arial" w:hAnsi="Arial"/>
          <w:sz w:val="20"/>
          <w:szCs w:val="20"/>
          <w:color w:val="auto"/>
        </w:rPr>
        <w:t>”: with respect to any Specified Swap Agreement, any counterparty thereto that is a Lender or an Affiliate of a Lender or, at the time such Specified Swap Agreement was entered into or as of the Closing Date, was the Administrative Agent or a Lender or an Affiliate of the Administrative Agent or a Lender.</w:t>
      </w:r>
    </w:p>
    <w:p>
      <w:pPr>
        <w:spacing w:after="0" w:line="13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Qualified ECP Guarantor</w:t>
      </w:r>
      <w:r>
        <w:rPr>
          <w:rFonts w:ascii="Arial" w:cs="Arial" w:eastAsia="Arial" w:hAnsi="Arial"/>
          <w:sz w:val="18"/>
          <w:szCs w:val="18"/>
          <w:color w:val="auto"/>
        </w:rPr>
        <w:t>”: in respect of any Swap Obligation, (a) each Guarantor that has total assets exceeding $10,000,000 at the time the relevant Guarantee Obligation of such Guarantor provided in respect of, or the Lien granted by such Guarantor to secure, such Swap Obligation (or guaranty thereof) becomes effective with respect to such Swap Obligation, and (b) any other Guarantor that</w:t>
      </w:r>
    </w:p>
    <w:p>
      <w:pPr>
        <w:spacing w:after="0" w:line="1" w:lineRule="exact"/>
        <w:rPr>
          <w:sz w:val="20"/>
          <w:szCs w:val="20"/>
          <w:color w:val="auto"/>
        </w:rPr>
      </w:pPr>
    </w:p>
    <w:p>
      <w:pPr>
        <w:jc w:val="both"/>
        <w:ind w:firstLine="8"/>
        <w:spacing w:after="0" w:line="241" w:lineRule="auto"/>
        <w:tabs>
          <w:tab w:leader="none" w:pos="250" w:val="left"/>
        </w:tabs>
        <w:numPr>
          <w:ilvl w:val="0"/>
          <w:numId w:val="343"/>
        </w:numPr>
        <w:rPr>
          <w:rFonts w:ascii="Arial" w:cs="Arial" w:eastAsia="Arial" w:hAnsi="Arial"/>
          <w:sz w:val="20"/>
          <w:szCs w:val="20"/>
          <w:color w:val="auto"/>
        </w:rPr>
      </w:pPr>
      <w:r>
        <w:rPr>
          <w:rFonts w:ascii="Arial" w:cs="Arial" w:eastAsia="Arial" w:hAnsi="Arial"/>
          <w:sz w:val="20"/>
          <w:szCs w:val="20"/>
          <w:color w:val="auto"/>
        </w:rPr>
        <w:t>constitutes an “eligible contract participant” under the Commodity Exchange Act or any regulations promulgated thereunder, or (ii) can cause another Person (including, for the avoidance of doubt, any other Guarantor not then constituting a “Qualified ECP Guarantor”) to qualify as an “eligible contract participant” at such time by entering into a “keepwell, support, or other agreement” as contemplated by Section 1a(18)(A)(v)(II) of the Commodity Exchange Act.</w:t>
      </w:r>
    </w:p>
    <w:p>
      <w:pPr>
        <w:spacing w:after="0" w:line="14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Qualified IPO</w:t>
      </w:r>
      <w:r>
        <w:rPr>
          <w:rFonts w:ascii="Arial" w:cs="Arial" w:eastAsia="Arial" w:hAnsi="Arial"/>
          <w:sz w:val="20"/>
          <w:szCs w:val="20"/>
          <w:color w:val="auto"/>
        </w:rPr>
        <w:t>”: an underwritten primary public offering (other than a public offering pursuant to a registration statement on Form S-8) pursuant to an effective registration statement filed with the SEC in accordance with the Exchange Act (whether alone or in connection with any secondary public offering).</w:t>
      </w:r>
    </w:p>
    <w:p>
      <w:pPr>
        <w:spacing w:after="0" w:line="13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Qualified Plan</w:t>
      </w:r>
      <w:r>
        <w:rPr>
          <w:rFonts w:ascii="Arial" w:cs="Arial" w:eastAsia="Arial" w:hAnsi="Arial"/>
          <w:sz w:val="18"/>
          <w:szCs w:val="18"/>
          <w:color w:val="auto"/>
        </w:rPr>
        <w:t>”: an employee benefit plan (as defined in Section 3(3) of ERISA) other than a Multiemployer Plan (a) that is maintained or sponsored by any Loan Party or any ERISA Affiliate thereof or to which any Loan Party or any ERISA Affiliate is obligated to make contributions or has liability (contingent or otherwise), and (b) that is intended to be taxqualified under Section 401(a) of the Code.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240"/>
          </w:cols>
          <w:pgMar w:left="320" w:top="771" w:right="339" w:bottom="1440" w:gutter="0" w:footer="0" w:header="0"/>
        </w:sectPr>
      </w:pPr>
    </w:p>
    <w:bookmarkStart w:id="417" w:name="page418"/>
    <w:bookmarkEnd w:id="417"/>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Recipient</w:t>
      </w:r>
      <w:r>
        <w:rPr>
          <w:rFonts w:ascii="Arial" w:cs="Arial" w:eastAsia="Arial" w:hAnsi="Arial"/>
          <w:sz w:val="20"/>
          <w:szCs w:val="20"/>
          <w:color w:val="auto"/>
        </w:rPr>
        <w:t>”: the (a) Administrative Agent, (b) any Lender or (c) the Issuing Lender, as applicable.</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Reference Time</w:t>
      </w:r>
      <w:r>
        <w:rPr>
          <w:rFonts w:ascii="Arial" w:cs="Arial" w:eastAsia="Arial" w:hAnsi="Arial"/>
          <w:sz w:val="20"/>
          <w:szCs w:val="20"/>
          <w:color w:val="auto"/>
        </w:rPr>
        <w:t>”: with respect to any setting of the then-current Benchmark means (1) if such Benchmark is LIBOR, 11:00 a.m. (London time) on the day that is two London banking days preceding the date of such setting, and (2) if such Benchmark is not LIBOR, the time determined by the Administrative Agent in its reasonable discretion.</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Refunded Swingline Loans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2.7(b)</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Register</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10.6(c)</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Regulation T</w:t>
      </w:r>
      <w:r>
        <w:rPr>
          <w:rFonts w:ascii="Arial" w:cs="Arial" w:eastAsia="Arial" w:hAnsi="Arial"/>
          <w:sz w:val="20"/>
          <w:szCs w:val="20"/>
          <w:color w:val="auto"/>
        </w:rPr>
        <w:t>”: Regulation T of the Board as in effect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Regulation U</w:t>
      </w:r>
      <w:r>
        <w:rPr>
          <w:rFonts w:ascii="Arial" w:cs="Arial" w:eastAsia="Arial" w:hAnsi="Arial"/>
          <w:sz w:val="20"/>
          <w:szCs w:val="20"/>
          <w:color w:val="auto"/>
        </w:rPr>
        <w:t>”: Regulation U of the Board as in effect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Regulation X</w:t>
      </w:r>
      <w:r>
        <w:rPr>
          <w:rFonts w:ascii="Arial" w:cs="Arial" w:eastAsia="Arial" w:hAnsi="Arial"/>
          <w:sz w:val="20"/>
          <w:szCs w:val="20"/>
          <w:color w:val="auto"/>
        </w:rPr>
        <w:t>”: Regulation X of the Board as in effect from time to time.</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Related Parties</w:t>
      </w:r>
      <w:r>
        <w:rPr>
          <w:rFonts w:ascii="Arial" w:cs="Arial" w:eastAsia="Arial" w:hAnsi="Arial"/>
          <w:sz w:val="20"/>
          <w:szCs w:val="20"/>
          <w:color w:val="auto"/>
        </w:rPr>
        <w:t>”: with respect to any Person, such Person’s Affiliates and the partners, directors, officers, employees, agents, trustees, administrators, managers, advisors and representatives of such Person and of such Person’s Affiliates.</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Relevant Governmental Body</w:t>
      </w:r>
      <w:r>
        <w:rPr>
          <w:rFonts w:ascii="Arial" w:cs="Arial" w:eastAsia="Arial" w:hAnsi="Arial"/>
          <w:sz w:val="20"/>
          <w:szCs w:val="20"/>
          <w:color w:val="auto"/>
        </w:rPr>
        <w:t>”: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Replacement Lender</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2.23</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Required Lenders</w:t>
      </w:r>
      <w:r>
        <w:rPr>
          <w:rFonts w:ascii="Arial" w:cs="Arial" w:eastAsia="Arial" w:hAnsi="Arial"/>
          <w:sz w:val="20"/>
          <w:szCs w:val="20"/>
          <w:color w:val="auto"/>
        </w:rPr>
        <w:t xml:space="preserve">”: at any time, (a) if only one Lender holds the Total Revolving Commitments, such Lender; and (b) if more than one Lender holds the Total Revolving Commitments, then at least two Lenders who together hold more than 50% of the Total Revolving Commitments (including, without duplication, the L/C Commitments) then in effect or, if the Revolving Commitments have been terminated, the Total Revolving Extensions of Credit then outstanding;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for the purposes of this clause (b), the Revolving Commitments of, and the portion of the Revolving Loans and participations in L/C Exposure and Swingline Loans held or deemed held by, any Defaulting Lender shall be excluded for purposes of making a determination of Required Lenders;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further that a Lender and its Affiliates shall be deemed one Lender.</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240"/>
          </w:cols>
          <w:pgMar w:left="320" w:top="771" w:right="339" w:bottom="1440" w:gutter="0" w:footer="0" w:header="0"/>
        </w:sectPr>
      </w:pPr>
    </w:p>
    <w:bookmarkStart w:id="418" w:name="page419"/>
    <w:bookmarkEnd w:id="418"/>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Requirement of Law</w:t>
      </w:r>
      <w:r>
        <w:rPr>
          <w:rFonts w:ascii="Arial" w:cs="Arial" w:eastAsia="Arial" w:hAnsi="Arial"/>
          <w:sz w:val="20"/>
          <w:szCs w:val="20"/>
          <w:color w:val="auto"/>
        </w:rPr>
        <w:t>”: as to any Person, the Operating Documents of such Person, and any law, treaty, rule or regulation or determination of an arbitrator or a court or other Governmental Authority (including, for the avoidance of doubt, the Basel Committee on Banking Supervision and any successor thereto or similar authority or successor thereto), in each case applicable to or binding upon such Person or any of its property or to which such Person or any of its property is subject.</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Resolution Authority</w:t>
      </w:r>
      <w:r>
        <w:rPr>
          <w:rFonts w:ascii="Arial" w:cs="Arial" w:eastAsia="Arial" w:hAnsi="Arial"/>
          <w:sz w:val="18"/>
          <w:szCs w:val="18"/>
          <w:color w:val="auto"/>
        </w:rPr>
        <w:t>”: an EEA Resolution Authority or, with respect to any UK Financial Institution, a UK Resolution Authority.</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Responsible Officer</w:t>
      </w:r>
      <w:r>
        <w:rPr>
          <w:rFonts w:ascii="Arial" w:cs="Arial" w:eastAsia="Arial" w:hAnsi="Arial"/>
          <w:sz w:val="20"/>
          <w:szCs w:val="20"/>
          <w:color w:val="auto"/>
        </w:rPr>
        <w:t>”: with respect to any Loan Party, the chief executive officer, president, vice president, chief financial officer, treasurer, controller or comptroller of such Loan Party, but in any event, with respect to financial matters, the chief financial officer, treasurer, controller or comptroller of such Loan Party.</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Restricted Payments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7.6</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Revaluation Date</w:t>
      </w:r>
      <w:r>
        <w:rPr>
          <w:rFonts w:ascii="Arial" w:cs="Arial" w:eastAsia="Arial" w:hAnsi="Arial"/>
          <w:sz w:val="20"/>
          <w:szCs w:val="20"/>
          <w:color w:val="auto"/>
        </w:rPr>
        <w:t>”: with respect to any Letter of Credit, each of the following: (a) each date of issuance, amendment and/or extension of a Letter of Credit denominated in an Alternative Currency, (b) each date of any payment by the Issuing Lender under any Letter of Credit denominated in an Alternative Currency, (c) in the case of all Existing Letters of Credit denominated in Alternative Currencies, the Original Closing Date, and (d) such additional dates as the Administrative Agent or the Issuing Lender shall determine or the Required Lenders shall require.</w:t>
      </w:r>
    </w:p>
    <w:p>
      <w:pPr>
        <w:spacing w:after="0" w:line="14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Revolving Commitment</w:t>
      </w:r>
      <w:r>
        <w:rPr>
          <w:rFonts w:ascii="Arial" w:cs="Arial" w:eastAsia="Arial" w:hAnsi="Arial"/>
          <w:sz w:val="18"/>
          <w:szCs w:val="18"/>
          <w:color w:val="auto"/>
        </w:rPr>
        <w:t xml:space="preserve">”: as to any Lender, the obligation of such Lender, if any, to make Revolving Loans and participate in Swingline Loans and Letters of Credit in an aggregate principal amount not to exceed the amount set forth under the heading “Revolving Commitment” opposite such Lender’s name on </w:t>
      </w:r>
      <w:r>
        <w:rPr>
          <w:rFonts w:ascii="Arial" w:cs="Arial" w:eastAsia="Arial" w:hAnsi="Arial"/>
          <w:sz w:val="18"/>
          <w:szCs w:val="18"/>
          <w:u w:val="single" w:color="auto"/>
          <w:color w:val="auto"/>
        </w:rPr>
        <w:t>Schedule 1.1A</w:t>
      </w:r>
      <w:r>
        <w:rPr>
          <w:rFonts w:ascii="Arial" w:cs="Arial" w:eastAsia="Arial" w:hAnsi="Arial"/>
          <w:sz w:val="18"/>
          <w:szCs w:val="18"/>
          <w:color w:val="auto"/>
        </w:rPr>
        <w:t xml:space="preserve"> or in the Assignment and Assumption or Increase Joinder pursuant to which such Lender became a party hereto, as the same may be changed from time to time pursuant to the terms hereof (including in connection with assignments and Increases permitted hereunder). The amount of the Total Revolving Commitments as of the Closing Date is $100,000,000. The L/C Commitment and the Swingline Commitment are each sublimits of the Total Revolving Commitments.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Revolving Commitment Period</w:t>
      </w:r>
      <w:r>
        <w:rPr>
          <w:rFonts w:ascii="Arial" w:cs="Arial" w:eastAsia="Arial" w:hAnsi="Arial"/>
          <w:sz w:val="20"/>
          <w:szCs w:val="20"/>
          <w:color w:val="auto"/>
        </w:rPr>
        <w:t>”: the period from and including the Closing Date to the Revolving Termination Date.</w:t>
      </w:r>
    </w:p>
    <w:p>
      <w:pPr>
        <w:spacing w:after="0" w:line="16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Revolving Extensions of Credit</w:t>
      </w:r>
      <w:r>
        <w:rPr>
          <w:rFonts w:ascii="Arial" w:cs="Arial" w:eastAsia="Arial" w:hAnsi="Arial"/>
          <w:sz w:val="20"/>
          <w:szCs w:val="20"/>
          <w:color w:val="auto"/>
        </w:rPr>
        <w:t xml:space="preserve">”: as to any Revolving Lender at any time, an amount equal to the </w:t>
      </w:r>
      <w:r>
        <w:rPr>
          <w:rFonts w:ascii="Arial" w:cs="Arial" w:eastAsia="Arial" w:hAnsi="Arial"/>
          <w:sz w:val="20"/>
          <w:szCs w:val="20"/>
          <w:u w:val="single" w:color="auto"/>
          <w:color w:val="auto"/>
        </w:rPr>
        <w:t>sum</w:t>
      </w:r>
      <w:r>
        <w:rPr>
          <w:rFonts w:ascii="Arial" w:cs="Arial" w:eastAsia="Arial" w:hAnsi="Arial"/>
          <w:sz w:val="20"/>
          <w:szCs w:val="20"/>
          <w:color w:val="auto"/>
        </w:rPr>
        <w:t xml:space="preserve"> of (a) the aggregate principal amount of all Revolving Loans held by such Lender then outstanding,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such Lender’s L/C Percentage of the Dollar Equivalent of the aggregate undrawn amount of all outstanding Letters of Credit (including the Existing Letter of Credit) at such time,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(c) the Dollar Equivalent of such Lender’s L/C Percentage of the aggregate amount of all L/C Disbursements that have not yet been reimbursed or converted into Revolving Loans at such time,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(d) such Lender’s Revolving Percentage of the aggregate principal amount of Swingline Loans then outstanding.</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Revolving Facility</w:t>
      </w:r>
      <w:r>
        <w:rPr>
          <w:rFonts w:ascii="Arial" w:cs="Arial" w:eastAsia="Arial" w:hAnsi="Arial"/>
          <w:sz w:val="20"/>
          <w:szCs w:val="20"/>
          <w:color w:val="auto"/>
        </w:rPr>
        <w:t>”: the Revolving Commitments and the extensions of credit made thereunder.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Revolving Lender</w:t>
      </w:r>
      <w:r>
        <w:rPr>
          <w:rFonts w:ascii="Arial" w:cs="Arial" w:eastAsia="Arial" w:hAnsi="Arial"/>
          <w:sz w:val="20"/>
          <w:szCs w:val="20"/>
          <w:color w:val="auto"/>
        </w:rPr>
        <w:t>”: each Lender that has a Revolving Commitment or that holds Revolving Loans.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Revolving Loan Conversion</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3.5(b)</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Revolving Loan Funding Office</w:t>
      </w:r>
      <w:r>
        <w:rPr>
          <w:rFonts w:ascii="Arial" w:cs="Arial" w:eastAsia="Arial" w:hAnsi="Arial"/>
          <w:sz w:val="19"/>
          <w:szCs w:val="19"/>
          <w:color w:val="auto"/>
        </w:rPr>
        <w:t xml:space="preserve">”: the office of the Administrative Agent specified in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or such other office as may be specified from time to time by the Administrative Agent as its funding office by written notice to the Borrower and the Lenders.</w:t>
      </w:r>
    </w:p>
    <w:p>
      <w:pPr>
        <w:spacing w:after="0" w:line="9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Revolving Loan Note</w:t>
      </w:r>
      <w:r>
        <w:rPr>
          <w:rFonts w:ascii="Arial" w:cs="Arial" w:eastAsia="Arial" w:hAnsi="Arial"/>
          <w:sz w:val="20"/>
          <w:szCs w:val="20"/>
          <w:color w:val="auto"/>
        </w:rPr>
        <w:t xml:space="preserve">”: a promissory note in the form of </w:t>
      </w:r>
      <w:r>
        <w:rPr>
          <w:rFonts w:ascii="Arial" w:cs="Arial" w:eastAsia="Arial" w:hAnsi="Arial"/>
          <w:sz w:val="20"/>
          <w:szCs w:val="20"/>
          <w:u w:val="single" w:color="auto"/>
          <w:color w:val="auto"/>
        </w:rPr>
        <w:t>Exhibit H-1</w:t>
      </w:r>
      <w:r>
        <w:rPr>
          <w:rFonts w:ascii="Arial" w:cs="Arial" w:eastAsia="Arial" w:hAnsi="Arial"/>
          <w:sz w:val="20"/>
          <w:szCs w:val="20"/>
          <w:color w:val="auto"/>
        </w:rPr>
        <w:t>, as it may be amended, supplemented or otherwise modified from time to time.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240"/>
          </w:cols>
          <w:pgMar w:left="320" w:top="771" w:right="339" w:bottom="1440" w:gutter="0" w:footer="0" w:header="0"/>
        </w:sectPr>
      </w:pPr>
    </w:p>
    <w:bookmarkStart w:id="419" w:name="page420"/>
    <w:bookmarkEnd w:id="419"/>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Revolving Loans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2.4(a)</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Revolving Percentage</w:t>
      </w:r>
      <w:r>
        <w:rPr>
          <w:rFonts w:ascii="Arial" w:cs="Arial" w:eastAsia="Arial" w:hAnsi="Arial"/>
          <w:sz w:val="18"/>
          <w:szCs w:val="18"/>
          <w:color w:val="auto"/>
        </w:rPr>
        <w:t xml:space="preserve">”: as to any Revolving Lender at any time, the percentage which such Lender’s Revolving Commitment then constitutes of the Total Revolving Commitments or, at any time after the Revolving Commitments of all Lenders shall have expired or terminated, the percentage which the aggregate principal amount of such Lender’s Revolving Loans then outstanding constitutes of the aggregate principal amount of all Revolving Loans then outstanding;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in the event that the Revolving Loans are paid in full prior to the reduction to zero of the Total Revolving Commitments, the Revolving Percentages shall be determined in a manner designed to ensure that the other outstanding Revolving Extensions of Credit shall be held by the Revolving Lenders on a comparable basis.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Revolving Termination Date</w:t>
      </w:r>
      <w:r>
        <w:rPr>
          <w:rFonts w:ascii="Arial" w:cs="Arial" w:eastAsia="Arial" w:hAnsi="Arial"/>
          <w:sz w:val="20"/>
          <w:szCs w:val="20"/>
          <w:color w:val="auto"/>
        </w:rPr>
        <w:t>”: is September 2, 2023.</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S&amp;P</w:t>
      </w:r>
      <w:r>
        <w:rPr>
          <w:rFonts w:ascii="Arial" w:cs="Arial" w:eastAsia="Arial" w:hAnsi="Arial"/>
          <w:sz w:val="20"/>
          <w:szCs w:val="20"/>
          <w:color w:val="auto"/>
        </w:rPr>
        <w:t>”: Standard &amp; Poor’s Ratings Services.</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Sale Leaseback Transaction</w:t>
      </w:r>
      <w:r>
        <w:rPr>
          <w:rFonts w:ascii="Arial" w:cs="Arial" w:eastAsia="Arial" w:hAnsi="Arial"/>
          <w:sz w:val="20"/>
          <w:szCs w:val="20"/>
          <w:color w:val="auto"/>
        </w:rPr>
        <w:t>”: any arrangement with any Person or Persons, whereby in contemporaneous or substantially contemporaneous transactions a Loan Party sells substantially all of its right, title and interest in any property and, in connection therewith, acquires, leases or licenses back the right to use all or a material portion of such property.</w:t>
      </w:r>
    </w:p>
    <w:p>
      <w:pPr>
        <w:spacing w:after="0" w:line="13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Same Day Funds</w:t>
      </w:r>
      <w:r>
        <w:rPr>
          <w:rFonts w:ascii="Arial" w:cs="Arial" w:eastAsia="Arial" w:hAnsi="Arial"/>
          <w:sz w:val="20"/>
          <w:szCs w:val="20"/>
          <w:color w:val="auto"/>
        </w:rPr>
        <w:t>”: (a) with respect to disbursements and payments in Dollars, immediately available funds, and (b) with respect to disbursements and payments in an Alternative Currency, same day or other funds as may be determined by the Administrative Agent or the Issuing Lender, as the case may be, to be customary in the place of disbursement or payment for the settlement of international banking transactions in the relevant Alternative Currency.</w:t>
      </w:r>
    </w:p>
    <w:p>
      <w:pPr>
        <w:spacing w:after="0" w:line="13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Sanction(s)</w:t>
      </w:r>
      <w:r>
        <w:rPr>
          <w:rFonts w:ascii="Arial" w:cs="Arial" w:eastAsia="Arial" w:hAnsi="Arial"/>
          <w:sz w:val="19"/>
          <w:szCs w:val="19"/>
          <w:color w:val="auto"/>
        </w:rPr>
        <w:t>”: any international economic sanction administered or enforced by the United States Government (including OFAC), the United Nations Security Council, the European Union, Her Majesty’s Treasury or other relevant sanctions authority.</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w:t>
      </w:r>
      <w:r>
        <w:rPr>
          <w:rFonts w:ascii="Arial" w:cs="Arial" w:eastAsia="Arial" w:hAnsi="Arial"/>
          <w:sz w:val="20"/>
          <w:szCs w:val="20"/>
          <w:color w:val="auto"/>
        </w:rPr>
        <w:t>”: the Securities and Exchange Commission, any successor thereto and any analogous Governmental Authority.</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Secured Parties</w:t>
      </w:r>
      <w:r>
        <w:rPr>
          <w:rFonts w:ascii="Arial" w:cs="Arial" w:eastAsia="Arial" w:hAnsi="Arial"/>
          <w:sz w:val="20"/>
          <w:szCs w:val="20"/>
          <w:color w:val="auto"/>
        </w:rPr>
        <w:t>”: the collective reference to the Administrative Agent, the Lenders (including any Issuing Lender in its capacity as Issuing Lender and any Swingline Lender in its capacity as Swingline Lender), any Cash Management Bank (in its or their respective capacities as providers of Cash Management Services), and any Qualified Counterparties.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Account</w:t>
      </w:r>
      <w:r>
        <w:rPr>
          <w:rFonts w:ascii="Arial" w:cs="Arial" w:eastAsia="Arial" w:hAnsi="Arial"/>
          <w:sz w:val="18"/>
          <w:szCs w:val="18"/>
          <w:color w:val="auto"/>
        </w:rPr>
        <w:t>”: any “securities account” as defined in the UCC with such additions to such term as may hereafter be made.</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Securities Account Control Agreement</w:t>
      </w:r>
      <w:r>
        <w:rPr>
          <w:rFonts w:ascii="Arial" w:cs="Arial" w:eastAsia="Arial" w:hAnsi="Arial"/>
          <w:sz w:val="20"/>
          <w:szCs w:val="20"/>
          <w:color w:val="auto"/>
        </w:rPr>
        <w:t>”: any Control Agreement entered into by the Administrative Agent, a Loan Party and a securities intermediary holding a Securities Account of such Loan Party pursuant to which the Administrative Agent is granted “control” (for purposes of the UCC) over such Securities Account.</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240"/>
          </w:cols>
          <w:pgMar w:left="320" w:top="771" w:right="339" w:bottom="1440" w:gutter="0" w:footer="0" w:header="0"/>
        </w:sectPr>
      </w:pPr>
    </w:p>
    <w:bookmarkStart w:id="420" w:name="page421"/>
    <w:bookmarkEnd w:id="420"/>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Securities Act</w:t>
      </w:r>
      <w:r>
        <w:rPr>
          <w:rFonts w:ascii="Arial" w:cs="Arial" w:eastAsia="Arial" w:hAnsi="Arial"/>
          <w:sz w:val="20"/>
          <w:szCs w:val="20"/>
          <w:color w:val="auto"/>
        </w:rPr>
        <w:t>”: the Securities Act of 1933, as amended from time to time and any successor statute.</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Security Documents</w:t>
      </w:r>
      <w:r>
        <w:rPr>
          <w:rFonts w:ascii="Arial" w:cs="Arial" w:eastAsia="Arial" w:hAnsi="Arial"/>
          <w:sz w:val="19"/>
          <w:szCs w:val="19"/>
          <w:color w:val="auto"/>
        </w:rPr>
        <w:t>”: the collective reference to (a) the Guarantee and Collateral Agreement, (b) the Mortgages (if any), (c) each Deposit Account Control Agreement, (d) each Securities Account Control Agreement, (e) all other security documents hereafter delivered to the Administrative Agent granting a Lien on any property of any Person to secure the Obligations of any Loan Party arising under any Loan Document, (f) each Pledge Supplement, (g) each Assumption Agreement, (h) all other security documents hereafter delivered to any applicable Cash Management Bank granting a Lien on any property of any Person to secure the Obligations of any Group Member arising under any Cash Management Agreement and (i) all financing statements, fixture filings, assignments, acknowledgments and other filings, documents and agreements made or delivered pursuant to any of the foregoing.</w:t>
      </w:r>
    </w:p>
    <w:p>
      <w:pPr>
        <w:spacing w:after="0" w:line="13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Solvency Certificate</w:t>
      </w:r>
      <w:r>
        <w:rPr>
          <w:rFonts w:ascii="Arial" w:cs="Arial" w:eastAsia="Arial" w:hAnsi="Arial"/>
          <w:sz w:val="20"/>
          <w:szCs w:val="20"/>
          <w:color w:val="auto"/>
        </w:rPr>
        <w:t xml:space="preserve">”: the Solvency Certificate, dated the Closing Date, delivered to the Administrative Agent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5.1(o)</w:t>
      </w:r>
      <w:r>
        <w:rPr>
          <w:rFonts w:ascii="Arial" w:cs="Arial" w:eastAsia="Arial" w:hAnsi="Arial"/>
          <w:sz w:val="20"/>
          <w:szCs w:val="20"/>
          <w:color w:val="auto"/>
        </w:rPr>
        <w:t xml:space="preserve">, which Solvency Certificate shall be in substantially the form of </w:t>
      </w:r>
      <w:r>
        <w:rPr>
          <w:rFonts w:ascii="Arial" w:cs="Arial" w:eastAsia="Arial" w:hAnsi="Arial"/>
          <w:sz w:val="20"/>
          <w:szCs w:val="20"/>
          <w:u w:val="single" w:color="auto"/>
          <w:color w:val="auto"/>
        </w:rPr>
        <w:t>Exhibit D</w:t>
      </w:r>
      <w:r>
        <w:rPr>
          <w:rFonts w:ascii="Arial" w:cs="Arial" w:eastAsia="Arial" w:hAnsi="Arial"/>
          <w:sz w:val="20"/>
          <w:szCs w:val="20"/>
          <w:color w:val="auto"/>
        </w:rPr>
        <w:t>.</w:t>
      </w:r>
    </w:p>
    <w:p>
      <w:pPr>
        <w:spacing w:after="0" w:line="12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SOFR</w:t>
      </w:r>
      <w:r>
        <w:rPr>
          <w:rFonts w:ascii="Arial" w:cs="Arial" w:eastAsia="Arial" w:hAnsi="Arial"/>
          <w:sz w:val="19"/>
          <w:szCs w:val="19"/>
          <w:color w:val="auto"/>
        </w:rPr>
        <w:t>”: with respect to any Business Day, a rate per annum equal to the secured overnight financing rate for such Business Day published by the SOFR Administrator on the SOFR Administrator’s Website on the immediately succeeding Business Day.</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SOFR Administrator</w:t>
      </w:r>
      <w:r>
        <w:rPr>
          <w:rFonts w:ascii="Arial" w:cs="Arial" w:eastAsia="Arial" w:hAnsi="Arial"/>
          <w:sz w:val="18"/>
          <w:szCs w:val="18"/>
          <w:color w:val="auto"/>
        </w:rPr>
        <w:t>”: the Federal Reserve Bank of New York (or a successor administrator of the secured overnight financing</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rate).</w:t>
      </w:r>
    </w:p>
    <w:p>
      <w:pPr>
        <w:spacing w:after="0" w:line="14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SOFR Administrator’s Website</w:t>
      </w:r>
      <w:r>
        <w:rPr>
          <w:rFonts w:ascii="Arial" w:cs="Arial" w:eastAsia="Arial" w:hAnsi="Arial"/>
          <w:sz w:val="18"/>
          <w:szCs w:val="18"/>
          <w:color w:val="auto"/>
        </w:rPr>
        <w:t>”: the website of the Federal Reserve Bank of New York, currently at http://www.newyorkfed.org, or any successor source for the secured overnight financing rate identified as such by the SOFR Administrator from time to time.</w:t>
      </w:r>
    </w:p>
    <w:p>
      <w:pPr>
        <w:spacing w:after="0" w:line="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Solvent</w:t>
      </w:r>
      <w:r>
        <w:rPr>
          <w:rFonts w:ascii="Arial" w:cs="Arial" w:eastAsia="Arial" w:hAnsi="Arial"/>
          <w:sz w:val="19"/>
          <w:szCs w:val="19"/>
          <w:color w:val="auto"/>
        </w:rPr>
        <w:t>”: when used with respect to any Person, as of any date of determination, (a) the amount of the “fair value” of the assets of such Person will, as of such date, exceed the amount of all “liabilities of such Person, contingent or otherwise,” as of 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 as such quoted terms are determined in accordance with applicable federal and state laws governing determinations of the insolvency of debtors, (c) such Person will not have, as of such date, an unreasonably small amount of capital with which to conduct its business, and (d) such Person will be able to pay its debts generally as they mature. For purposes of this definition, (i) “debt” means liability on a “claim,” and (ii) “claim” means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w:t>
      </w:r>
    </w:p>
    <w:p>
      <w:pPr>
        <w:spacing w:after="0" w:line="13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Specified Acquisition Agreement Representations</w:t>
      </w:r>
      <w:r>
        <w:rPr>
          <w:rFonts w:ascii="Arial" w:cs="Arial" w:eastAsia="Arial" w:hAnsi="Arial"/>
          <w:sz w:val="20"/>
          <w:szCs w:val="20"/>
          <w:color w:val="auto"/>
        </w:rPr>
        <w:t>”: such of the representations and warranties made by the sellers and their Affiliates in the Limited Condition Acquisition Agreement as are material to the interests of the Lenders, but only to the extent that the Borrower (or its applicable Affiliates) has the right (taking into account any applicable cure provisions) to terminate its (or such Affiliates’) obligations under the Limited Condition Acquisition Agreement, or decline to consummate the acquisition (in each case, in accordance with the terms thereof), as a result of a breach of such representations and warranties.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240"/>
          </w:cols>
          <w:pgMar w:left="320" w:top="771" w:right="339" w:bottom="1440" w:gutter="0" w:footer="0" w:header="0"/>
        </w:sectPr>
      </w:pPr>
    </w:p>
    <w:bookmarkStart w:id="421" w:name="page422"/>
    <w:bookmarkEnd w:id="421"/>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Specified Representations</w:t>
      </w:r>
      <w:r>
        <w:rPr>
          <w:rFonts w:ascii="Arial" w:cs="Arial" w:eastAsia="Arial" w:hAnsi="Arial"/>
          <w:sz w:val="19"/>
          <w:szCs w:val="19"/>
          <w:color w:val="auto"/>
        </w:rPr>
        <w:t xml:space="preserve">”: those representations and warranties made in </w:t>
      </w:r>
      <w:r>
        <w:rPr>
          <w:rFonts w:ascii="Arial" w:cs="Arial" w:eastAsia="Arial" w:hAnsi="Arial"/>
          <w:sz w:val="19"/>
          <w:szCs w:val="19"/>
          <w:u w:val="single" w:color="auto"/>
          <w:color w:val="auto"/>
        </w:rPr>
        <w:t>Sections 4.3(a)</w:t>
      </w:r>
      <w:r>
        <w:rPr>
          <w:rFonts w:ascii="Arial" w:cs="Arial" w:eastAsia="Arial" w:hAnsi="Arial"/>
          <w:sz w:val="19"/>
          <w:szCs w:val="19"/>
          <w:color w:val="auto"/>
        </w:rPr>
        <w:t xml:space="preserve"> (with respect to the organizational existence of the Loan Parties only after giving effect to the Limited Condition Acquisition), </w:t>
      </w:r>
      <w:r>
        <w:rPr>
          <w:rFonts w:ascii="Arial" w:cs="Arial" w:eastAsia="Arial" w:hAnsi="Arial"/>
          <w:sz w:val="19"/>
          <w:szCs w:val="19"/>
          <w:u w:val="single" w:color="auto"/>
          <w:color w:val="auto"/>
        </w:rPr>
        <w:t>4.4</w:t>
      </w:r>
      <w:r>
        <w:rPr>
          <w:rFonts w:ascii="Arial" w:cs="Arial" w:eastAsia="Arial" w:hAnsi="Arial"/>
          <w:sz w:val="19"/>
          <w:szCs w:val="19"/>
          <w:color w:val="auto"/>
        </w:rPr>
        <w:t xml:space="preserve"> (excluding the third sentence thereof), </w:t>
      </w:r>
      <w:r>
        <w:rPr>
          <w:rFonts w:ascii="Arial" w:cs="Arial" w:eastAsia="Arial" w:hAnsi="Arial"/>
          <w:sz w:val="19"/>
          <w:szCs w:val="19"/>
          <w:u w:val="single" w:color="auto"/>
          <w:color w:val="auto"/>
        </w:rPr>
        <w:t>4.5</w:t>
      </w:r>
      <w:r>
        <w:rPr>
          <w:rFonts w:ascii="Arial" w:cs="Arial" w:eastAsia="Arial" w:hAnsi="Arial"/>
          <w:sz w:val="19"/>
          <w:szCs w:val="19"/>
          <w:color w:val="auto"/>
        </w:rPr>
        <w:t xml:space="preserve"> (solely with respect to the first sentence and with respect to Operating Documents), </w:t>
      </w:r>
      <w:r>
        <w:rPr>
          <w:rFonts w:ascii="Arial" w:cs="Arial" w:eastAsia="Arial" w:hAnsi="Arial"/>
          <w:sz w:val="19"/>
          <w:szCs w:val="19"/>
          <w:u w:val="single" w:color="auto"/>
          <w:color w:val="auto"/>
        </w:rPr>
        <w:t>4.11</w:t>
      </w:r>
      <w:r>
        <w:rPr>
          <w:rFonts w:ascii="Arial" w:cs="Arial" w:eastAsia="Arial" w:hAnsi="Arial"/>
          <w:sz w:val="19"/>
          <w:szCs w:val="19"/>
          <w:color w:val="auto"/>
        </w:rPr>
        <w:t xml:space="preserve">, </w:t>
      </w:r>
      <w:r>
        <w:rPr>
          <w:rFonts w:ascii="Arial" w:cs="Arial" w:eastAsia="Arial" w:hAnsi="Arial"/>
          <w:sz w:val="19"/>
          <w:szCs w:val="19"/>
          <w:u w:val="single" w:color="auto"/>
          <w:color w:val="auto"/>
        </w:rPr>
        <w:t>4.14</w:t>
      </w:r>
      <w:r>
        <w:rPr>
          <w:rFonts w:ascii="Arial" w:cs="Arial" w:eastAsia="Arial" w:hAnsi="Arial"/>
          <w:sz w:val="19"/>
          <w:szCs w:val="19"/>
          <w:color w:val="auto"/>
        </w:rPr>
        <w:t xml:space="preserve">, </w:t>
      </w:r>
      <w:r>
        <w:rPr>
          <w:rFonts w:ascii="Arial" w:cs="Arial" w:eastAsia="Arial" w:hAnsi="Arial"/>
          <w:sz w:val="19"/>
          <w:szCs w:val="19"/>
          <w:u w:val="single" w:color="auto"/>
          <w:color w:val="auto"/>
        </w:rPr>
        <w:t>4.19</w:t>
      </w:r>
      <w:r>
        <w:rPr>
          <w:rFonts w:ascii="Arial" w:cs="Arial" w:eastAsia="Arial" w:hAnsi="Arial"/>
          <w:sz w:val="19"/>
          <w:szCs w:val="19"/>
          <w:color w:val="auto"/>
        </w:rPr>
        <w:t xml:space="preserve">, </w:t>
      </w:r>
      <w:r>
        <w:rPr>
          <w:rFonts w:ascii="Arial" w:cs="Arial" w:eastAsia="Arial" w:hAnsi="Arial"/>
          <w:sz w:val="19"/>
          <w:szCs w:val="19"/>
          <w:u w:val="single" w:color="auto"/>
          <w:color w:val="auto"/>
        </w:rPr>
        <w:t>4.20</w:t>
      </w:r>
      <w:r>
        <w:rPr>
          <w:rFonts w:ascii="Arial" w:cs="Arial" w:eastAsia="Arial" w:hAnsi="Arial"/>
          <w:sz w:val="19"/>
          <w:szCs w:val="19"/>
          <w:color w:val="auto"/>
        </w:rPr>
        <w:t xml:space="preserve"> (giving effect to the Limited Condition Acquisition and the incurrence of the Increase loans in connection therewith), </w:t>
      </w:r>
      <w:r>
        <w:rPr>
          <w:rFonts w:ascii="Arial" w:cs="Arial" w:eastAsia="Arial" w:hAnsi="Arial"/>
          <w:sz w:val="19"/>
          <w:szCs w:val="19"/>
          <w:u w:val="single" w:color="auto"/>
          <w:color w:val="auto"/>
        </w:rPr>
        <w:t>4.28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4.29</w:t>
      </w:r>
      <w:r>
        <w:rPr>
          <w:rFonts w:ascii="Arial" w:cs="Arial" w:eastAsia="Arial" w:hAnsi="Arial"/>
          <w:sz w:val="19"/>
          <w:szCs w:val="19"/>
          <w:color w:val="auto"/>
        </w:rPr>
        <w:t>.</w:t>
      </w:r>
    </w:p>
    <w:p>
      <w:pPr>
        <w:spacing w:after="0" w:line="1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Specified Swap Agreement</w:t>
      </w:r>
      <w:r>
        <w:rPr>
          <w:rFonts w:ascii="Arial" w:cs="Arial" w:eastAsia="Arial" w:hAnsi="Arial"/>
          <w:sz w:val="20"/>
          <w:szCs w:val="20"/>
          <w:color w:val="auto"/>
        </w:rPr>
        <w:t>”: any Swap Agreement entered into by a Loan Party (or in the sole discretion of the Administrative Agent, any other Group Member) and any Qualified Counterparty (or any Person who was a Qualified Counterparty as of the Closing Date or as of the date such Swap Agreement was entered into).</w:t>
      </w:r>
    </w:p>
    <w:p>
      <w:pPr>
        <w:spacing w:after="0" w:line="1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Spot Rate</w:t>
      </w:r>
      <w:r>
        <w:rPr>
          <w:rFonts w:ascii="Arial" w:cs="Arial" w:eastAsia="Arial" w:hAnsi="Arial"/>
          <w:sz w:val="19"/>
          <w:szCs w:val="19"/>
          <w:color w:val="auto"/>
        </w:rPr>
        <w:t xml:space="preserve">”: for any currency, the rate determined by the Administrative Agent to be the rate quoted by the Administrative Agent as the spot rate for the purchase of such currency with another currency through its principal foreign exchange trading office at approximately 11:00 a.m. on the date two (2) Business Days prior to the date as of which the foreign exchange computation is made;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the Administrative Agent may obtain such spot rate from another financial institution designated by it if the Administrative Agent does not have as of the date of determination a spot buying rate for any such currency.</w:t>
      </w:r>
    </w:p>
    <w:p>
      <w:pPr>
        <w:spacing w:after="0" w:line="12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Subordinated Debt Document</w:t>
      </w:r>
      <w:r>
        <w:rPr>
          <w:rFonts w:ascii="Arial" w:cs="Arial" w:eastAsia="Arial" w:hAnsi="Arial"/>
          <w:sz w:val="20"/>
          <w:szCs w:val="20"/>
          <w:color w:val="auto"/>
        </w:rPr>
        <w:t>”: any agreement, certificate, document or instrument executed or delivered by any Group Member and evidencing Indebtedness of any Group Member which is subordinated to the Obligations (including payment, lien and remedies subordination terms, as applicable) in a manner approved in writing by the Administrative Agent, and any renewals, modifications, or amendments thereof which are not prohibited by this Agreement or the applicable subordination agreement or are otherwise approved in writing by the Administrative Agent.</w:t>
      </w:r>
    </w:p>
    <w:p>
      <w:pPr>
        <w:spacing w:after="0" w:line="14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Subordinated Indebtedness</w:t>
      </w:r>
      <w:r>
        <w:rPr>
          <w:rFonts w:ascii="Arial" w:cs="Arial" w:eastAsia="Arial" w:hAnsi="Arial"/>
          <w:sz w:val="19"/>
          <w:szCs w:val="19"/>
          <w:color w:val="auto"/>
        </w:rPr>
        <w:t>”: Indebtedness of a Loan Party subordinated to the Obligations pursuant to subordination terms (including payment, lien and remedies subordination terms, as applicable) reasonably acceptable to the Administrative Agent.</w:t>
      </w:r>
    </w:p>
    <w:p>
      <w:pPr>
        <w:spacing w:after="0" w:line="9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Subsidiary</w:t>
      </w:r>
      <w:r>
        <w:rPr>
          <w:rFonts w:ascii="Arial" w:cs="Arial" w:eastAsia="Arial" w:hAnsi="Arial"/>
          <w:sz w:val="20"/>
          <w:szCs w:val="20"/>
          <w:color w:val="auto"/>
        </w:rPr>
        <w:t>”: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otherwise qualified, all references to a “</w:t>
      </w:r>
      <w:r>
        <w:rPr>
          <w:rFonts w:ascii="Arial" w:cs="Arial" w:eastAsia="Arial" w:hAnsi="Arial"/>
          <w:sz w:val="20"/>
          <w:szCs w:val="20"/>
          <w:b w:val="1"/>
          <w:bCs w:val="1"/>
          <w:i w:val="1"/>
          <w:iCs w:val="1"/>
          <w:color w:val="auto"/>
        </w:rPr>
        <w:t>Subsidiary</w:t>
      </w:r>
      <w:r>
        <w:rPr>
          <w:rFonts w:ascii="Arial" w:cs="Arial" w:eastAsia="Arial" w:hAnsi="Arial"/>
          <w:sz w:val="20"/>
          <w:szCs w:val="20"/>
          <w:color w:val="auto"/>
        </w:rPr>
        <w:t>” or to “</w:t>
      </w:r>
      <w:r>
        <w:rPr>
          <w:rFonts w:ascii="Arial" w:cs="Arial" w:eastAsia="Arial" w:hAnsi="Arial"/>
          <w:sz w:val="20"/>
          <w:szCs w:val="20"/>
          <w:b w:val="1"/>
          <w:bCs w:val="1"/>
          <w:i w:val="1"/>
          <w:iCs w:val="1"/>
          <w:color w:val="auto"/>
        </w:rPr>
        <w:t>Subsidiaries</w:t>
      </w:r>
      <w:r>
        <w:rPr>
          <w:rFonts w:ascii="Arial" w:cs="Arial" w:eastAsia="Arial" w:hAnsi="Arial"/>
          <w:sz w:val="20"/>
          <w:szCs w:val="20"/>
          <w:color w:val="auto"/>
        </w:rPr>
        <w:t>” in this Agreement shall refer to a Subsidiary or Subsidiaries of NerdWallet.</w:t>
      </w:r>
    </w:p>
    <w:p>
      <w:pPr>
        <w:spacing w:after="0" w:line="14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Surety Indebtedness</w:t>
      </w:r>
      <w:r>
        <w:rPr>
          <w:rFonts w:ascii="Arial" w:cs="Arial" w:eastAsia="Arial" w:hAnsi="Arial"/>
          <w:sz w:val="20"/>
          <w:szCs w:val="20"/>
          <w:color w:val="auto"/>
        </w:rPr>
        <w:t>”: as of any date of determination, indebtedness (contingent or otherwise) owing to sureties arising from surety bonds issued on behalf of any Group Member as support for, among other things, their contracts with customers, whether such indebtedness is owing directly or indirectly by such Group Member.</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SVB</w:t>
      </w:r>
      <w:r>
        <w:rPr>
          <w:rFonts w:ascii="Arial" w:cs="Arial" w:eastAsia="Arial" w:hAnsi="Arial"/>
          <w:sz w:val="20"/>
          <w:szCs w:val="20"/>
          <w:color w:val="auto"/>
        </w:rPr>
        <w:t>”: as defined in the preamble hereto.</w:t>
      </w:r>
    </w:p>
    <w:p>
      <w:pPr>
        <w:spacing w:after="0" w:line="16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Swap Agreement</w:t>
      </w:r>
      <w:r>
        <w:rPr>
          <w:rFonts w:ascii="Arial" w:cs="Arial" w:eastAsia="Arial" w:hAnsi="Arial"/>
          <w:sz w:val="20"/>
          <w:szCs w:val="20"/>
          <w:color w:val="auto"/>
        </w:rPr>
        <w:t xml:space="preserve">”: any agreement with respect to any swap, hedge, forward, future or derivative transaction or option or similar agreement (including without limitation, any Interest Rate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following shall not constitute “Swap Agreements”: (a) any phantom stock or similar plan providing for payments only on account of services provided by current or former directors, officers, employees or consultants of the Group Members, (b) any stock option or warrant agreement for the purchase of Capital Stock of the Borrower, (c) the purchase of Capital Stock or Indebtedness (including securities convertible into Capital Stock) of the Borrower pursuant to delayed delivery contracts, accelerated stock repurchase agreements, forward contracts or other similar agreements and (d) any of the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240"/>
          </w:cols>
          <w:pgMar w:left="320" w:top="771" w:right="339" w:bottom="1440" w:gutter="0" w:footer="0" w:header="0"/>
        </w:sectPr>
      </w:pPr>
    </w:p>
    <w:bookmarkStart w:id="422" w:name="page423"/>
    <w:bookmarkEnd w:id="422"/>
    <w:p>
      <w:pPr>
        <w:jc w:val="both"/>
        <w:spacing w:after="0" w:line="260" w:lineRule="auto"/>
        <w:rPr>
          <w:sz w:val="20"/>
          <w:szCs w:val="20"/>
          <w:color w:val="auto"/>
        </w:rPr>
      </w:pPr>
      <w:r>
        <w:rPr>
          <w:rFonts w:ascii="Arial" w:cs="Arial" w:eastAsia="Arial" w:hAnsi="Arial"/>
          <w:sz w:val="20"/>
          <w:szCs w:val="20"/>
          <w:color w:val="auto"/>
        </w:rPr>
        <w:t>items specified in the foregoing clauses (a) through (c), to the extent the same constitutes a derivative embedded in a convertible security issued by the Borrower.</w:t>
      </w:r>
    </w:p>
    <w:p>
      <w:pPr>
        <w:spacing w:after="0" w:line="12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Swap Obligation</w:t>
      </w:r>
      <w:r>
        <w:rPr>
          <w:rFonts w:ascii="Arial" w:cs="Arial" w:eastAsia="Arial" w:hAnsi="Arial"/>
          <w:sz w:val="19"/>
          <w:szCs w:val="19"/>
          <w:color w:val="auto"/>
        </w:rPr>
        <w:t>”: with respect to any Guarantor, any obligation of such Guarantor to pay or perform under any agreement, contract or transaction that constitutes a “swap” within the meaning of Section 1a(47) of the Commodity Exchange Act.</w:t>
      </w:r>
    </w:p>
    <w:p>
      <w:pPr>
        <w:spacing w:after="0" w:line="9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Swap Termination Value</w:t>
      </w:r>
      <w:r>
        <w:rPr>
          <w:rFonts w:ascii="Arial" w:cs="Arial" w:eastAsia="Arial" w:hAnsi="Arial"/>
          <w:sz w:val="20"/>
          <w:szCs w:val="20"/>
          <w:color w:val="auto"/>
        </w:rPr>
        <w:t>”: in respect of any one or more Swap Agreements, after taking into account the effect of any legally enforceable netting agreement relating to such Swap Agreements, (a) for any date on or after the date any such Swap Agreement has been closed out and termination value determined in accordance therewith, such termination value, and (b) for any date prior to the date referenced in clause (a), the amount determined as the mark-to-market value for such Swap Agreement, as determined based upon one or more mid-market or other readily available quotations provided by any recognized dealer in such Swap Agreements (which may include a Qualified Counterparty).</w:t>
      </w:r>
    </w:p>
    <w:p>
      <w:pPr>
        <w:spacing w:after="0" w:line="14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Swingline Commitment</w:t>
      </w:r>
      <w:r>
        <w:rPr>
          <w:rFonts w:ascii="Arial" w:cs="Arial" w:eastAsia="Arial" w:hAnsi="Arial"/>
          <w:sz w:val="20"/>
          <w:szCs w:val="20"/>
          <w:color w:val="auto"/>
        </w:rPr>
        <w:t xml:space="preserve">”: the obligation of the Swingline Lender to make Swingline Loans pursuant to </w:t>
      </w:r>
      <w:r>
        <w:rPr>
          <w:rFonts w:ascii="Arial" w:cs="Arial" w:eastAsia="Arial" w:hAnsi="Arial"/>
          <w:sz w:val="20"/>
          <w:szCs w:val="20"/>
          <w:u w:val="single" w:color="auto"/>
          <w:color w:val="auto"/>
        </w:rPr>
        <w:t>Section 2.6</w:t>
      </w:r>
      <w:r>
        <w:rPr>
          <w:rFonts w:ascii="Arial" w:cs="Arial" w:eastAsia="Arial" w:hAnsi="Arial"/>
          <w:sz w:val="20"/>
          <w:szCs w:val="20"/>
          <w:color w:val="auto"/>
        </w:rPr>
        <w:t xml:space="preserve"> in an aggregate principal amount at any one time outstanding not to exceed $10,000,000.</w:t>
      </w:r>
    </w:p>
    <w:p>
      <w:pPr>
        <w:spacing w:after="0" w:line="123"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Swingline Lender</w:t>
      </w:r>
      <w:r>
        <w:rPr>
          <w:rFonts w:ascii="Arial" w:cs="Arial" w:eastAsia="Arial" w:hAnsi="Arial"/>
          <w:sz w:val="18"/>
          <w:szCs w:val="18"/>
          <w:color w:val="auto"/>
        </w:rPr>
        <w:t xml:space="preserve">”: SVB, in its capacity as the lender of Swingline Loans or such other Lender as the Borrower may from time to time select as the Swingline Lender hereunder pursuant to </w:t>
      </w:r>
      <w:r>
        <w:rPr>
          <w:rFonts w:ascii="Arial" w:cs="Arial" w:eastAsia="Arial" w:hAnsi="Arial"/>
          <w:sz w:val="18"/>
          <w:szCs w:val="18"/>
          <w:u w:val="single" w:color="auto"/>
          <w:color w:val="auto"/>
        </w:rPr>
        <w:t>Section 2.7(f)</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such Lender has agreed to be a Swingline Lender.</w:t>
      </w:r>
    </w:p>
    <w:p>
      <w:pPr>
        <w:spacing w:after="0" w:line="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Swingline Loan Note</w:t>
      </w:r>
      <w:r>
        <w:rPr>
          <w:rFonts w:ascii="Arial" w:cs="Arial" w:eastAsia="Arial" w:hAnsi="Arial"/>
          <w:sz w:val="20"/>
          <w:szCs w:val="20"/>
          <w:color w:val="auto"/>
        </w:rPr>
        <w:t xml:space="preserve">”: a promissory note in the form of </w:t>
      </w:r>
      <w:r>
        <w:rPr>
          <w:rFonts w:ascii="Arial" w:cs="Arial" w:eastAsia="Arial" w:hAnsi="Arial"/>
          <w:sz w:val="20"/>
          <w:szCs w:val="20"/>
          <w:u w:val="single" w:color="auto"/>
          <w:color w:val="auto"/>
        </w:rPr>
        <w:t>Exhibit H-2</w:t>
      </w:r>
      <w:r>
        <w:rPr>
          <w:rFonts w:ascii="Arial" w:cs="Arial" w:eastAsia="Arial" w:hAnsi="Arial"/>
          <w:sz w:val="20"/>
          <w:szCs w:val="20"/>
          <w:color w:val="auto"/>
        </w:rPr>
        <w:t>, as it may be amended, supplemented or otherwise modified from time to time.</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Swingline Loans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2.6</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Swingline Participation Amount</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2.7(c)</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Synthetic Lease Obligation</w:t>
      </w:r>
      <w:r>
        <w:rPr>
          <w:rFonts w:ascii="Arial" w:cs="Arial" w:eastAsia="Arial" w:hAnsi="Arial"/>
          <w:sz w:val="20"/>
          <w:szCs w:val="20"/>
          <w:color w:val="auto"/>
        </w:rPr>
        <w:t>”: the monetary obligation of a Person under (a) a so-called synthetic, off-balance sheet or tax retention lease or (b) an agreement for the use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13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Taxes</w:t>
      </w:r>
      <w:r>
        <w:rPr>
          <w:rFonts w:ascii="Arial" w:cs="Arial" w:eastAsia="Arial" w:hAnsi="Arial"/>
          <w:sz w:val="18"/>
          <w:szCs w:val="18"/>
          <w:color w:val="auto"/>
        </w:rPr>
        <w:t>”: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Term SOFR</w:t>
      </w:r>
      <w:r>
        <w:rPr>
          <w:rFonts w:ascii="Arial" w:cs="Arial" w:eastAsia="Arial" w:hAnsi="Arial"/>
          <w:sz w:val="20"/>
          <w:szCs w:val="20"/>
          <w:color w:val="auto"/>
        </w:rPr>
        <w:t>”: for the applicable Corresponding Tenor as of the applicable Reference Time, the forward-looking term rate based on SOFR that has been selected or recommended by the Relevant Governmental Body.</w:t>
      </w:r>
    </w:p>
    <w:p>
      <w:pPr>
        <w:spacing w:after="0" w:line="12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Total L/C Commitments</w:t>
      </w:r>
      <w:r>
        <w:rPr>
          <w:rFonts w:ascii="Arial" w:cs="Arial" w:eastAsia="Arial" w:hAnsi="Arial"/>
          <w:sz w:val="19"/>
          <w:szCs w:val="19"/>
          <w:color w:val="auto"/>
        </w:rPr>
        <w:t xml:space="preserve">”: at any time, the sum of all L/C Commitments at such time, as the same may be reduced from time to time pursuant to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3.5(b)</w:t>
      </w:r>
      <w:r>
        <w:rPr>
          <w:rFonts w:ascii="Arial" w:cs="Arial" w:eastAsia="Arial" w:hAnsi="Arial"/>
          <w:sz w:val="19"/>
          <w:szCs w:val="19"/>
          <w:color w:val="auto"/>
        </w:rPr>
        <w:t>. The initial amount of the Total L/C Commitments on the Closing Date is $10,000,000.</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240"/>
          </w:cols>
          <w:pgMar w:left="320" w:top="771" w:right="339" w:bottom="1440" w:gutter="0" w:footer="0" w:header="0"/>
        </w:sectPr>
      </w:pPr>
    </w:p>
    <w:bookmarkStart w:id="423" w:name="page424"/>
    <w:bookmarkEnd w:id="423"/>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Total Liabilities</w:t>
      </w:r>
      <w:r>
        <w:rPr>
          <w:rFonts w:ascii="Arial" w:cs="Arial" w:eastAsia="Arial" w:hAnsi="Arial"/>
          <w:sz w:val="20"/>
          <w:szCs w:val="20"/>
          <w:color w:val="auto"/>
        </w:rPr>
        <w:t>”: on any date of determination, obligations that should, under GAAP, be classified as liabilities on the Borrower’s consolidated balance sheet, including all Indebtedness.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Total Revolving Commitments</w:t>
      </w:r>
      <w:r>
        <w:rPr>
          <w:rFonts w:ascii="Arial" w:cs="Arial" w:eastAsia="Arial" w:hAnsi="Arial"/>
          <w:sz w:val="20"/>
          <w:szCs w:val="20"/>
          <w:color w:val="auto"/>
        </w:rPr>
        <w:t>”: at any time, the aggregate amount of the Revolving Commitments then in effect.</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Total Revolving Extensions of Credit</w:t>
      </w:r>
      <w:r>
        <w:rPr>
          <w:rFonts w:ascii="Arial" w:cs="Arial" w:eastAsia="Arial" w:hAnsi="Arial"/>
          <w:sz w:val="20"/>
          <w:szCs w:val="20"/>
          <w:color w:val="auto"/>
        </w:rPr>
        <w:t>”: at any time, the aggregate amount of the Revolving Extensions of Credit outstanding at such time.</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Trade Date</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10.6(b)(i)(B)</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Transferee</w:t>
      </w:r>
      <w:r>
        <w:rPr>
          <w:rFonts w:ascii="Arial" w:cs="Arial" w:eastAsia="Arial" w:hAnsi="Arial"/>
          <w:sz w:val="20"/>
          <w:szCs w:val="20"/>
          <w:color w:val="auto"/>
        </w:rPr>
        <w:t>”: any Eligible Assignee or Participant.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Type</w:t>
      </w:r>
      <w:r>
        <w:rPr>
          <w:rFonts w:ascii="Arial" w:cs="Arial" w:eastAsia="Arial" w:hAnsi="Arial"/>
          <w:sz w:val="20"/>
          <w:szCs w:val="20"/>
          <w:color w:val="auto"/>
        </w:rPr>
        <w:t>”: as to any Loan, its nature as an ABR Loan or a Eurodollar Loan.</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UK Financial Institution</w:t>
      </w:r>
      <w:r>
        <w:rPr>
          <w:rFonts w:ascii="Arial" w:cs="Arial" w:eastAsia="Arial" w:hAnsi="Arial"/>
          <w:sz w:val="20"/>
          <w:szCs w:val="20"/>
          <w:color w:val="auto"/>
        </w:rPr>
        <w:t>”: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3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UK Resolution Authority</w:t>
      </w:r>
      <w:r>
        <w:rPr>
          <w:rFonts w:ascii="Arial" w:cs="Arial" w:eastAsia="Arial" w:hAnsi="Arial"/>
          <w:sz w:val="20"/>
          <w:szCs w:val="20"/>
          <w:color w:val="auto"/>
        </w:rPr>
        <w:t>”: the Bank of England or any other public administrative authority having responsibility for the resolution of any UK Financial Institution.</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Unadjusted Benchmark Replacement</w:t>
      </w:r>
      <w:r>
        <w:rPr>
          <w:rFonts w:ascii="Arial" w:cs="Arial" w:eastAsia="Arial" w:hAnsi="Arial"/>
          <w:sz w:val="20"/>
          <w:szCs w:val="20"/>
          <w:color w:val="auto"/>
        </w:rPr>
        <w:t>”: the applicable Benchmark Replacement excluding the related Benchmark Replacement Adjustment.</w:t>
      </w:r>
    </w:p>
    <w:p>
      <w:pPr>
        <w:spacing w:after="0" w:line="1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Unbilled Accounts Receivable</w:t>
      </w:r>
      <w:r>
        <w:rPr>
          <w:rFonts w:ascii="Arial" w:cs="Arial" w:eastAsia="Arial" w:hAnsi="Arial"/>
          <w:sz w:val="20"/>
          <w:szCs w:val="20"/>
          <w:color w:val="auto"/>
        </w:rPr>
        <w:t>”: Accounts of the Loan Parties with respect to which the invoice and other necessary billing documentation have not been submitted to the applicable Account Debtor in connection with a completed (or contracted) sale of goods, rendition of services or licensing of software, that are fully earned and are verifiable by the Administrative Agent and that will be collected under standard commercial terms acceptable to the Administrative Agent.</w:t>
      </w:r>
    </w:p>
    <w:p>
      <w:pPr>
        <w:spacing w:after="0" w:line="13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Unfriendly Acquisition</w:t>
      </w:r>
      <w:r>
        <w:rPr>
          <w:rFonts w:ascii="Arial" w:cs="Arial" w:eastAsia="Arial" w:hAnsi="Arial"/>
          <w:sz w:val="18"/>
          <w:szCs w:val="18"/>
          <w:color w:val="auto"/>
        </w:rPr>
        <w:t>”: any acquisition that has not, at the time of the first public announcement of an offer relating thereto, been approved by the board of directors (or other legally recognized governing body) of the Person to be acquired; except that with respect to any acquisition of a non-U.S. Person, an otherwise friendly acquisition shall not be deemed to be unfriendly if it is not customary in such jurisdiction to obtain such approval prior to the first public announcement of an offer relating to a friendly acquisition.</w:t>
      </w:r>
    </w:p>
    <w:p>
      <w:pPr>
        <w:spacing w:after="0" w:line="10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Uniform Commercial Code</w:t>
      </w:r>
      <w:r>
        <w:rPr>
          <w:rFonts w:ascii="Arial" w:cs="Arial" w:eastAsia="Arial" w:hAnsi="Arial"/>
          <w:sz w:val="20"/>
          <w:szCs w:val="20"/>
          <w:color w:val="auto"/>
        </w:rPr>
        <w:t>” or “</w:t>
      </w:r>
      <w:r>
        <w:rPr>
          <w:rFonts w:ascii="Arial" w:cs="Arial" w:eastAsia="Arial" w:hAnsi="Arial"/>
          <w:sz w:val="20"/>
          <w:szCs w:val="20"/>
          <w:b w:val="1"/>
          <w:bCs w:val="1"/>
          <w:i w:val="1"/>
          <w:iCs w:val="1"/>
          <w:color w:val="auto"/>
        </w:rPr>
        <w:t>UCC</w:t>
      </w:r>
      <w:r>
        <w:rPr>
          <w:rFonts w:ascii="Arial" w:cs="Arial" w:eastAsia="Arial" w:hAnsi="Arial"/>
          <w:sz w:val="20"/>
          <w:szCs w:val="20"/>
          <w:color w:val="auto"/>
        </w:rPr>
        <w:t>”: the Uniform Commercial Code (or any similar or equivalent legislation) as in effect from time to time in the State of New York, or as the context may require, any other applicable jurisdiction.</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United States</w:t>
      </w:r>
      <w:r>
        <w:rPr>
          <w:rFonts w:ascii="Arial" w:cs="Arial" w:eastAsia="Arial" w:hAnsi="Arial"/>
          <w:sz w:val="20"/>
          <w:szCs w:val="20"/>
          <w:color w:val="auto"/>
        </w:rPr>
        <w:t>” and “</w:t>
      </w:r>
      <w:r>
        <w:rPr>
          <w:rFonts w:ascii="Arial" w:cs="Arial" w:eastAsia="Arial" w:hAnsi="Arial"/>
          <w:sz w:val="20"/>
          <w:szCs w:val="20"/>
          <w:b w:val="1"/>
          <w:bCs w:val="1"/>
          <w:i w:val="1"/>
          <w:iCs w:val="1"/>
          <w:color w:val="auto"/>
        </w:rPr>
        <w:t>U.S.</w:t>
      </w:r>
      <w:r>
        <w:rPr>
          <w:rFonts w:ascii="Arial" w:cs="Arial" w:eastAsia="Arial" w:hAnsi="Arial"/>
          <w:sz w:val="20"/>
          <w:szCs w:val="20"/>
          <w:color w:val="auto"/>
        </w:rPr>
        <w:t>”: the United States of America.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USCRO</w:t>
      </w:r>
      <w:r>
        <w:rPr>
          <w:rFonts w:ascii="Arial" w:cs="Arial" w:eastAsia="Arial" w:hAnsi="Arial"/>
          <w:sz w:val="20"/>
          <w:szCs w:val="20"/>
          <w:color w:val="auto"/>
        </w:rPr>
        <w:t>”: the U.S. Copyright Office.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USPTO</w:t>
      </w:r>
      <w:r>
        <w:rPr>
          <w:rFonts w:ascii="Arial" w:cs="Arial" w:eastAsia="Arial" w:hAnsi="Arial"/>
          <w:sz w:val="20"/>
          <w:szCs w:val="20"/>
          <w:color w:val="auto"/>
        </w:rPr>
        <w:t>”: the U.S. Patent and Trademark Office.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U.S. Person</w:t>
      </w:r>
      <w:r>
        <w:rPr>
          <w:rFonts w:ascii="Arial" w:cs="Arial" w:eastAsia="Arial" w:hAnsi="Arial"/>
          <w:sz w:val="20"/>
          <w:szCs w:val="20"/>
          <w:color w:val="auto"/>
        </w:rPr>
        <w:t>”: any Person that is a “United States person” as defined in Section 7701(a)(30) of the Code.</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240"/>
          </w:cols>
          <w:pgMar w:left="320" w:top="771" w:right="339" w:bottom="1440" w:gutter="0" w:footer="0" w:header="0"/>
        </w:sectPr>
      </w:pPr>
    </w:p>
    <w:bookmarkStart w:id="424" w:name="page425"/>
    <w:bookmarkEnd w:id="424"/>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U.S. Tax Compliance Certificate</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2.20(f)</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Withholding Agent</w:t>
      </w:r>
      <w:r>
        <w:rPr>
          <w:rFonts w:ascii="Arial" w:cs="Arial" w:eastAsia="Arial" w:hAnsi="Arial"/>
          <w:sz w:val="18"/>
          <w:szCs w:val="18"/>
          <w:color w:val="auto"/>
        </w:rPr>
        <w:t>”: as applicable, any of any applicable Loan Party and the Administrative Agent, as the context may require.</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Write-Down and Conversion Powers</w:t>
      </w:r>
      <w:r>
        <w:rPr>
          <w:rFonts w:ascii="Arial" w:cs="Arial" w:eastAsia="Arial" w:hAnsi="Arial"/>
          <w:sz w:val="19"/>
          <w:szCs w:val="19"/>
          <w:color w:val="auto"/>
        </w:rPr>
        <w:t>”: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2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8"/>
          <w:szCs w:val="18"/>
          <w:b w:val="1"/>
          <w:bCs w:val="1"/>
          <w:color w:val="auto"/>
        </w:rPr>
        <w:t>Other Definitional Provisions</w:t>
      </w:r>
      <w:r>
        <w:rPr>
          <w:rFonts w:ascii="Arial" w:cs="Arial" w:eastAsia="Arial" w:hAnsi="Arial"/>
          <w:sz w:val="18"/>
          <w:szCs w:val="18"/>
          <w:color w:val="auto"/>
        </w:rPr>
        <w:t>.</w:t>
      </w:r>
    </w:p>
    <w:p>
      <w:pPr>
        <w:spacing w:after="0" w:line="168" w:lineRule="exact"/>
        <w:rPr>
          <w:sz w:val="20"/>
          <w:szCs w:val="20"/>
          <w:color w:val="auto"/>
        </w:rPr>
      </w:pPr>
    </w:p>
    <w:p>
      <w:pPr>
        <w:ind w:firstLine="1304"/>
        <w:spacing w:after="0" w:line="260" w:lineRule="auto"/>
        <w:tabs>
          <w:tab w:leader="none" w:pos="1755" w:val="left"/>
        </w:tabs>
        <w:numPr>
          <w:ilvl w:val="1"/>
          <w:numId w:val="344"/>
        </w:numPr>
        <w:rPr>
          <w:rFonts w:ascii="Arial" w:cs="Arial" w:eastAsia="Arial" w:hAnsi="Arial"/>
          <w:sz w:val="20"/>
          <w:szCs w:val="20"/>
          <w:color w:val="auto"/>
        </w:rPr>
      </w:pPr>
      <w:r>
        <w:rPr>
          <w:rFonts w:ascii="Arial" w:cs="Arial" w:eastAsia="Arial" w:hAnsi="Arial"/>
          <w:sz w:val="20"/>
          <w:szCs w:val="20"/>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122" w:lineRule="exact"/>
        <w:rPr>
          <w:rFonts w:ascii="Arial" w:cs="Arial" w:eastAsia="Arial" w:hAnsi="Arial"/>
          <w:sz w:val="20"/>
          <w:szCs w:val="20"/>
          <w:color w:val="auto"/>
        </w:rPr>
      </w:pPr>
    </w:p>
    <w:p>
      <w:pPr>
        <w:jc w:val="both"/>
        <w:ind w:firstLine="1304"/>
        <w:spacing w:after="0" w:line="269" w:lineRule="auto"/>
        <w:tabs>
          <w:tab w:leader="none" w:pos="1744" w:val="left"/>
        </w:tabs>
        <w:numPr>
          <w:ilvl w:val="1"/>
          <w:numId w:val="344"/>
        </w:numPr>
        <w:rPr>
          <w:rFonts w:ascii="Arial" w:cs="Arial" w:eastAsia="Arial" w:hAnsi="Arial"/>
          <w:sz w:val="18"/>
          <w:szCs w:val="18"/>
          <w:color w:val="auto"/>
        </w:rPr>
      </w:pPr>
      <w:r>
        <w:rPr>
          <w:rFonts w:ascii="Arial" w:cs="Arial" w:eastAsia="Arial" w:hAnsi="Arial"/>
          <w:sz w:val="18"/>
          <w:szCs w:val="18"/>
          <w:color w:val="auto"/>
        </w:rPr>
        <w:t xml:space="preserve">As used herein and in the other Loan Documents, and in any certificate or other document made or delivered pursuant hereto or thereto, (i) accounting terms relating to any Group Member not defined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and accounting terms partly defined in </w:t>
      </w:r>
      <w:r>
        <w:rPr>
          <w:rFonts w:ascii="Arial" w:cs="Arial" w:eastAsia="Arial" w:hAnsi="Arial"/>
          <w:sz w:val="18"/>
          <w:szCs w:val="18"/>
          <w:u w:val="single" w:color="auto"/>
          <w:color w:val="auto"/>
        </w:rPr>
        <w:t>Section 1.1</w:t>
      </w:r>
      <w:r>
        <w:rPr>
          <w:rFonts w:ascii="Arial" w:cs="Arial" w:eastAsia="Arial" w:hAnsi="Arial"/>
          <w:sz w:val="18"/>
          <w:szCs w:val="18"/>
          <w:color w:val="auto"/>
        </w:rPr>
        <w:t>, to the extent not defined,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w:t>
      </w:r>
    </w:p>
    <w:p>
      <w:pPr>
        <w:spacing w:after="0" w:line="3" w:lineRule="exact"/>
        <w:rPr>
          <w:rFonts w:ascii="Arial" w:cs="Arial" w:eastAsia="Arial" w:hAnsi="Arial"/>
          <w:sz w:val="18"/>
          <w:szCs w:val="18"/>
          <w:color w:val="auto"/>
        </w:rPr>
      </w:pPr>
    </w:p>
    <w:p>
      <w:pPr>
        <w:jc w:val="both"/>
        <w:ind w:firstLine="8"/>
        <w:spacing w:after="0" w:line="252" w:lineRule="auto"/>
        <w:tabs>
          <w:tab w:leader="none" w:pos="367" w:val="left"/>
        </w:tabs>
        <w:numPr>
          <w:ilvl w:val="0"/>
          <w:numId w:val="345"/>
        </w:numPr>
        <w:rPr>
          <w:rFonts w:ascii="Arial" w:cs="Arial" w:eastAsia="Arial" w:hAnsi="Arial"/>
          <w:sz w:val="19"/>
          <w:szCs w:val="19"/>
          <w:color w:val="auto"/>
        </w:rPr>
      </w:pPr>
      <w:r>
        <w:rPr>
          <w:rFonts w:ascii="Arial" w:cs="Arial" w:eastAsia="Arial" w:hAnsi="Arial"/>
          <w:sz w:val="19"/>
          <w:szCs w:val="19"/>
          <w:color w:val="auto"/>
        </w:rPr>
        <w:t>the words “asset” and “property” shall be construed to have the same meaning and effect and to refer to any and all tangible and intangible assets and properties, including cash, Capital Stock, securities, revenues, accounts, leasehold interests and contract rights,</w:t>
      </w:r>
    </w:p>
    <w:p>
      <w:pPr>
        <w:jc w:val="both"/>
        <w:ind w:firstLine="8"/>
        <w:spacing w:after="0" w:line="281" w:lineRule="auto"/>
        <w:tabs>
          <w:tab w:leader="none" w:pos="291" w:val="left"/>
        </w:tabs>
        <w:numPr>
          <w:ilvl w:val="0"/>
          <w:numId w:val="345"/>
        </w:numPr>
        <w:rPr>
          <w:rFonts w:ascii="Arial" w:cs="Arial" w:eastAsia="Arial" w:hAnsi="Arial"/>
          <w:sz w:val="18"/>
          <w:szCs w:val="18"/>
          <w:color w:val="auto"/>
        </w:rPr>
      </w:pPr>
      <w:r>
        <w:rPr>
          <w:rFonts w:ascii="Arial" w:cs="Arial" w:eastAsia="Arial" w:hAnsi="Arial"/>
          <w:sz w:val="18"/>
          <w:szCs w:val="18"/>
          <w:color w:val="auto"/>
        </w:rPr>
        <w:t>references to a given time of day shall, unless otherwise specified, be deemed to refer to Pacific time, and (vi) references to agreements (including this Agreement) or other Contractual Obligations shall, unless otherwise specified, be deemed to refer to such agreements or Contractual Obligations as amended, supplemented, restated, amended and restated or otherwise modified from time to time.</w:t>
      </w:r>
    </w:p>
    <w:p>
      <w:pPr>
        <w:spacing w:after="0" w:line="107" w:lineRule="exact"/>
        <w:rPr>
          <w:rFonts w:ascii="Arial" w:cs="Arial" w:eastAsia="Arial" w:hAnsi="Arial"/>
          <w:sz w:val="18"/>
          <w:szCs w:val="18"/>
          <w:color w:val="auto"/>
        </w:rPr>
      </w:pPr>
    </w:p>
    <w:p>
      <w:pPr>
        <w:jc w:val="both"/>
        <w:ind w:firstLine="1304"/>
        <w:spacing w:after="0" w:line="243" w:lineRule="auto"/>
        <w:tabs>
          <w:tab w:leader="none" w:pos="1737" w:val="left"/>
        </w:tabs>
        <w:numPr>
          <w:ilvl w:val="1"/>
          <w:numId w:val="345"/>
        </w:numPr>
        <w:rPr>
          <w:rFonts w:ascii="Arial" w:cs="Arial" w:eastAsia="Arial" w:hAnsi="Arial"/>
          <w:sz w:val="20"/>
          <w:szCs w:val="20"/>
          <w:color w:val="auto"/>
        </w:rPr>
      </w:pPr>
      <w:r>
        <w:rPr>
          <w:rFonts w:ascii="Arial" w:cs="Arial" w:eastAsia="Arial" w:hAnsi="Arial"/>
          <w:sz w:val="20"/>
          <w:szCs w:val="20"/>
          <w:color w:val="auto"/>
        </w:rPr>
        <w:t>The words “</w:t>
      </w:r>
      <w:r>
        <w:rPr>
          <w:rFonts w:ascii="Arial" w:cs="Arial" w:eastAsia="Arial" w:hAnsi="Arial"/>
          <w:sz w:val="20"/>
          <w:szCs w:val="20"/>
          <w:b w:val="1"/>
          <w:bCs w:val="1"/>
          <w:i w:val="1"/>
          <w:iCs w:val="1"/>
          <w:color w:val="auto"/>
        </w:rPr>
        <w:t>hereof</w:t>
      </w:r>
      <w:r>
        <w:rPr>
          <w:rFonts w:ascii="Arial" w:cs="Arial" w:eastAsia="Arial" w:hAnsi="Arial"/>
          <w:sz w:val="20"/>
          <w:szCs w:val="20"/>
          <w:color w:val="auto"/>
        </w:rPr>
        <w:t>,” “</w:t>
      </w:r>
      <w:r>
        <w:rPr>
          <w:rFonts w:ascii="Arial" w:cs="Arial" w:eastAsia="Arial" w:hAnsi="Arial"/>
          <w:sz w:val="20"/>
          <w:szCs w:val="20"/>
          <w:b w:val="1"/>
          <w:bCs w:val="1"/>
          <w:i w:val="1"/>
          <w:iCs w:val="1"/>
          <w:color w:val="auto"/>
        </w:rPr>
        <w:t>herein</w:t>
      </w:r>
      <w:r>
        <w:rPr>
          <w:rFonts w:ascii="Arial" w:cs="Arial" w:eastAsia="Arial" w:hAnsi="Arial"/>
          <w:sz w:val="20"/>
          <w:szCs w:val="20"/>
          <w:color w:val="auto"/>
        </w:rPr>
        <w:t>” and “</w:t>
      </w:r>
      <w:r>
        <w:rPr>
          <w:rFonts w:ascii="Arial" w:cs="Arial" w:eastAsia="Arial" w:hAnsi="Arial"/>
          <w:sz w:val="20"/>
          <w:szCs w:val="20"/>
          <w:b w:val="1"/>
          <w:bCs w:val="1"/>
          <w:i w:val="1"/>
          <w:iCs w:val="1"/>
          <w:color w:val="auto"/>
        </w:rPr>
        <w:t>hereunder</w:t>
      </w:r>
      <w:r>
        <w:rPr>
          <w:rFonts w:ascii="Arial" w:cs="Arial" w:eastAsia="Arial" w:hAnsi="Arial"/>
          <w:sz w:val="20"/>
          <w:szCs w:val="20"/>
          <w:color w:val="auto"/>
        </w:rPr>
        <w:t>” and words of similar import, when used in this Agreement, shall refer to this Agreement as a whole and not to any particular provision of this Agreement, unless otherwise specified. The word “will” shall be construed to have the same meaning and effect as the word “shall.” Unless the context requires otherwise, (i) any reference herein to any Person shall be construed to include such Person’s successors and assigns, (ii) all references herein to Articles, Sections, Exhibits and Schedules shall be construed to refer to Articles and Sections of, and Exhibits and Schedules to, this Agreement, and (iii) any reference to any law or regulation herein shall, unless otherwise specified, refer to such law or regulation as amended, modified or supplemented from time to time.</w:t>
      </w:r>
    </w:p>
    <w:p>
      <w:pPr>
        <w:spacing w:after="0" w:line="138" w:lineRule="exact"/>
        <w:rPr>
          <w:rFonts w:ascii="Arial" w:cs="Arial" w:eastAsia="Arial" w:hAnsi="Arial"/>
          <w:sz w:val="20"/>
          <w:szCs w:val="20"/>
          <w:color w:val="auto"/>
        </w:rPr>
      </w:pPr>
    </w:p>
    <w:p>
      <w:pPr>
        <w:ind w:right="20" w:firstLine="1304"/>
        <w:spacing w:after="0" w:line="287" w:lineRule="auto"/>
        <w:tabs>
          <w:tab w:leader="none" w:pos="1773" w:val="left"/>
        </w:tabs>
        <w:numPr>
          <w:ilvl w:val="1"/>
          <w:numId w:val="345"/>
        </w:numPr>
        <w:rPr>
          <w:rFonts w:ascii="Arial" w:cs="Arial" w:eastAsia="Arial" w:hAnsi="Arial"/>
          <w:sz w:val="19"/>
          <w:szCs w:val="19"/>
          <w:color w:val="auto"/>
        </w:rPr>
      </w:pPr>
      <w:r>
        <w:rPr>
          <w:rFonts w:ascii="Arial" w:cs="Arial" w:eastAsia="Arial" w:hAnsi="Arial"/>
          <w:sz w:val="19"/>
          <w:szCs w:val="19"/>
          <w:color w:val="auto"/>
        </w:rPr>
        <w:t>The meanings given to terms defined herein shall be equally applicable to both the singular and plural forms of such terms. Whenever the context may require, any pronoun shall include the corresponding masculine, feminine and neuter forms.</w:t>
      </w:r>
    </w:p>
    <w:p>
      <w:pPr>
        <w:spacing w:after="0" w:line="98" w:lineRule="exact"/>
        <w:rPr>
          <w:rFonts w:ascii="Arial" w:cs="Arial" w:eastAsia="Arial" w:hAnsi="Arial"/>
          <w:sz w:val="19"/>
          <w:szCs w:val="19"/>
          <w:color w:val="auto"/>
        </w:rPr>
      </w:pPr>
    </w:p>
    <w:p>
      <w:pPr>
        <w:ind w:firstLine="1304"/>
        <w:spacing w:after="0" w:line="260" w:lineRule="auto"/>
        <w:tabs>
          <w:tab w:leader="none" w:pos="1776" w:val="left"/>
        </w:tabs>
        <w:numPr>
          <w:ilvl w:val="1"/>
          <w:numId w:val="345"/>
        </w:numPr>
        <w:rPr>
          <w:rFonts w:ascii="Arial" w:cs="Arial" w:eastAsia="Arial" w:hAnsi="Arial"/>
          <w:sz w:val="20"/>
          <w:szCs w:val="20"/>
          <w:color w:val="auto"/>
        </w:rPr>
      </w:pPr>
      <w:r>
        <w:rPr>
          <w:rFonts w:ascii="Arial" w:cs="Arial" w:eastAsia="Arial" w:hAnsi="Arial"/>
          <w:sz w:val="20"/>
          <w:szCs w:val="20"/>
          <w:color w:val="auto"/>
        </w:rPr>
        <w:t>Any reference in any Loan Document to a merger, transfer, consolidation, amalgamation, consolidation, assignment, sale, disposition or transfer, or similar term, shall be deemed to</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240"/>
          </w:cols>
          <w:pgMar w:left="320" w:top="771" w:right="339" w:bottom="1440" w:gutter="0" w:footer="0" w:header="0"/>
        </w:sectPr>
      </w:pPr>
    </w:p>
    <w:bookmarkStart w:id="425" w:name="page426"/>
    <w:bookmarkEnd w:id="425"/>
    <w:p>
      <w:pPr>
        <w:jc w:val="both"/>
        <w:spacing w:after="0" w:line="257" w:lineRule="auto"/>
        <w:rPr>
          <w:sz w:val="20"/>
          <w:szCs w:val="20"/>
          <w:color w:val="auto"/>
        </w:rPr>
      </w:pPr>
      <w:r>
        <w:rPr>
          <w:rFonts w:ascii="Arial" w:cs="Arial" w:eastAsia="Arial" w:hAnsi="Arial"/>
          <w:sz w:val="19"/>
          <w:szCs w:val="19"/>
          <w:color w:val="auto"/>
        </w:rPr>
        <w:t>apply to a Division of or by a limited liability company, or an allocation of assets to a series of a limited liability company (or the unwinding of such a Division or allocation), as if it were a merger, transfer, consolidation, amalgamation, consolidation, assignment, sale or transfer, or similar term, as applicable, to, of or with a separate Person. Any Division of a limited liability company shall constitute a separate Person under the Loan Documents (and each Division of any limited liability company that is a Subsidiary, joint venture or any other like term shall also constitute such a Person) on the first date of its existence. In connection with any Division, if any asset, right, obligation or liability of any Person becomes the asset, right, obligation or liability of a different Person, then such asset shall be deemed to have been transferred from the original Person to the subsequent Person.</w:t>
      </w:r>
    </w:p>
    <w:p>
      <w:pPr>
        <w:spacing w:after="0" w:line="12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b w:val="1"/>
          <w:bCs w:val="1"/>
          <w:color w:val="auto"/>
        </w:rPr>
        <w:t>1.3 Rounding</w:t>
      </w:r>
      <w:r>
        <w:rPr>
          <w:rFonts w:ascii="Arial" w:cs="Arial" w:eastAsia="Arial" w:hAnsi="Arial"/>
          <w:sz w:val="18"/>
          <w:szCs w:val="18"/>
          <w:color w:val="auto"/>
        </w:rPr>
        <w:t>. Any financial ratios required to be maintained by the Borrower pursuant to this Agreement shall be calculated by</w:t>
      </w:r>
      <w:r>
        <w:rPr>
          <w:rFonts w:ascii="Arial" w:cs="Arial" w:eastAsia="Arial" w:hAnsi="Arial"/>
          <w:sz w:val="18"/>
          <w:szCs w:val="18"/>
          <w:b w:val="1"/>
          <w:bCs w:val="1"/>
          <w:color w:val="auto"/>
        </w:rPr>
        <w:t xml:space="preserve"> </w:t>
      </w:r>
      <w:r>
        <w:rPr>
          <w:rFonts w:ascii="Arial" w:cs="Arial" w:eastAsia="Arial" w:hAnsi="Arial"/>
          <w:sz w:val="18"/>
          <w:szCs w:val="18"/>
          <w:color w:val="auto"/>
        </w:rPr>
        <w:t>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9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16"/>
          <w:szCs w:val="16"/>
          <w:b w:val="1"/>
          <w:bCs w:val="1"/>
          <w:color w:val="auto"/>
        </w:rPr>
        <w:t>Exchange Rates</w:t>
      </w:r>
      <w:r>
        <w:rPr>
          <w:rFonts w:ascii="Arial" w:cs="Arial" w:eastAsia="Arial" w:hAnsi="Arial"/>
          <w:sz w:val="16"/>
          <w:szCs w:val="16"/>
          <w:color w:val="auto"/>
        </w:rPr>
        <w:t>.</w:t>
      </w:r>
    </w:p>
    <w:p>
      <w:pPr>
        <w:spacing w:after="0" w:line="168" w:lineRule="exact"/>
        <w:rPr>
          <w:sz w:val="20"/>
          <w:szCs w:val="20"/>
          <w:color w:val="auto"/>
        </w:rPr>
      </w:pPr>
    </w:p>
    <w:p>
      <w:pPr>
        <w:jc w:val="both"/>
        <w:ind w:firstLine="1304"/>
        <w:spacing w:after="0" w:line="243" w:lineRule="auto"/>
        <w:tabs>
          <w:tab w:leader="none" w:pos="1754" w:val="left"/>
        </w:tabs>
        <w:numPr>
          <w:ilvl w:val="0"/>
          <w:numId w:val="346"/>
        </w:numPr>
        <w:rPr>
          <w:rFonts w:ascii="Arial" w:cs="Arial" w:eastAsia="Arial" w:hAnsi="Arial"/>
          <w:sz w:val="20"/>
          <w:szCs w:val="20"/>
          <w:color w:val="auto"/>
        </w:rPr>
      </w:pPr>
      <w:r>
        <w:rPr>
          <w:rFonts w:ascii="Arial" w:cs="Arial" w:eastAsia="Arial" w:hAnsi="Arial"/>
          <w:sz w:val="20"/>
          <w:szCs w:val="20"/>
          <w:color w:val="auto"/>
        </w:rPr>
        <w:t>The Administrative Agent or the Issuing Lender, as applicable, shall determine the Spot Rates as of each Revaluation Date to be used for calculating Dollar Equivalent amounts of Revolving Extensions of Credit denominated in Alternative Currencies. Such Spot Rates shall become effective as of such Revaluation Date and shall be the Spot Rates employed in converting any amounts between the applicable currencies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or the Issuing Lender, as applicable.</w:t>
      </w:r>
    </w:p>
    <w:p>
      <w:pPr>
        <w:spacing w:after="0" w:line="138" w:lineRule="exact"/>
        <w:rPr>
          <w:rFonts w:ascii="Arial" w:cs="Arial" w:eastAsia="Arial" w:hAnsi="Arial"/>
          <w:sz w:val="20"/>
          <w:szCs w:val="20"/>
          <w:color w:val="auto"/>
        </w:rPr>
      </w:pPr>
    </w:p>
    <w:p>
      <w:pPr>
        <w:jc w:val="both"/>
        <w:ind w:firstLine="1304"/>
        <w:spacing w:after="0" w:line="282" w:lineRule="auto"/>
        <w:tabs>
          <w:tab w:leader="none" w:pos="1742" w:val="left"/>
        </w:tabs>
        <w:numPr>
          <w:ilvl w:val="0"/>
          <w:numId w:val="346"/>
        </w:numPr>
        <w:rPr>
          <w:rFonts w:ascii="Arial" w:cs="Arial" w:eastAsia="Arial" w:hAnsi="Arial"/>
          <w:sz w:val="18"/>
          <w:szCs w:val="18"/>
          <w:color w:val="auto"/>
        </w:rPr>
      </w:pPr>
      <w:r>
        <w:rPr>
          <w:rFonts w:ascii="Arial" w:cs="Arial" w:eastAsia="Arial" w:hAnsi="Arial"/>
          <w:sz w:val="18"/>
          <w:szCs w:val="18"/>
          <w:color w:val="auto"/>
        </w:rPr>
        <w:t>Wherever in this Agreement the issuance, amendment or extension of a Letter of Credit, an amount, such as a required minimum or multiple amount, is expressed in Dollars, but such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Issuing Lender, as the case may be.</w:t>
      </w:r>
    </w:p>
    <w:p>
      <w:pPr>
        <w:spacing w:after="0" w:line="10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1.5</w:t>
      </w:r>
      <w:r>
        <w:rPr>
          <w:sz w:val="20"/>
          <w:szCs w:val="20"/>
          <w:color w:val="auto"/>
        </w:rPr>
        <w:tab/>
      </w:r>
      <w:r>
        <w:rPr>
          <w:rFonts w:ascii="Arial" w:cs="Arial" w:eastAsia="Arial" w:hAnsi="Arial"/>
          <w:sz w:val="18"/>
          <w:szCs w:val="18"/>
          <w:b w:val="1"/>
          <w:bCs w:val="1"/>
          <w:color w:val="auto"/>
        </w:rPr>
        <w:t>Alternative Currencies</w:t>
      </w:r>
      <w:r>
        <w:rPr>
          <w:rFonts w:ascii="Arial" w:cs="Arial" w:eastAsia="Arial" w:hAnsi="Arial"/>
          <w:sz w:val="18"/>
          <w:szCs w:val="18"/>
          <w:color w:val="auto"/>
        </w:rPr>
        <w:t>.</w:t>
      </w:r>
    </w:p>
    <w:p>
      <w:pPr>
        <w:spacing w:after="0" w:line="168" w:lineRule="exact"/>
        <w:rPr>
          <w:sz w:val="20"/>
          <w:szCs w:val="20"/>
          <w:color w:val="auto"/>
        </w:rPr>
      </w:pPr>
    </w:p>
    <w:p>
      <w:pPr>
        <w:jc w:val="both"/>
        <w:ind w:firstLine="1304"/>
        <w:spacing w:after="0" w:line="246" w:lineRule="auto"/>
        <w:tabs>
          <w:tab w:leader="none" w:pos="1728" w:val="left"/>
        </w:tabs>
        <w:numPr>
          <w:ilvl w:val="0"/>
          <w:numId w:val="347"/>
        </w:numPr>
        <w:rPr>
          <w:rFonts w:ascii="Arial" w:cs="Arial" w:eastAsia="Arial" w:hAnsi="Arial"/>
          <w:sz w:val="20"/>
          <w:szCs w:val="20"/>
          <w:color w:val="auto"/>
        </w:rPr>
      </w:pPr>
      <w:r>
        <w:rPr>
          <w:rFonts w:ascii="Arial" w:cs="Arial" w:eastAsia="Arial" w:hAnsi="Arial"/>
          <w:sz w:val="20"/>
          <w:szCs w:val="20"/>
          <w:color w:val="auto"/>
        </w:rPr>
        <w:t xml:space="preserve">The Borrower may from time to time request that Letters of Credit be issued in a currency other than those specifically listed in the definition of “Alternative Currency”;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such requested currency is a lawful currency that is readily available and freely transferable and convertible into Dollars, Any such request shall be subject to the approval of the Administrative Agent and the Issuing Lender.</w:t>
      </w:r>
    </w:p>
    <w:p>
      <w:pPr>
        <w:spacing w:after="0" w:line="137" w:lineRule="exact"/>
        <w:rPr>
          <w:rFonts w:ascii="Arial" w:cs="Arial" w:eastAsia="Arial" w:hAnsi="Arial"/>
          <w:sz w:val="20"/>
          <w:szCs w:val="20"/>
          <w:color w:val="auto"/>
        </w:rPr>
      </w:pPr>
    </w:p>
    <w:p>
      <w:pPr>
        <w:jc w:val="both"/>
        <w:ind w:firstLine="1304"/>
        <w:spacing w:after="0" w:line="260" w:lineRule="auto"/>
        <w:tabs>
          <w:tab w:leader="none" w:pos="1730" w:val="left"/>
        </w:tabs>
        <w:numPr>
          <w:ilvl w:val="0"/>
          <w:numId w:val="347"/>
        </w:numPr>
        <w:rPr>
          <w:rFonts w:ascii="Arial" w:cs="Arial" w:eastAsia="Arial" w:hAnsi="Arial"/>
          <w:sz w:val="19"/>
          <w:szCs w:val="19"/>
          <w:color w:val="auto"/>
        </w:rPr>
      </w:pPr>
      <w:r>
        <w:rPr>
          <w:rFonts w:ascii="Arial" w:cs="Arial" w:eastAsia="Arial" w:hAnsi="Arial"/>
          <w:sz w:val="19"/>
          <w:szCs w:val="19"/>
          <w:color w:val="auto"/>
        </w:rPr>
        <w:t>Any such request shall be made to the Administrative Agent not later than 11:00 a.m., twenty (20) Business Days prior to the date of the desired Credit Extension (or such other time or date as may be agreed by the Administrative Agent and Issuing Lender, in their sole discretion). After receipt of such request, the Administrative Agent shall promptly notify the Issuing Lender thereof. The Issuing Lender shall notify the Administrative Agent, not later than ten (10) Business Days after receipt of such request whether it consents, in its sole discretion, to the issuance of Letters of Credit in such requested currency.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240"/>
          </w:cols>
          <w:pgMar w:left="320" w:top="771" w:right="339" w:bottom="1440" w:gutter="0" w:footer="0" w:header="0"/>
        </w:sectPr>
      </w:pPr>
    </w:p>
    <w:bookmarkStart w:id="426" w:name="page427"/>
    <w:bookmarkEnd w:id="426"/>
    <w:p>
      <w:pPr>
        <w:jc w:val="both"/>
        <w:ind w:firstLine="1304"/>
        <w:spacing w:after="0" w:line="274" w:lineRule="auto"/>
        <w:tabs>
          <w:tab w:leader="none" w:pos="1721"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Any failure by the Issuing Lender to respond to such request within the time period specified in the preceding sentence shall be deemed to be a refusal by the Issuing Lender of Letters of Credit to be issued in such requested currency. If the Administrative Agent and the Issuing Lender consent to the issuance of Letters of Credit in such requested currency, the Administrative Agent shall so notify the Borrower and such currency shall thereupon be deemed for all purposes to be an Alternative Currency. If the Administrative Agent shall fail to obtain consent to any request for an additional currency under this Section 1.5, the Administrative Agent shall promptly so notify the Borrower. Any specified currency of an Existing Letter of Credit that is neither Dollars nor one of the Alternative Currencies specifically listed in the definition of “Alternative Currency” shall be deemed an Alternative Currency with respect to such Existing Letter of Credit only.</w:t>
      </w:r>
    </w:p>
    <w:p>
      <w:pPr>
        <w:spacing w:after="0" w:line="114" w:lineRule="exact"/>
        <w:rPr>
          <w:rFonts w:ascii="Arial" w:cs="Arial" w:eastAsia="Arial" w:hAnsi="Arial"/>
          <w:sz w:val="18"/>
          <w:szCs w:val="18"/>
          <w:color w:val="auto"/>
        </w:rPr>
      </w:pPr>
    </w:p>
    <w:p>
      <w:pPr>
        <w:jc w:val="both"/>
        <w:ind w:firstLine="1304"/>
        <w:spacing w:after="0" w:line="250" w:lineRule="auto"/>
        <w:tabs>
          <w:tab w:leader="none" w:pos="1753" w:val="left"/>
        </w:tabs>
        <w:numPr>
          <w:ilvl w:val="0"/>
          <w:numId w:val="348"/>
        </w:numPr>
        <w:rPr>
          <w:rFonts w:ascii="Arial" w:cs="Arial" w:eastAsia="Arial" w:hAnsi="Arial"/>
          <w:sz w:val="20"/>
          <w:szCs w:val="20"/>
          <w:color w:val="auto"/>
        </w:rPr>
      </w:pPr>
      <w:r>
        <w:rPr>
          <w:rFonts w:ascii="Arial" w:cs="Arial" w:eastAsia="Arial" w:hAnsi="Arial"/>
          <w:sz w:val="20"/>
          <w:szCs w:val="20"/>
          <w:color w:val="auto"/>
        </w:rPr>
        <w:t>Each obligation of the Borrower to make a payment denominated in the national currency unit of any member state of the European Union that adopts the Euro as its lawful currency after the Original Closing Date shall be redenominated into Euro at the time of such adoption.</w:t>
      </w:r>
    </w:p>
    <w:p>
      <w:pPr>
        <w:spacing w:after="0" w:line="131" w:lineRule="exact"/>
        <w:rPr>
          <w:rFonts w:ascii="Arial" w:cs="Arial" w:eastAsia="Arial" w:hAnsi="Arial"/>
          <w:sz w:val="20"/>
          <w:szCs w:val="20"/>
          <w:color w:val="auto"/>
        </w:rPr>
      </w:pPr>
    </w:p>
    <w:p>
      <w:pPr>
        <w:jc w:val="both"/>
        <w:ind w:firstLine="1304"/>
        <w:spacing w:after="0" w:line="250" w:lineRule="auto"/>
        <w:tabs>
          <w:tab w:leader="none" w:pos="1792" w:val="left"/>
        </w:tabs>
        <w:numPr>
          <w:ilvl w:val="0"/>
          <w:numId w:val="348"/>
        </w:numPr>
        <w:rPr>
          <w:rFonts w:ascii="Arial" w:cs="Arial" w:eastAsia="Arial" w:hAnsi="Arial"/>
          <w:sz w:val="20"/>
          <w:szCs w:val="20"/>
          <w:color w:val="auto"/>
        </w:rPr>
      </w:pPr>
      <w:r>
        <w:rPr>
          <w:rFonts w:ascii="Arial" w:cs="Arial" w:eastAsia="Arial" w:hAnsi="Arial"/>
          <w:sz w:val="20"/>
          <w:szCs w:val="20"/>
          <w:color w:val="auto"/>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spacing w:after="0" w:line="131" w:lineRule="exact"/>
        <w:rPr>
          <w:rFonts w:ascii="Arial" w:cs="Arial" w:eastAsia="Arial" w:hAnsi="Arial"/>
          <w:sz w:val="20"/>
          <w:szCs w:val="20"/>
          <w:color w:val="auto"/>
        </w:rPr>
      </w:pPr>
    </w:p>
    <w:p>
      <w:pPr>
        <w:jc w:val="both"/>
        <w:ind w:firstLine="1304"/>
        <w:spacing w:after="0" w:line="250" w:lineRule="auto"/>
        <w:tabs>
          <w:tab w:leader="none" w:pos="1699" w:val="left"/>
        </w:tabs>
        <w:numPr>
          <w:ilvl w:val="0"/>
          <w:numId w:val="348"/>
        </w:numPr>
        <w:rPr>
          <w:rFonts w:ascii="Arial" w:cs="Arial" w:eastAsia="Arial" w:hAnsi="Arial"/>
          <w:sz w:val="20"/>
          <w:szCs w:val="20"/>
          <w:color w:val="auto"/>
        </w:rPr>
      </w:pPr>
      <w:r>
        <w:rPr>
          <w:rFonts w:ascii="Arial" w:cs="Arial" w:eastAsia="Arial" w:hAnsi="Arial"/>
          <w:sz w:val="20"/>
          <w:szCs w:val="20"/>
          <w:color w:val="auto"/>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12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b w:val="1"/>
          <w:bCs w:val="1"/>
          <w:color w:val="auto"/>
        </w:rPr>
        <w:t>1.6 Limited Condition Acquisitions</w:t>
      </w:r>
      <w:r>
        <w:rPr>
          <w:rFonts w:ascii="Arial" w:cs="Arial" w:eastAsia="Arial" w:hAnsi="Arial"/>
          <w:sz w:val="18"/>
          <w:szCs w:val="18"/>
          <w:color w:val="auto"/>
        </w:rPr>
        <w:t>. In connection with any action being taken in connection with a Limited Condition</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for purposes of determining compliance with any provision of this Agreement which requires the calculation of any financial ratio or metric, at the option of the Borrower (and, if the Borrower elects to exercise such option, such option shall be exercised on or prior to the date on which the definitive agreement for such Limited Condition Acquisition is executed) (the Borrower’s election to exercise such option in connection with any Limited Condition Acquisition, an “</w:t>
      </w:r>
      <w:r>
        <w:rPr>
          <w:rFonts w:ascii="Arial" w:cs="Arial" w:eastAsia="Arial" w:hAnsi="Arial"/>
          <w:sz w:val="18"/>
          <w:szCs w:val="18"/>
          <w:b w:val="1"/>
          <w:bCs w:val="1"/>
          <w:i w:val="1"/>
          <w:iCs w:val="1"/>
          <w:color w:val="auto"/>
        </w:rPr>
        <w:t>LCA Election</w:t>
      </w:r>
      <w:r>
        <w:rPr>
          <w:rFonts w:ascii="Arial" w:cs="Arial" w:eastAsia="Arial" w:hAnsi="Arial"/>
          <w:sz w:val="18"/>
          <w:szCs w:val="18"/>
          <w:color w:val="auto"/>
        </w:rPr>
        <w:t>”), then notwithstanding anything else to the contrary contained in this Agreement, the date of determination of whether any such action is permitted hereunder, shall be deemed to be the date the definitive agreements for such Limited Condition Acquisition are entered into (the “</w:t>
      </w:r>
      <w:r>
        <w:rPr>
          <w:rFonts w:ascii="Arial" w:cs="Arial" w:eastAsia="Arial" w:hAnsi="Arial"/>
          <w:sz w:val="18"/>
          <w:szCs w:val="18"/>
          <w:b w:val="1"/>
          <w:bCs w:val="1"/>
          <w:i w:val="1"/>
          <w:iCs w:val="1"/>
          <w:color w:val="auto"/>
        </w:rPr>
        <w:t>LCA Test Date</w:t>
      </w:r>
      <w:r>
        <w:rPr>
          <w:rFonts w:ascii="Arial" w:cs="Arial" w:eastAsia="Arial" w:hAnsi="Arial"/>
          <w:sz w:val="18"/>
          <w:szCs w:val="18"/>
          <w:color w:val="auto"/>
        </w:rPr>
        <w:t>”), and if, after giving pro forma effect to the Limited Condition Acquisition and the other transactions to be entered into in connection therewith (including any Incurrence of Indebtedness and the use of proceeds thereof) as if they had occurred at the beginning of the most recent period of four fiscal quarters then ended prior to the LCA Test Date for which consolidated financial statements of the Borrower are available, the Borrower could have taken such action on the relevant LCA Test Date in compliance with such ratio or basket, such ratio or basket shall be deemed to have been complied with. If the Borrower has made an LCA Election for any Limited Condition Acquisition, then in connection with any subsequent calculation of any basket availability with respect to the incurrence of Indebtedness, the grant of Liens, or the making of Investments, Restricted Payments, Dispositions, mergers and consolidations or other transfer of all or substantially all of the assets of any Group Member on or following the relevant LCA Test Date and prior to the earlier of the date on which such Limited Condition Acquisition is consummated or the definitive agreement for such Limited Condition Acquisition is terminated or expires without consummation of such Limited Condition Acquisition, any such ratio or basket shall be calculated on a Pro Forma Basis assuming both that such Limited Condition Acquisition and other transactions in connection therewith (including any incurrence of Indebtedness and the use of proceeds thereof) have been consummated and have not been consummated.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240"/>
          </w:cols>
          <w:pgMar w:left="320" w:top="771" w:right="339" w:bottom="1440" w:gutter="0" w:footer="0" w:header="0"/>
        </w:sectPr>
      </w:pPr>
    </w:p>
    <w:bookmarkStart w:id="427" w:name="page428"/>
    <w:bookmarkEnd w:id="427"/>
    <w:p>
      <w:pPr>
        <w:jc w:val="center"/>
        <w:spacing w:after="0"/>
        <w:rPr>
          <w:sz w:val="20"/>
          <w:szCs w:val="20"/>
          <w:color w:val="auto"/>
        </w:rPr>
      </w:pPr>
      <w:r>
        <w:rPr>
          <w:rFonts w:ascii="Arial" w:cs="Arial" w:eastAsia="Arial" w:hAnsi="Arial"/>
          <w:sz w:val="20"/>
          <w:szCs w:val="20"/>
          <w:b w:val="1"/>
          <w:bCs w:val="1"/>
          <w:color w:val="auto"/>
        </w:rPr>
        <w:t>SECTION 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AMOUNT AND TERMS OF COMMITMENTS</w:t>
      </w:r>
    </w:p>
    <w:p>
      <w:pPr>
        <w:spacing w:after="0" w:line="14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16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16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16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2.4</w:t>
      </w:r>
      <w:r>
        <w:rPr>
          <w:sz w:val="20"/>
          <w:szCs w:val="20"/>
          <w:color w:val="auto"/>
        </w:rPr>
        <w:tab/>
      </w:r>
      <w:r>
        <w:rPr>
          <w:rFonts w:ascii="Arial" w:cs="Arial" w:eastAsia="Arial" w:hAnsi="Arial"/>
          <w:sz w:val="16"/>
          <w:szCs w:val="16"/>
          <w:b w:val="1"/>
          <w:bCs w:val="1"/>
          <w:color w:val="auto"/>
        </w:rPr>
        <w:t>Revolving Commitments</w:t>
      </w:r>
      <w:r>
        <w:rPr>
          <w:rFonts w:ascii="Arial" w:cs="Arial" w:eastAsia="Arial" w:hAnsi="Arial"/>
          <w:sz w:val="16"/>
          <w:szCs w:val="16"/>
          <w:color w:val="auto"/>
        </w:rPr>
        <w:t>.</w:t>
      </w:r>
    </w:p>
    <w:p>
      <w:pPr>
        <w:spacing w:after="0" w:line="168" w:lineRule="exact"/>
        <w:rPr>
          <w:sz w:val="20"/>
          <w:szCs w:val="20"/>
          <w:color w:val="auto"/>
        </w:rPr>
      </w:pPr>
    </w:p>
    <w:p>
      <w:pPr>
        <w:jc w:val="both"/>
        <w:ind w:firstLine="1304"/>
        <w:spacing w:after="0" w:line="255" w:lineRule="auto"/>
        <w:tabs>
          <w:tab w:leader="none" w:pos="1803" w:val="left"/>
        </w:tabs>
        <w:numPr>
          <w:ilvl w:val="0"/>
          <w:numId w:val="349"/>
        </w:numPr>
        <w:rPr>
          <w:rFonts w:ascii="Arial" w:cs="Arial" w:eastAsia="Arial" w:hAnsi="Arial"/>
          <w:sz w:val="19"/>
          <w:szCs w:val="19"/>
          <w:color w:val="auto"/>
        </w:rPr>
      </w:pPr>
      <w:r>
        <w:rPr>
          <w:rFonts w:ascii="Arial" w:cs="Arial" w:eastAsia="Arial" w:hAnsi="Arial"/>
          <w:sz w:val="19"/>
          <w:szCs w:val="19"/>
          <w:color w:val="auto"/>
        </w:rPr>
        <w:t>Subject to the terms and conditions hereof, each Revolving Lender severally agrees to make revolving credit loans (each, a “</w:t>
      </w:r>
      <w:r>
        <w:rPr>
          <w:rFonts w:ascii="Arial" w:cs="Arial" w:eastAsia="Arial" w:hAnsi="Arial"/>
          <w:sz w:val="19"/>
          <w:szCs w:val="19"/>
          <w:b w:val="1"/>
          <w:bCs w:val="1"/>
          <w:i w:val="1"/>
          <w:iCs w:val="1"/>
          <w:color w:val="auto"/>
        </w:rPr>
        <w:t>Revolving Loan</w:t>
      </w:r>
      <w:r>
        <w:rPr>
          <w:rFonts w:ascii="Arial" w:cs="Arial" w:eastAsia="Arial" w:hAnsi="Arial"/>
          <w:sz w:val="19"/>
          <w:szCs w:val="19"/>
          <w:color w:val="auto"/>
        </w:rPr>
        <w:t>” and, collectively, the “</w:t>
      </w:r>
      <w:r>
        <w:rPr>
          <w:rFonts w:ascii="Arial" w:cs="Arial" w:eastAsia="Arial" w:hAnsi="Arial"/>
          <w:sz w:val="19"/>
          <w:szCs w:val="19"/>
          <w:b w:val="1"/>
          <w:bCs w:val="1"/>
          <w:i w:val="1"/>
          <w:iCs w:val="1"/>
          <w:color w:val="auto"/>
        </w:rPr>
        <w:t>Revolving Loans</w:t>
      </w:r>
      <w:r>
        <w:rPr>
          <w:rFonts w:ascii="Arial" w:cs="Arial" w:eastAsia="Arial" w:hAnsi="Arial"/>
          <w:sz w:val="19"/>
          <w:szCs w:val="19"/>
          <w:color w:val="auto"/>
        </w:rPr>
        <w:t xml:space="preserve">”) to the Borrower from time to time during the Revolving Commitment Period in an aggregate principal amount at any one time outstanding which, when added to the aggregate outstanding amount of the Swingline Loans, the Dollar Equivalent of the aggregate undrawn amount of all outstanding Letters of Credit, and the Dollar Equivalent of the aggregate amount of all L/C Disbursements that have not yet been reimbursed or converted into Revolving Loans or Swingline Loans, incurred on behalf of the Borrower and owing to such Lender, does not exceed the amount of such Lender’s Revolving Commitment. In addition, such aggregate obligations shall not at any time exceed the Total Revolving Commitments in effect at such time. During the Revolving Commitment Period the Borrower may use the Revolving Commitments by borrowing, prepaying the Revolving Loans in whole or in part, and reborrowing, all in accordance with the terms and conditions hereof. The Revolving Loans may from time to time be Eurodollar Loans or ABR Loans, as determined by the Borrower and notified to the Administrative Agent in accordance with </w:t>
      </w:r>
      <w:r>
        <w:rPr>
          <w:rFonts w:ascii="Arial" w:cs="Arial" w:eastAsia="Arial" w:hAnsi="Arial"/>
          <w:sz w:val="19"/>
          <w:szCs w:val="19"/>
          <w:u w:val="single" w:color="auto"/>
          <w:color w:val="auto"/>
        </w:rPr>
        <w:t>Sections 2.5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2.13</w:t>
      </w:r>
      <w:r>
        <w:rPr>
          <w:rFonts w:ascii="Arial" w:cs="Arial" w:eastAsia="Arial" w:hAnsi="Arial"/>
          <w:sz w:val="19"/>
          <w:szCs w:val="19"/>
          <w:color w:val="auto"/>
        </w:rPr>
        <w:t>.</w:t>
      </w:r>
    </w:p>
    <w:p>
      <w:pPr>
        <w:spacing w:after="0" w:line="132" w:lineRule="exact"/>
        <w:rPr>
          <w:rFonts w:ascii="Arial" w:cs="Arial" w:eastAsia="Arial" w:hAnsi="Arial"/>
          <w:sz w:val="19"/>
          <w:szCs w:val="19"/>
          <w:color w:val="auto"/>
        </w:rPr>
      </w:pPr>
    </w:p>
    <w:p>
      <w:pPr>
        <w:jc w:val="both"/>
        <w:ind w:firstLine="1304"/>
        <w:spacing w:after="0" w:line="250" w:lineRule="auto"/>
        <w:tabs>
          <w:tab w:leader="none" w:pos="1832" w:val="left"/>
        </w:tabs>
        <w:numPr>
          <w:ilvl w:val="0"/>
          <w:numId w:val="349"/>
        </w:numPr>
        <w:rPr>
          <w:rFonts w:ascii="Arial" w:cs="Arial" w:eastAsia="Arial" w:hAnsi="Arial"/>
          <w:sz w:val="20"/>
          <w:szCs w:val="20"/>
          <w:color w:val="auto"/>
        </w:rPr>
      </w:pPr>
      <w:r>
        <w:rPr>
          <w:rFonts w:ascii="Arial" w:cs="Arial" w:eastAsia="Arial" w:hAnsi="Arial"/>
          <w:sz w:val="20"/>
          <w:szCs w:val="20"/>
          <w:color w:val="auto"/>
        </w:rPr>
        <w:t>The Borrower shall repay all outstanding Revolving Loans (including, without limitation, all Overadvances to the extent not previously repaid) on the Revolving Termination Date. All accrued and unpaid interest as well as the accrued and unpaid Letter of Credit Fees shall be repaid on the Closing Date.</w:t>
      </w:r>
    </w:p>
    <w:p>
      <w:pPr>
        <w:spacing w:after="0" w:line="12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b w:val="1"/>
          <w:bCs w:val="1"/>
          <w:color w:val="auto"/>
        </w:rPr>
        <w:t>2.5 Procedure for Revolving Loan Borrowing</w:t>
      </w:r>
      <w:r>
        <w:rPr>
          <w:rFonts w:ascii="Arial" w:cs="Arial" w:eastAsia="Arial" w:hAnsi="Arial"/>
          <w:sz w:val="18"/>
          <w:szCs w:val="18"/>
          <w:color w:val="auto"/>
        </w:rPr>
        <w:t>. The Borrower may borrow under the Revolving Commitments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Revolving Commitment Period on any Business Day;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Borrower shall give the Administrative Agent an irrevocable Notice of Borrowing (which must be received by the Administrative Agent prior to 10:00 A.M. (a) 3 Business Days prior to the requested Borrowing Date, in the case of Eurodollar Loans, or (b) 1 Business Day prior to the requested Borrowing Date, in the case of ABR Loans)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any such Notice of Borrowing of ABR Loans under the Revolving Facility to finance payments under </w:t>
      </w:r>
      <w:r>
        <w:rPr>
          <w:rFonts w:ascii="Arial" w:cs="Arial" w:eastAsia="Arial" w:hAnsi="Arial"/>
          <w:sz w:val="18"/>
          <w:szCs w:val="18"/>
          <w:u w:val="single" w:color="auto"/>
          <w:color w:val="auto"/>
        </w:rPr>
        <w:t>Section 3.5(a)</w:t>
      </w:r>
      <w:r>
        <w:rPr>
          <w:rFonts w:ascii="Arial" w:cs="Arial" w:eastAsia="Arial" w:hAnsi="Arial"/>
          <w:sz w:val="18"/>
          <w:szCs w:val="18"/>
          <w:color w:val="auto"/>
        </w:rPr>
        <w:t xml:space="preserve"> may be given not later than 10:00 A.M. on the date of the proposed borrowing), in each such case specifying (i) the amount and Type of Revolving Loans to be borrowed, (ii) the requested Borrowing Date, (iii) in the case of Eurodollar Loans, the respective amounts of each such Type of Loan and the respective lengths of the initial Interest Period therefor, and (iv) instructions for remittance of the proceeds of the applicable Loans to be borrowed. Unless otherwise agreed by the Administrative Agent in its sole discretion, no Revolving Loan may be made as, converted into or continued as a Eurodollar Loan having an Interest Period in excess of 1 month prior to the date that is 30 days after the Closing Date. Each borrowing under the Revolving Commitments shall be in an amount equal to $1,000,000 or a whole multiple of $100,000 in excess thereof (or, if the then Available Revolving Commitments are less than $1,000,000, such lesser amount);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Swingline Lender may request, on behalf of the Borrower, borrowings under the Revolving Commitments that are ABR Loans in other amounts pursuant to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Upon receipt of any such Notice of Borrowing from the Borrower, the Administrative Agent shall promptly notify each Revolving Lender thereof. Each Revolving Lender will make the amount of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each such borrowing available to the Administrative Agent for the account of the Borrower at the Revolving Loan Funding Office prior to 12:00 P.M. on the Borrowing Date requested by the Borrower in Same Day Funds to the Administrative Agent. Such borrowing will then be made available to the Borrower by the Administrative Agent crediting such account as is designated in writing to the Administrative Agent by the Borrower with the aggregate of the amounts made available to the Administrative Agent by the Revolving Lenders and in like funds as received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240"/>
          </w:cols>
          <w:pgMar w:left="320" w:top="765" w:right="339" w:bottom="1440" w:gutter="0" w:footer="0" w:header="0"/>
        </w:sectPr>
      </w:pPr>
    </w:p>
    <w:bookmarkStart w:id="428" w:name="page429"/>
    <w:bookmarkEnd w:id="428"/>
    <w:p>
      <w:pPr>
        <w:jc w:val="both"/>
        <w:ind w:firstLine="648"/>
        <w:spacing w:after="0" w:line="270" w:lineRule="auto"/>
        <w:rPr>
          <w:sz w:val="20"/>
          <w:szCs w:val="20"/>
          <w:color w:val="auto"/>
        </w:rPr>
      </w:pPr>
      <w:r>
        <w:rPr>
          <w:rFonts w:ascii="Arial" w:cs="Arial" w:eastAsia="Arial" w:hAnsi="Arial"/>
          <w:sz w:val="18"/>
          <w:szCs w:val="18"/>
          <w:b w:val="1"/>
          <w:bCs w:val="1"/>
          <w:color w:val="auto"/>
        </w:rPr>
        <w:t>2.6 Swingline Commitment</w:t>
      </w:r>
      <w:r>
        <w:rPr>
          <w:rFonts w:ascii="Arial" w:cs="Arial" w:eastAsia="Arial" w:hAnsi="Arial"/>
          <w:sz w:val="18"/>
          <w:szCs w:val="18"/>
          <w:color w:val="auto"/>
        </w:rPr>
        <w:t>. Subject to the terms and conditions hereof, the Swingline Lender agrees to make available a portion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credit accommodations otherwise available to the Borrower under the Revolving Commitments from time to time during the Revolving Commitment Period by making swing line loans (each a “</w:t>
      </w:r>
      <w:r>
        <w:rPr>
          <w:rFonts w:ascii="Arial" w:cs="Arial" w:eastAsia="Arial" w:hAnsi="Arial"/>
          <w:sz w:val="18"/>
          <w:szCs w:val="18"/>
          <w:b w:val="1"/>
          <w:bCs w:val="1"/>
          <w:i w:val="1"/>
          <w:iCs w:val="1"/>
          <w:color w:val="auto"/>
        </w:rPr>
        <w:t>Swingline Loan</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Swingline Loans</w:t>
      </w:r>
      <w:r>
        <w:rPr>
          <w:rFonts w:ascii="Arial" w:cs="Arial" w:eastAsia="Arial" w:hAnsi="Arial"/>
          <w:sz w:val="18"/>
          <w:szCs w:val="18"/>
          <w:color w:val="auto"/>
        </w:rPr>
        <w:t xml:space="preserve">”) to the Borrower;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 the aggregate principal amount of Swingline Loans outstanding at any time shall not exceed the Swingline Commitment then in effect, (b) the Borrower shall not request, and the Swingline Lender shall not make, any Swingline Loan if, after giving effect to the making of such Swingline Loan, the amount of the Available Revolving Commitments would be less than zero, and (c) the Borrower shall not use the proceeds of any Swingline Loan to refinance any then outstanding Swingline Loan. During the Revolving Commitment Period, the Borrower may use the Swingline Commitment by borrowing, repaying and reborrowing, all in accordance with the terms and conditions hereof. Swingline Loans shall be ABR Loans only. The Borrower shall repay to the Swingline Lender the then unpaid principal amount of each Swingline Loan on the Revolving Termination Date. The Swingline Lender shall not make a Swingline Loan during the period commencing at the time it has received notice (by telephone or in writing) from the Administrative Agent at the request of any Lender, acting in good faith, that one or more of the applicable conditions specified in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5.2(c)</w:t>
      </w:r>
      <w:r>
        <w:rPr>
          <w:rFonts w:ascii="Arial" w:cs="Arial" w:eastAsia="Arial" w:hAnsi="Arial"/>
          <w:sz w:val="18"/>
          <w:szCs w:val="18"/>
          <w:color w:val="auto"/>
        </w:rPr>
        <w:t>) is not then satisfied and has had a reasonable opportunity to react to such notice and ending when such conditions are satisfied or duly waived.</w:t>
      </w:r>
    </w:p>
    <w:p>
      <w:pPr>
        <w:spacing w:after="0" w:line="11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2.7</w:t>
      </w:r>
      <w:r>
        <w:rPr>
          <w:sz w:val="20"/>
          <w:szCs w:val="20"/>
          <w:color w:val="auto"/>
        </w:rPr>
        <w:tab/>
      </w:r>
      <w:r>
        <w:rPr>
          <w:rFonts w:ascii="Arial" w:cs="Arial" w:eastAsia="Arial" w:hAnsi="Arial"/>
          <w:sz w:val="16"/>
          <w:szCs w:val="16"/>
          <w:b w:val="1"/>
          <w:bCs w:val="1"/>
          <w:color w:val="auto"/>
        </w:rPr>
        <w:t>Procedure for Swingline Borrowing; Refunding of Swingline Loans</w:t>
      </w:r>
      <w:r>
        <w:rPr>
          <w:rFonts w:ascii="Arial" w:cs="Arial" w:eastAsia="Arial" w:hAnsi="Arial"/>
          <w:sz w:val="16"/>
          <w:szCs w:val="16"/>
          <w:color w:val="auto"/>
        </w:rPr>
        <w:t>.</w:t>
      </w:r>
    </w:p>
    <w:p>
      <w:pPr>
        <w:spacing w:after="0" w:line="168" w:lineRule="exact"/>
        <w:rPr>
          <w:sz w:val="20"/>
          <w:szCs w:val="20"/>
          <w:color w:val="auto"/>
        </w:rPr>
      </w:pPr>
    </w:p>
    <w:p>
      <w:pPr>
        <w:jc w:val="both"/>
        <w:ind w:firstLine="1304"/>
        <w:spacing w:after="0" w:line="255" w:lineRule="auto"/>
        <w:tabs>
          <w:tab w:leader="none" w:pos="1886" w:val="left"/>
        </w:tabs>
        <w:numPr>
          <w:ilvl w:val="0"/>
          <w:numId w:val="350"/>
        </w:numPr>
        <w:rPr>
          <w:rFonts w:ascii="Arial" w:cs="Arial" w:eastAsia="Arial" w:hAnsi="Arial"/>
          <w:sz w:val="19"/>
          <w:szCs w:val="19"/>
          <w:color w:val="auto"/>
        </w:rPr>
      </w:pPr>
      <w:r>
        <w:rPr>
          <w:rFonts w:ascii="Arial" w:cs="Arial" w:eastAsia="Arial" w:hAnsi="Arial"/>
          <w:sz w:val="19"/>
          <w:szCs w:val="19"/>
          <w:color w:val="auto"/>
        </w:rPr>
        <w:t xml:space="preserve">Whenever the Borrower desires that the Swingline Lender make Swingline Loans the Borrower shall give the Swingline Lender irrevocable telephonic notice (which telephonic notice must be received by the Swingline Lender not later than 12:00 P.M. on the proposed Borrowing Date) confirmed promptly in writing by a Notice of Borrowing, specifying (i) the amount to be borrowed, (ii) the requested Borrowing Date (which shall be a Business Day during the Revolving Commitment Period), and (iii) instructions for the remittance of the proceeds of such Loan. Each borrowing under the Swingline Commitment shall be in an amount equal to $500,000 or a whole multiple of $100,000 in excess thereof. Promptly thereafter, on the Borrowing Date specified in a notice in respect of Swingline Loans, the Swingline Lender shall make available to the Borrower an amount in Same Day Funds equal to the amount of the Swingline Loan to be made by depositing such amount in the account designated in writing to the Administrative Agent by the Borrower. Unless a Swingline Loan is sooner refinanced by the advance of a Revolving Loan pursuant to </w:t>
      </w:r>
      <w:r>
        <w:rPr>
          <w:rFonts w:ascii="Arial" w:cs="Arial" w:eastAsia="Arial" w:hAnsi="Arial"/>
          <w:sz w:val="19"/>
          <w:szCs w:val="19"/>
          <w:u w:val="single" w:color="auto"/>
          <w:color w:val="auto"/>
        </w:rPr>
        <w:t>Section 2.7(b)</w:t>
      </w:r>
      <w:r>
        <w:rPr>
          <w:rFonts w:ascii="Arial" w:cs="Arial" w:eastAsia="Arial" w:hAnsi="Arial"/>
          <w:sz w:val="19"/>
          <w:szCs w:val="19"/>
          <w:color w:val="auto"/>
        </w:rPr>
        <w:t>, such Swingline Loan shall be repaid by the Borrower no later than 5 Business Days after the advance of such Swingline Loan.</w:t>
      </w:r>
    </w:p>
    <w:p>
      <w:pPr>
        <w:spacing w:after="0" w:line="135" w:lineRule="exact"/>
        <w:rPr>
          <w:rFonts w:ascii="Arial" w:cs="Arial" w:eastAsia="Arial" w:hAnsi="Arial"/>
          <w:sz w:val="19"/>
          <w:szCs w:val="19"/>
          <w:color w:val="auto"/>
        </w:rPr>
      </w:pPr>
    </w:p>
    <w:p>
      <w:pPr>
        <w:jc w:val="both"/>
        <w:ind w:firstLine="1304"/>
        <w:spacing w:after="0" w:line="271" w:lineRule="auto"/>
        <w:tabs>
          <w:tab w:leader="none" w:pos="1814"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The Swingline Lender, at any time and from time to time in its sole and absolute discretion may, on behalf of the Borrower (which hereby irrevocably directs the Swingline Lender to act on its behalf), on 1 Business Day’s telephonic notice given by the Swingline Lender no later than 12:00 P.M. and promptly confirmed in writing, request each Revolving Lender to make, and each Revolving Lender hereby agrees to make, a Revolving Loan, in an amount equal to such Revolving Lender’s Revolving Percentage of the aggregate amount of such Swingline Loan (each a “</w:t>
      </w:r>
      <w:r>
        <w:rPr>
          <w:rFonts w:ascii="Arial" w:cs="Arial" w:eastAsia="Arial" w:hAnsi="Arial"/>
          <w:sz w:val="18"/>
          <w:szCs w:val="18"/>
          <w:b w:val="1"/>
          <w:bCs w:val="1"/>
          <w:i w:val="1"/>
          <w:iCs w:val="1"/>
          <w:color w:val="auto"/>
        </w:rPr>
        <w:t>Refunded Swingline Loan</w:t>
      </w:r>
      <w:r>
        <w:rPr>
          <w:rFonts w:ascii="Arial" w:cs="Arial" w:eastAsia="Arial" w:hAnsi="Arial"/>
          <w:sz w:val="18"/>
          <w:szCs w:val="18"/>
          <w:color w:val="auto"/>
        </w:rPr>
        <w:t>”) outstanding on the date of such notice, to repay the Swingline Lender. Each Revolving Lender shall make the amount of such Revolving Loan available to the Administrative Agent at the Revolving Loan Funding Office in Same Day Funds, not later than 10:00 A.M. 1 Business Day after the date of such notice. The proceeds of such Revolving Loan shall immediately be made available by the Administrative Agent to the Swingline Lender for application by the Swingline Lender to the repayment of the Refunded Swingline Loan. The Borrower irrevocably authorizes the Swingline Lender to charge the Borrower’s accounts with the Administrative Agent (up to the amount available in each such account) immediately to pay the amount of any Refunded Swingline Loan to the extent amounts received from the Revolving Lenders are not sufficient to repay in full such Refunded Swingline Loan.</w:t>
      </w:r>
    </w:p>
    <w:p>
      <w:pPr>
        <w:spacing w:after="0" w:line="115" w:lineRule="exact"/>
        <w:rPr>
          <w:rFonts w:ascii="Arial" w:cs="Arial" w:eastAsia="Arial" w:hAnsi="Arial"/>
          <w:sz w:val="18"/>
          <w:szCs w:val="18"/>
          <w:color w:val="auto"/>
        </w:rPr>
      </w:pPr>
    </w:p>
    <w:p>
      <w:pPr>
        <w:jc w:val="both"/>
        <w:ind w:firstLine="1304"/>
        <w:spacing w:after="0" w:line="263" w:lineRule="auto"/>
        <w:tabs>
          <w:tab w:leader="none" w:pos="1762" w:val="left"/>
        </w:tabs>
        <w:numPr>
          <w:ilvl w:val="0"/>
          <w:numId w:val="350"/>
        </w:numPr>
        <w:rPr>
          <w:rFonts w:ascii="Arial" w:cs="Arial" w:eastAsia="Arial" w:hAnsi="Arial"/>
          <w:sz w:val="19"/>
          <w:szCs w:val="19"/>
          <w:color w:val="auto"/>
        </w:rPr>
      </w:pPr>
      <w:r>
        <w:rPr>
          <w:rFonts w:ascii="Arial" w:cs="Arial" w:eastAsia="Arial" w:hAnsi="Arial"/>
          <w:sz w:val="19"/>
          <w:szCs w:val="19"/>
          <w:color w:val="auto"/>
        </w:rPr>
        <w:t xml:space="preserve">If prior to the time that the Borrower has repaid the Swingline Loans pursuant to </w:t>
      </w:r>
      <w:r>
        <w:rPr>
          <w:rFonts w:ascii="Arial" w:cs="Arial" w:eastAsia="Arial" w:hAnsi="Arial"/>
          <w:sz w:val="19"/>
          <w:szCs w:val="19"/>
          <w:u w:val="single" w:color="auto"/>
          <w:color w:val="auto"/>
        </w:rPr>
        <w:t>Section 2.7(a)</w:t>
      </w:r>
      <w:r>
        <w:rPr>
          <w:rFonts w:ascii="Arial" w:cs="Arial" w:eastAsia="Arial" w:hAnsi="Arial"/>
          <w:sz w:val="19"/>
          <w:szCs w:val="19"/>
          <w:color w:val="auto"/>
        </w:rPr>
        <w:t xml:space="preserve"> or a Revolving Loan has been made pursuant to </w:t>
      </w:r>
      <w:r>
        <w:rPr>
          <w:rFonts w:ascii="Arial" w:cs="Arial" w:eastAsia="Arial" w:hAnsi="Arial"/>
          <w:sz w:val="19"/>
          <w:szCs w:val="19"/>
          <w:u w:val="single" w:color="auto"/>
          <w:color w:val="auto"/>
        </w:rPr>
        <w:t>Section 2.7(b)</w:t>
      </w:r>
      <w:r>
        <w:rPr>
          <w:rFonts w:ascii="Arial" w:cs="Arial" w:eastAsia="Arial" w:hAnsi="Arial"/>
          <w:sz w:val="19"/>
          <w:szCs w:val="19"/>
          <w:color w:val="auto"/>
        </w:rPr>
        <w:t xml:space="preserve">, one of the events described in </w:t>
      </w:r>
      <w:r>
        <w:rPr>
          <w:rFonts w:ascii="Arial" w:cs="Arial" w:eastAsia="Arial" w:hAnsi="Arial"/>
          <w:sz w:val="19"/>
          <w:szCs w:val="19"/>
          <w:u w:val="single" w:color="auto"/>
          <w:color w:val="auto"/>
        </w:rPr>
        <w:t>Section 8.1(f)</w:t>
      </w:r>
      <w:r>
        <w:rPr>
          <w:rFonts w:ascii="Arial" w:cs="Arial" w:eastAsia="Arial" w:hAnsi="Arial"/>
          <w:sz w:val="19"/>
          <w:szCs w:val="19"/>
          <w:color w:val="auto"/>
        </w:rPr>
        <w:t xml:space="preserve"> shall have occurred or if for any other reason, as determined by the Swingline Lender in its sole discretion, Revolving Loans may not be made as contemplated by </w:t>
      </w:r>
      <w:r>
        <w:rPr>
          <w:rFonts w:ascii="Arial" w:cs="Arial" w:eastAsia="Arial" w:hAnsi="Arial"/>
          <w:sz w:val="19"/>
          <w:szCs w:val="19"/>
          <w:u w:val="single" w:color="auto"/>
          <w:color w:val="auto"/>
        </w:rPr>
        <w:t>Section 2.7(b)</w:t>
      </w:r>
      <w:r>
        <w:rPr>
          <w:rFonts w:ascii="Arial" w:cs="Arial" w:eastAsia="Arial" w:hAnsi="Arial"/>
          <w:sz w:val="19"/>
          <w:szCs w:val="19"/>
          <w:color w:val="auto"/>
        </w:rPr>
        <w:t>, each Revolving Lender shall, on the date such Revolving Loan was to have been made pursuant to the notice referred to in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240"/>
          </w:cols>
          <w:pgMar w:left="320" w:top="765" w:right="339" w:bottom="1440" w:gutter="0" w:footer="0" w:header="0"/>
        </w:sectPr>
      </w:pPr>
    </w:p>
    <w:bookmarkStart w:id="429" w:name="page430"/>
    <w:bookmarkEnd w:id="429"/>
    <w:p>
      <w:pPr>
        <w:jc w:val="both"/>
        <w:spacing w:after="0" w:line="263" w:lineRule="auto"/>
        <w:rPr>
          <w:sz w:val="20"/>
          <w:szCs w:val="20"/>
          <w:color w:val="auto"/>
        </w:rPr>
      </w:pPr>
      <w:r>
        <w:rPr>
          <w:rFonts w:ascii="Arial" w:cs="Arial" w:eastAsia="Arial" w:hAnsi="Arial"/>
          <w:sz w:val="19"/>
          <w:szCs w:val="19"/>
          <w:u w:val="single" w:color="auto"/>
          <w:color w:val="auto"/>
        </w:rPr>
        <w:t>Section 2.7(b)</w:t>
      </w:r>
      <w:r>
        <w:rPr>
          <w:rFonts w:ascii="Arial" w:cs="Arial" w:eastAsia="Arial" w:hAnsi="Arial"/>
          <w:sz w:val="19"/>
          <w:szCs w:val="19"/>
          <w:color w:val="auto"/>
        </w:rPr>
        <w:t xml:space="preserve"> or on the date requested by the Swingline Lender (with at least 1 Business Day notice to the Revolving Lenders), purchase for cash an undivided participating interest in the then outstanding Swingline Loans by paying to the Swingline Lender an amount (the “</w:t>
      </w:r>
      <w:r>
        <w:rPr>
          <w:rFonts w:ascii="Arial" w:cs="Arial" w:eastAsia="Arial" w:hAnsi="Arial"/>
          <w:sz w:val="19"/>
          <w:szCs w:val="19"/>
          <w:b w:val="1"/>
          <w:bCs w:val="1"/>
          <w:i w:val="1"/>
          <w:iCs w:val="1"/>
          <w:color w:val="auto"/>
        </w:rPr>
        <w:t>Swingline Participation Amount</w:t>
      </w:r>
      <w:r>
        <w:rPr>
          <w:rFonts w:ascii="Arial" w:cs="Arial" w:eastAsia="Arial" w:hAnsi="Arial"/>
          <w:sz w:val="19"/>
          <w:szCs w:val="19"/>
          <w:color w:val="auto"/>
        </w:rPr>
        <w:t xml:space="preserve">”) equal to (i) such Revolving Lender’s Revolving Percentage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(ii) the sum of the aggregate principal amount of the outstanding Swingline Loans that were to have been repaid with such Revolving Loans.</w:t>
      </w:r>
    </w:p>
    <w:p>
      <w:pPr>
        <w:spacing w:after="0" w:line="122" w:lineRule="exact"/>
        <w:rPr>
          <w:sz w:val="20"/>
          <w:szCs w:val="20"/>
          <w:color w:val="auto"/>
        </w:rPr>
      </w:pPr>
    </w:p>
    <w:p>
      <w:pPr>
        <w:jc w:val="both"/>
        <w:ind w:firstLine="1304"/>
        <w:spacing w:after="0" w:line="274" w:lineRule="auto"/>
        <w:tabs>
          <w:tab w:leader="none" w:pos="1772" w:val="left"/>
        </w:tabs>
        <w:numPr>
          <w:ilvl w:val="0"/>
          <w:numId w:val="351"/>
        </w:numPr>
        <w:rPr>
          <w:rFonts w:ascii="Arial" w:cs="Arial" w:eastAsia="Arial" w:hAnsi="Arial"/>
          <w:sz w:val="18"/>
          <w:szCs w:val="18"/>
          <w:color w:val="auto"/>
        </w:rPr>
      </w:pPr>
      <w:r>
        <w:rPr>
          <w:rFonts w:ascii="Arial" w:cs="Arial" w:eastAsia="Arial" w:hAnsi="Arial"/>
          <w:sz w:val="18"/>
          <w:szCs w:val="18"/>
          <w:color w:val="auto"/>
        </w:rPr>
        <w:t xml:space="preserve">Whenever, at any time after the Swingline Lender has received from any Revolving Lender such Lender’s Swingline Participation Amount, the Swingline Lender receives any payment on account of the Swingline Loans, the Swingline Lender will distribute to such Lender its Swingline Participation Amount (appropriately adjusted, in the case of interest payments, to reflect the period of time during which such Lender’s participating interest was outstanding and funded and, in the case of principal and interest payments, to reflect such Lender’s pro rata portion of such payment if such payment is not sufficient to pay the principal of and interest on all Swingline Loans then due);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in the event that such payment received by the Swingline Lender is required to be returned, such Revolving Lender will return to the Swingline Lender any portion thereof previously distributed to it by the Swingline Lender.</w:t>
      </w:r>
    </w:p>
    <w:p>
      <w:pPr>
        <w:spacing w:after="0" w:line="114" w:lineRule="exact"/>
        <w:rPr>
          <w:rFonts w:ascii="Arial" w:cs="Arial" w:eastAsia="Arial" w:hAnsi="Arial"/>
          <w:sz w:val="18"/>
          <w:szCs w:val="18"/>
          <w:color w:val="auto"/>
        </w:rPr>
      </w:pPr>
    </w:p>
    <w:p>
      <w:pPr>
        <w:jc w:val="both"/>
        <w:ind w:firstLine="1304"/>
        <w:spacing w:after="0" w:line="274" w:lineRule="auto"/>
        <w:tabs>
          <w:tab w:leader="none" w:pos="1821" w:val="left"/>
        </w:tabs>
        <w:numPr>
          <w:ilvl w:val="0"/>
          <w:numId w:val="351"/>
        </w:numPr>
        <w:rPr>
          <w:rFonts w:ascii="Arial" w:cs="Arial" w:eastAsia="Arial" w:hAnsi="Arial"/>
          <w:sz w:val="18"/>
          <w:szCs w:val="18"/>
          <w:color w:val="auto"/>
        </w:rPr>
      </w:pPr>
      <w:r>
        <w:rPr>
          <w:rFonts w:ascii="Arial" w:cs="Arial" w:eastAsia="Arial" w:hAnsi="Arial"/>
          <w:sz w:val="18"/>
          <w:szCs w:val="18"/>
          <w:color w:val="auto"/>
        </w:rPr>
        <w:t xml:space="preserve">Each Revolving Lender’s obligation to make the Loans referred to in </w:t>
      </w:r>
      <w:r>
        <w:rPr>
          <w:rFonts w:ascii="Arial" w:cs="Arial" w:eastAsia="Arial" w:hAnsi="Arial"/>
          <w:sz w:val="18"/>
          <w:szCs w:val="18"/>
          <w:u w:val="single" w:color="auto"/>
          <w:color w:val="auto"/>
        </w:rPr>
        <w:t>Section 2.7(b)</w:t>
      </w:r>
      <w:r>
        <w:rPr>
          <w:rFonts w:ascii="Arial" w:cs="Arial" w:eastAsia="Arial" w:hAnsi="Arial"/>
          <w:sz w:val="18"/>
          <w:szCs w:val="18"/>
          <w:color w:val="auto"/>
        </w:rPr>
        <w:t xml:space="preserve"> and to purchase participating interests pursuant to </w:t>
      </w:r>
      <w:r>
        <w:rPr>
          <w:rFonts w:ascii="Arial" w:cs="Arial" w:eastAsia="Arial" w:hAnsi="Arial"/>
          <w:sz w:val="18"/>
          <w:szCs w:val="18"/>
          <w:u w:val="single" w:color="auto"/>
          <w:color w:val="auto"/>
        </w:rPr>
        <w:t>Section 2.7(c)</w:t>
      </w:r>
      <w:r>
        <w:rPr>
          <w:rFonts w:ascii="Arial" w:cs="Arial" w:eastAsia="Arial" w:hAnsi="Arial"/>
          <w:sz w:val="18"/>
          <w:szCs w:val="18"/>
          <w:color w:val="auto"/>
        </w:rPr>
        <w:t xml:space="preserve"> shall be absolute and unconditional and shall not be affected by any circumstance, including (i) any setoff, counterclaim, recoupment, defense or other right that such Revolving Lender or the Borrower may have against the Swingline Lender, the Borrower or any other Person for any reason whatsoever, (ii) the occurrence of a Default or an Event of Default or the failure to satisfy any of the other conditions specified in </w:t>
      </w:r>
      <w:r>
        <w:rPr>
          <w:rFonts w:ascii="Arial" w:cs="Arial" w:eastAsia="Arial" w:hAnsi="Arial"/>
          <w:sz w:val="18"/>
          <w:szCs w:val="18"/>
          <w:u w:val="single" w:color="auto"/>
          <w:color w:val="auto"/>
        </w:rPr>
        <w:t>Section 5</w:t>
      </w:r>
      <w:r>
        <w:rPr>
          <w:rFonts w:ascii="Arial" w:cs="Arial" w:eastAsia="Arial" w:hAnsi="Arial"/>
          <w:sz w:val="18"/>
          <w:szCs w:val="18"/>
          <w:color w:val="auto"/>
        </w:rPr>
        <w:t>, (iii) any adverse change in the condition (financial or otherwise) of the Borrower, (iv) any breach of this Agreement or any other Loan Document by the Borrower, any other Loan Party or any other Revolving Lender, or (v) any other circumstance, happening or event whatsoever, whether or not similar to any of the foregoing.</w:t>
      </w:r>
    </w:p>
    <w:p>
      <w:pPr>
        <w:spacing w:after="0" w:line="114" w:lineRule="exact"/>
        <w:rPr>
          <w:rFonts w:ascii="Arial" w:cs="Arial" w:eastAsia="Arial" w:hAnsi="Arial"/>
          <w:sz w:val="18"/>
          <w:szCs w:val="18"/>
          <w:color w:val="auto"/>
        </w:rPr>
      </w:pPr>
    </w:p>
    <w:p>
      <w:pPr>
        <w:jc w:val="both"/>
        <w:ind w:firstLine="1304"/>
        <w:spacing w:after="0" w:line="276" w:lineRule="auto"/>
        <w:tabs>
          <w:tab w:leader="none" w:pos="1711"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Swingline Lender may resign at any time by giving 30 days’ prior notice to the Administrative Agent, the Lenders and the Borrower. Following such notice of resignation from the Swingline Lender, the Swingline Lender may be replaced at any time by written agreement among the Borrower, the Administrative Agent, the Required Lenders and the successor Swingline Lender. After the resignation or replacement of the Swingline Lender hereunder, the retiring Swingline Lender shall remain a party hereto and shall continue to have all the rights and obligations of the Swingline Lender under this Agreement and the other Loan Documents with respect to Swingline Loans made by it prior to such resignation or replacement, but shall not be required or permitted to make any additional Swingline Loans.</w:t>
      </w:r>
    </w:p>
    <w:p>
      <w:pPr>
        <w:spacing w:after="0" w:line="10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2.8</w:t>
      </w:r>
      <w:r>
        <w:rPr>
          <w:sz w:val="20"/>
          <w:szCs w:val="20"/>
          <w:color w:val="auto"/>
        </w:rPr>
        <w:tab/>
      </w:r>
      <w:r>
        <w:rPr>
          <w:rFonts w:ascii="Arial" w:cs="Arial" w:eastAsia="Arial" w:hAnsi="Arial"/>
          <w:sz w:val="16"/>
          <w:szCs w:val="16"/>
          <w:b w:val="1"/>
          <w:bCs w:val="1"/>
          <w:color w:val="auto"/>
        </w:rPr>
        <w:t>Overadvances</w:t>
      </w:r>
      <w:r>
        <w:rPr>
          <w:rFonts w:ascii="Arial" w:cs="Arial" w:eastAsia="Arial" w:hAnsi="Arial"/>
          <w:sz w:val="16"/>
          <w:szCs w:val="16"/>
          <w:color w:val="auto"/>
        </w:rPr>
        <w:t>.</w:t>
      </w:r>
    </w:p>
    <w:p>
      <w:pPr>
        <w:spacing w:after="0" w:line="16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9"/>
          <w:szCs w:val="19"/>
          <w:color w:val="auto"/>
        </w:rPr>
        <w:t>If at any time or for any reason the aggregate amount of the Total Revolving Extensions of Credit exceeds the amount of the Total Revolving Commitments then in effect (any such excess, an “</w:t>
      </w:r>
      <w:r>
        <w:rPr>
          <w:rFonts w:ascii="Arial" w:cs="Arial" w:eastAsia="Arial" w:hAnsi="Arial"/>
          <w:sz w:val="19"/>
          <w:szCs w:val="19"/>
          <w:b w:val="1"/>
          <w:bCs w:val="1"/>
          <w:i w:val="1"/>
          <w:iCs w:val="1"/>
          <w:color w:val="auto"/>
        </w:rPr>
        <w:t>Overadvance</w:t>
      </w:r>
      <w:r>
        <w:rPr>
          <w:rFonts w:ascii="Arial" w:cs="Arial" w:eastAsia="Arial" w:hAnsi="Arial"/>
          <w:sz w:val="19"/>
          <w:szCs w:val="19"/>
          <w:color w:val="auto"/>
        </w:rPr>
        <w:t xml:space="preserve">”), the Borrower shall immediately pay the full amount of such Overadvance to the Administrative Agent, without notice or demand. Any prepayment of any Revolving Loan that is a Eurodollar Loan hereunder shall be subject to Borrower’s obligation to pay any amounts owing pursuant to </w:t>
      </w:r>
      <w:r>
        <w:rPr>
          <w:rFonts w:ascii="Arial" w:cs="Arial" w:eastAsia="Arial" w:hAnsi="Arial"/>
          <w:sz w:val="19"/>
          <w:szCs w:val="19"/>
          <w:u w:val="single" w:color="auto"/>
          <w:color w:val="auto"/>
        </w:rPr>
        <w:t>Section 2.21</w:t>
      </w:r>
      <w:r>
        <w:rPr>
          <w:rFonts w:ascii="Arial" w:cs="Arial" w:eastAsia="Arial" w:hAnsi="Arial"/>
          <w:sz w:val="19"/>
          <w:szCs w:val="19"/>
          <w:color w:val="auto"/>
        </w:rPr>
        <w:t>.</w:t>
      </w:r>
    </w:p>
    <w:p>
      <w:pPr>
        <w:spacing w:after="0" w:line="19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2.9</w:t>
      </w:r>
      <w:r>
        <w:rPr>
          <w:sz w:val="20"/>
          <w:szCs w:val="20"/>
          <w:color w:val="auto"/>
        </w:rPr>
        <w:tab/>
      </w:r>
      <w:r>
        <w:rPr>
          <w:rFonts w:ascii="Arial" w:cs="Arial" w:eastAsia="Arial" w:hAnsi="Arial"/>
          <w:sz w:val="16"/>
          <w:szCs w:val="16"/>
          <w:b w:val="1"/>
          <w:bCs w:val="1"/>
          <w:color w:val="auto"/>
        </w:rPr>
        <w:t>Fees</w:t>
      </w:r>
      <w:r>
        <w:rPr>
          <w:rFonts w:ascii="Arial" w:cs="Arial" w:eastAsia="Arial" w:hAnsi="Arial"/>
          <w:sz w:val="16"/>
          <w:szCs w:val="16"/>
          <w:color w:val="auto"/>
        </w:rPr>
        <w:t>.</w:t>
      </w:r>
    </w:p>
    <w:p>
      <w:pPr>
        <w:spacing w:after="0" w:line="168" w:lineRule="exact"/>
        <w:rPr>
          <w:sz w:val="20"/>
          <w:szCs w:val="20"/>
          <w:color w:val="auto"/>
        </w:rPr>
      </w:pPr>
    </w:p>
    <w:p>
      <w:pPr>
        <w:jc w:val="both"/>
        <w:ind w:firstLine="1304"/>
        <w:spacing w:after="0" w:line="291" w:lineRule="auto"/>
        <w:tabs>
          <w:tab w:leader="none" w:pos="1713" w:val="left"/>
        </w:tabs>
        <w:numPr>
          <w:ilvl w:val="0"/>
          <w:numId w:val="352"/>
        </w:numPr>
        <w:rPr>
          <w:rFonts w:ascii="Arial" w:cs="Arial" w:eastAsia="Arial" w:hAnsi="Arial"/>
          <w:sz w:val="18"/>
          <w:szCs w:val="18"/>
          <w:color w:val="auto"/>
        </w:rPr>
      </w:pPr>
      <w:r>
        <w:rPr>
          <w:rFonts w:ascii="Arial" w:cs="Arial" w:eastAsia="Arial" w:hAnsi="Arial"/>
          <w:sz w:val="18"/>
          <w:szCs w:val="18"/>
          <w:u w:val="single" w:color="auto"/>
          <w:color w:val="auto"/>
        </w:rPr>
        <w:t>Fee Letters</w:t>
      </w:r>
      <w:r>
        <w:rPr>
          <w:rFonts w:ascii="Arial" w:cs="Arial" w:eastAsia="Arial" w:hAnsi="Arial"/>
          <w:sz w:val="18"/>
          <w:szCs w:val="18"/>
          <w:color w:val="auto"/>
        </w:rPr>
        <w:t>. The Borrower agrees to pay to the Administrative Agent for the benefit of (x) the Administrative Agent for its own account, the fees in the amounts and on the dates as set forth in the Existing Fee Letter, and (y) the Lenders, the fees in the amounts and on the dates as set forth in the Fee Letter, and, in each case, to perform any other obligations contained therein.</w:t>
      </w:r>
    </w:p>
    <w:p>
      <w:pPr>
        <w:spacing w:after="0" w:line="97" w:lineRule="exact"/>
        <w:rPr>
          <w:rFonts w:ascii="Arial" w:cs="Arial" w:eastAsia="Arial" w:hAnsi="Arial"/>
          <w:sz w:val="18"/>
          <w:szCs w:val="18"/>
          <w:color w:val="auto"/>
        </w:rPr>
      </w:pPr>
    </w:p>
    <w:p>
      <w:pPr>
        <w:jc w:val="both"/>
        <w:ind w:firstLine="1304"/>
        <w:spacing w:after="0" w:line="250" w:lineRule="auto"/>
        <w:tabs>
          <w:tab w:leader="none" w:pos="1900" w:val="left"/>
        </w:tabs>
        <w:numPr>
          <w:ilvl w:val="0"/>
          <w:numId w:val="352"/>
        </w:numPr>
        <w:rPr>
          <w:rFonts w:ascii="Arial" w:cs="Arial" w:eastAsia="Arial" w:hAnsi="Arial"/>
          <w:sz w:val="20"/>
          <w:szCs w:val="20"/>
          <w:color w:val="auto"/>
        </w:rPr>
      </w:pPr>
      <w:r>
        <w:rPr>
          <w:rFonts w:ascii="Arial" w:cs="Arial" w:eastAsia="Arial" w:hAnsi="Arial"/>
          <w:sz w:val="20"/>
          <w:szCs w:val="20"/>
          <w:u w:val="single" w:color="auto"/>
          <w:color w:val="auto"/>
        </w:rPr>
        <w:t>Commitment Fee</w:t>
      </w:r>
      <w:r>
        <w:rPr>
          <w:rFonts w:ascii="Arial" w:cs="Arial" w:eastAsia="Arial" w:hAnsi="Arial"/>
          <w:sz w:val="20"/>
          <w:szCs w:val="20"/>
          <w:color w:val="auto"/>
        </w:rPr>
        <w:t>. As additional compensation for the Revolving Commitments, the Borrower shall pay to the Administrative Agent for the account of the Lenders, in arrears, on the last day of each calendar quarter prior to the Revolving Termination Date and on the Revolving Termination</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240"/>
          </w:cols>
          <w:pgMar w:left="320" w:top="771" w:right="339" w:bottom="1440" w:gutter="0" w:footer="0" w:header="0"/>
        </w:sectPr>
      </w:pPr>
    </w:p>
    <w:bookmarkStart w:id="430" w:name="page431"/>
    <w:bookmarkEnd w:id="430"/>
    <w:p>
      <w:pPr>
        <w:jc w:val="both"/>
        <w:spacing w:after="0" w:line="259" w:lineRule="auto"/>
        <w:rPr>
          <w:sz w:val="20"/>
          <w:szCs w:val="20"/>
          <w:color w:val="auto"/>
        </w:rPr>
      </w:pPr>
      <w:r>
        <w:rPr>
          <w:rFonts w:ascii="Arial" w:cs="Arial" w:eastAsia="Arial" w:hAnsi="Arial"/>
          <w:sz w:val="19"/>
          <w:szCs w:val="19"/>
          <w:color w:val="auto"/>
        </w:rPr>
        <w:t xml:space="preserve">Date, a fee for the Borrower’s non-use of available funds in an amount equal to the Commitment Fee Rate per annum multiplied by the </w:t>
      </w:r>
      <w:r>
        <w:rPr>
          <w:rFonts w:ascii="Arial" w:cs="Arial" w:eastAsia="Arial" w:hAnsi="Arial"/>
          <w:sz w:val="19"/>
          <w:szCs w:val="19"/>
          <w:u w:val="single" w:color="auto"/>
          <w:color w:val="auto"/>
        </w:rPr>
        <w:t>difference</w:t>
      </w:r>
      <w:r>
        <w:rPr>
          <w:rFonts w:ascii="Arial" w:cs="Arial" w:eastAsia="Arial" w:hAnsi="Arial"/>
          <w:sz w:val="19"/>
          <w:szCs w:val="19"/>
          <w:color w:val="auto"/>
        </w:rPr>
        <w:t xml:space="preserve"> between (x) the Total Revolving Commitments (as they may be reduced or increased from time to time) and (y) the sum of (A) the average for the period of the daily closing balance of the Revolving Loans outstanding excluding the aggregate principal amount of Swingline Loans which shall be deemed to be zero for purposes hereof, (B) the Dollar Equivalent of the aggregate undrawn amount of all Letters of Credit outstanding at such time and (C) the Dollar Equivalent of the aggregate amount of all L/C Disbursements that have not yet been reimbursed or converted into Revolving Loans or Swingline Loans at such time.</w:t>
      </w:r>
    </w:p>
    <w:p>
      <w:pPr>
        <w:spacing w:after="0" w:line="124" w:lineRule="exact"/>
        <w:rPr>
          <w:sz w:val="20"/>
          <w:szCs w:val="20"/>
          <w:color w:val="auto"/>
        </w:rPr>
      </w:pPr>
    </w:p>
    <w:p>
      <w:pPr>
        <w:ind w:left="1720" w:hanging="416"/>
        <w:spacing w:after="0"/>
        <w:tabs>
          <w:tab w:leader="none" w:pos="1720"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t>Fees Nonrefundable</w:t>
      </w:r>
      <w:r>
        <w:rPr>
          <w:rFonts w:ascii="Arial" w:cs="Arial" w:eastAsia="Arial" w:hAnsi="Arial"/>
          <w:sz w:val="18"/>
          <w:szCs w:val="18"/>
          <w:color w:val="auto"/>
        </w:rPr>
        <w:t xml:space="preserve">. All fees payable under this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shall be fully earned on the date paid and nonrefundable.</w:t>
      </w:r>
    </w:p>
    <w:p>
      <w:pPr>
        <w:spacing w:after="0" w:line="184" w:lineRule="exact"/>
        <w:rPr>
          <w:rFonts w:ascii="Arial" w:cs="Arial" w:eastAsia="Arial" w:hAnsi="Arial"/>
          <w:sz w:val="18"/>
          <w:szCs w:val="18"/>
          <w:color w:val="auto"/>
        </w:rPr>
      </w:pPr>
    </w:p>
    <w:p>
      <w:pPr>
        <w:ind w:firstLine="1304"/>
        <w:spacing w:after="0" w:line="260" w:lineRule="auto"/>
        <w:tabs>
          <w:tab w:leader="none" w:pos="1751" w:val="left"/>
        </w:tabs>
        <w:numPr>
          <w:ilvl w:val="0"/>
          <w:numId w:val="353"/>
        </w:numPr>
        <w:rPr>
          <w:rFonts w:ascii="Arial" w:cs="Arial" w:eastAsia="Arial" w:hAnsi="Arial"/>
          <w:sz w:val="20"/>
          <w:szCs w:val="20"/>
          <w:color w:val="auto"/>
        </w:rPr>
      </w:pPr>
      <w:r>
        <w:rPr>
          <w:rFonts w:ascii="Arial" w:cs="Arial" w:eastAsia="Arial" w:hAnsi="Arial"/>
          <w:sz w:val="20"/>
          <w:szCs w:val="20"/>
          <w:u w:val="single" w:color="auto"/>
          <w:color w:val="auto"/>
        </w:rPr>
        <w:t>Increase in Fees</w:t>
      </w:r>
      <w:r>
        <w:rPr>
          <w:rFonts w:ascii="Arial" w:cs="Arial" w:eastAsia="Arial" w:hAnsi="Arial"/>
          <w:sz w:val="20"/>
          <w:szCs w:val="20"/>
          <w:color w:val="auto"/>
        </w:rPr>
        <w:t>. At any time that an Event of Default exists, upon the request of the Required Lenders, the amount of any of the foregoing fees due under subsection (b) shall be increased by adding 2.0% per annum thereto.</w:t>
      </w:r>
    </w:p>
    <w:p>
      <w:pPr>
        <w:spacing w:after="0" w:line="11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2.10</w:t>
      </w:r>
      <w:r>
        <w:rPr>
          <w:sz w:val="20"/>
          <w:szCs w:val="20"/>
          <w:color w:val="auto"/>
        </w:rPr>
        <w:tab/>
      </w:r>
      <w:r>
        <w:rPr>
          <w:rFonts w:ascii="Arial" w:cs="Arial" w:eastAsia="Arial" w:hAnsi="Arial"/>
          <w:sz w:val="16"/>
          <w:szCs w:val="16"/>
          <w:b w:val="1"/>
          <w:bCs w:val="1"/>
          <w:color w:val="auto"/>
        </w:rPr>
        <w:t>Termination or Reduction of Revolving Commitments; Prepayments</w:t>
      </w:r>
      <w:r>
        <w:rPr>
          <w:rFonts w:ascii="Arial" w:cs="Arial" w:eastAsia="Arial" w:hAnsi="Arial"/>
          <w:sz w:val="16"/>
          <w:szCs w:val="16"/>
          <w:color w:val="auto"/>
        </w:rPr>
        <w:t>.</w:t>
      </w:r>
    </w:p>
    <w:p>
      <w:pPr>
        <w:spacing w:after="0" w:line="168"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8"/>
          <w:szCs w:val="18"/>
          <w:color w:val="auto"/>
        </w:rPr>
        <w:t xml:space="preserve">The Borrower shall have the right, upon not less than 3 Business Days’ notice to the Administrative Agent, to terminate the Revolving Commitments or, from time to time, to reduce the amount of the Revolving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termination or reduction of the Revolving Commitments shall be permitted if, after giving effect thereto and to any prepayments of the Revolving Loans and Swingline Loans made on the effective date thereof, the Total Revolving Extensions of Credit then outstanding would exceed the Total Revolving Commitments then in effect. Any such reduction shall be in an amount equal to $1,000,000, or a whole multiple thereof (or, if the then Total Revolving Commitments are less than $1,000,000, such lesser amount), and shall reduce permanently the Revolving Commitments then in effect;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if in connection with any such reduction or termination of the Revolving Commitments a Eurodollar Loan is prepaid on any day other than the last day of the Interest Period applicable thereto, the Borrower shall also pay any amounts owing (if any) pursuant to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The Borrower shall have the right, without penalty or premium, upon not less than 3 Business Days’ notice to the Administrative Agent, to terminate the L/C Commitments or, from time to time, to reduce the amount of the L/C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termination or reduction of L/C Commitments shall be permitted if, after giving effect thereto, the Total L/C Commitments shall be reduced to an amount that would result in the aggregate L/C Exposure exceeding the Total L/C Commitments (as so reduced). Any such reduction shall be in an amount equal to $1,000,000, or a whole multiple thereof (or, if the then Total L/C Commitments are less than $1,000,000, such lesser amount), and shall reduce permanently the L/C Commitments then in effect. The Borrower shall have the right, at any time and from time to time to prepay any Loan in whole or in part, upon not less than 3 Business Days’ notice to the Administrative Agent. Upon receipt of any such notice, the Administrative Agent shall promptly notify each relevant Lender thereof. If any such notice is given, the amount specified in such notice shall be due and payable on the date specified therein, together with (except in the case of Revolving Loans that are ABR Loans and Swingline Loans) accrued interest to such date on the amount prepaid. Partial prepayments of Revolving Loans shall be in an aggregate principal amount of $100,000 or a whole multiple thereof. Partial prepayments of Swingline Loans shall be in an aggregate principal amount of $100,000 or a whole multiple thereof.</w:t>
      </w:r>
    </w:p>
    <w:p>
      <w:pPr>
        <w:spacing w:after="0" w:line="12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2.11</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16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2.12</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16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2.13</w:t>
      </w:r>
      <w:r>
        <w:rPr>
          <w:sz w:val="20"/>
          <w:szCs w:val="20"/>
          <w:color w:val="auto"/>
        </w:rPr>
        <w:tab/>
      </w:r>
      <w:r>
        <w:rPr>
          <w:rFonts w:ascii="Arial" w:cs="Arial" w:eastAsia="Arial" w:hAnsi="Arial"/>
          <w:sz w:val="16"/>
          <w:szCs w:val="16"/>
          <w:b w:val="1"/>
          <w:bCs w:val="1"/>
          <w:color w:val="auto"/>
        </w:rPr>
        <w:t>Conversion and Continuation Options</w:t>
      </w:r>
      <w:r>
        <w:rPr>
          <w:rFonts w:ascii="Arial" w:cs="Arial" w:eastAsia="Arial" w:hAnsi="Arial"/>
          <w:sz w:val="16"/>
          <w:szCs w:val="16"/>
          <w:color w:val="auto"/>
        </w:rPr>
        <w:t>.</w:t>
      </w:r>
    </w:p>
    <w:p>
      <w:pPr>
        <w:spacing w:after="0" w:line="168" w:lineRule="exact"/>
        <w:rPr>
          <w:sz w:val="20"/>
          <w:szCs w:val="20"/>
          <w:color w:val="auto"/>
        </w:rPr>
      </w:pPr>
    </w:p>
    <w:p>
      <w:pPr>
        <w:jc w:val="both"/>
        <w:ind w:firstLine="1304"/>
        <w:spacing w:after="0" w:line="263" w:lineRule="auto"/>
        <w:tabs>
          <w:tab w:leader="none" w:pos="1774" w:val="left"/>
        </w:tabs>
        <w:numPr>
          <w:ilvl w:val="0"/>
          <w:numId w:val="354"/>
        </w:numPr>
        <w:rPr>
          <w:rFonts w:ascii="Arial" w:cs="Arial" w:eastAsia="Arial" w:hAnsi="Arial"/>
          <w:sz w:val="19"/>
          <w:szCs w:val="19"/>
          <w:color w:val="auto"/>
        </w:rPr>
      </w:pPr>
      <w:r>
        <w:rPr>
          <w:rFonts w:ascii="Arial" w:cs="Arial" w:eastAsia="Arial" w:hAnsi="Arial"/>
          <w:sz w:val="19"/>
          <w:szCs w:val="19"/>
          <w:color w:val="auto"/>
        </w:rPr>
        <w:t xml:space="preserve">The Borrower may elect from time to time to convert Eurodollar Loans to ABR Loans by giving the Administrative Agent prior irrevocable notice in a Notice of Conversion/Continuation of such election no later than 10:00 A.M. on the Business Day preceding the proposed conversion date;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any such conversion of Eurodollar Loans may only be made on the last day of an Interest Period with respect thereto. The Borrower may elect from time to time to convert ABR</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240"/>
          </w:cols>
          <w:pgMar w:left="320" w:top="771" w:right="339" w:bottom="1440" w:gutter="0" w:footer="0" w:header="0"/>
        </w:sectPr>
      </w:pPr>
    </w:p>
    <w:bookmarkStart w:id="431" w:name="page432"/>
    <w:bookmarkEnd w:id="431"/>
    <w:p>
      <w:pPr>
        <w:jc w:val="both"/>
        <w:spacing w:after="0" w:line="282" w:lineRule="auto"/>
        <w:rPr>
          <w:sz w:val="20"/>
          <w:szCs w:val="20"/>
          <w:color w:val="auto"/>
        </w:rPr>
      </w:pPr>
      <w:r>
        <w:rPr>
          <w:rFonts w:ascii="Arial" w:cs="Arial" w:eastAsia="Arial" w:hAnsi="Arial"/>
          <w:sz w:val="18"/>
          <w:szCs w:val="18"/>
          <w:color w:val="auto"/>
        </w:rPr>
        <w:t xml:space="preserve">Loans to Eurodollar Loans by giving the Administrative Agent prior irrevocable notice in a Notice of Conversion/Continuation of such election no later than 10:00 A.M. on the third Business Day preceding the proposed conversion date (which notice shall specify the length of the initial Interest Period therefor);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no ABR Loan may be converted into a Eurodollar Loan when any Event of Default has occurred and is continuing. Upon receipt of any such notice, the Administrative Agent shall promptly notify each relevant Lender thereof.</w:t>
      </w:r>
    </w:p>
    <w:p>
      <w:pPr>
        <w:spacing w:after="0" w:line="107" w:lineRule="exact"/>
        <w:rPr>
          <w:sz w:val="20"/>
          <w:szCs w:val="20"/>
          <w:color w:val="auto"/>
        </w:rPr>
      </w:pPr>
    </w:p>
    <w:p>
      <w:pPr>
        <w:jc w:val="both"/>
        <w:ind w:firstLine="1304"/>
        <w:spacing w:after="0" w:line="274" w:lineRule="auto"/>
        <w:tabs>
          <w:tab w:leader="none" w:pos="179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 xml:space="preserve">Any Eurodollar Loan may be continued as such upon the expiration of the then current Interest Period with respect thereto by the Borrower giving irrevocable notice in a Notice of Conversion/Continuation to the Administrative Agent, in accordance with the applicable provisions of the term “Interest Period”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the length of the next Interest Period to be applicable to such Loans;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no Eurodollar Loan may be continued as such when any Event of Default has occurred and is continuing;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if the Borrower shall fail to give any required notice as described above in this paragraph or if such continuation is not permitted pursuant to the preceding proviso, such Loans shall be automatically converted to ABR Loans on the last day of such then expiring Interest Period. Upon receipt of any such notice the Administrative Agent shall promptly notify each relevant Lender thereof.</w:t>
      </w:r>
    </w:p>
    <w:p>
      <w:pPr>
        <w:spacing w:after="0" w:line="1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2.14 Limitations on Eurodollar Tranches</w:t>
      </w:r>
      <w:r>
        <w:rPr>
          <w:rFonts w:ascii="Arial" w:cs="Arial" w:eastAsia="Arial" w:hAnsi="Arial"/>
          <w:sz w:val="20"/>
          <w:szCs w:val="20"/>
          <w:color w:val="auto"/>
        </w:rPr>
        <w:t>. Notwithstanding anything to the contrary in this Agreement, all borrowings,</w:t>
      </w:r>
      <w:r>
        <w:rPr>
          <w:rFonts w:ascii="Arial" w:cs="Arial" w:eastAsia="Arial" w:hAnsi="Arial"/>
          <w:sz w:val="20"/>
          <w:szCs w:val="20"/>
          <w:b w:val="1"/>
          <w:bCs w:val="1"/>
          <w:color w:val="auto"/>
        </w:rPr>
        <w:t xml:space="preserve"> </w:t>
      </w:r>
      <w:r>
        <w:rPr>
          <w:rFonts w:ascii="Arial" w:cs="Arial" w:eastAsia="Arial" w:hAnsi="Arial"/>
          <w:sz w:val="20"/>
          <w:szCs w:val="20"/>
          <w:color w:val="auto"/>
        </w:rPr>
        <w:t>conversions and continuations of Eurodollar Loans and all selections of Interest Periods shall be in such amounts and be made pursuant to such elections so that, (a) after giving effect thereto, the aggregate principal amount of the Eurodollar Loans comprising each Eurodollar Tranche shall be equal to $1,000,000 or a whole multiple of $100,000 in excess thereof, and (b) no more than seven (7) Eurodollar Tranches shall be outstanding at any one time.</w:t>
      </w:r>
    </w:p>
    <w:p>
      <w:pPr>
        <w:spacing w:after="0" w:line="13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2.15</w:t>
      </w:r>
      <w:r>
        <w:rPr>
          <w:sz w:val="20"/>
          <w:szCs w:val="20"/>
          <w:color w:val="auto"/>
        </w:rPr>
        <w:tab/>
      </w:r>
      <w:r>
        <w:rPr>
          <w:rFonts w:ascii="Arial" w:cs="Arial" w:eastAsia="Arial" w:hAnsi="Arial"/>
          <w:sz w:val="16"/>
          <w:szCs w:val="16"/>
          <w:b w:val="1"/>
          <w:bCs w:val="1"/>
          <w:color w:val="auto"/>
        </w:rPr>
        <w:t>Interest Rates and Payment Dates</w:t>
      </w:r>
      <w:r>
        <w:rPr>
          <w:rFonts w:ascii="Arial" w:cs="Arial" w:eastAsia="Arial" w:hAnsi="Arial"/>
          <w:sz w:val="16"/>
          <w:szCs w:val="16"/>
          <w:color w:val="auto"/>
        </w:rPr>
        <w:t>.</w:t>
      </w:r>
    </w:p>
    <w:p>
      <w:pPr>
        <w:spacing w:after="0" w:line="168" w:lineRule="exact"/>
        <w:rPr>
          <w:sz w:val="20"/>
          <w:szCs w:val="20"/>
          <w:color w:val="auto"/>
        </w:rPr>
      </w:pPr>
    </w:p>
    <w:p>
      <w:pPr>
        <w:ind w:right="20" w:firstLine="1304"/>
        <w:spacing w:after="0" w:line="260" w:lineRule="auto"/>
        <w:tabs>
          <w:tab w:leader="none" w:pos="1803" w:val="left"/>
        </w:tabs>
        <w:numPr>
          <w:ilvl w:val="0"/>
          <w:numId w:val="356"/>
        </w:numPr>
        <w:rPr>
          <w:rFonts w:ascii="Arial" w:cs="Arial" w:eastAsia="Arial" w:hAnsi="Arial"/>
          <w:sz w:val="20"/>
          <w:szCs w:val="20"/>
          <w:color w:val="auto"/>
        </w:rPr>
      </w:pPr>
      <w:r>
        <w:rPr>
          <w:rFonts w:ascii="Arial" w:cs="Arial" w:eastAsia="Arial" w:hAnsi="Arial"/>
          <w:sz w:val="20"/>
          <w:szCs w:val="20"/>
          <w:color w:val="auto"/>
        </w:rPr>
        <w:t xml:space="preserve">Each Eurodollar Loan shall bear interest for each day during each Interest Period with respect thereto at a rate per annum equal to (i) the Eurodollar Rate determined for such day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 the Applicable Margin.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240"/>
          </w:cols>
          <w:pgMar w:left="320" w:top="771" w:right="339" w:bottom="1440" w:gutter="0" w:footer="0" w:header="0"/>
        </w:sectPr>
      </w:pPr>
    </w:p>
    <w:bookmarkStart w:id="432" w:name="page433"/>
    <w:bookmarkEnd w:id="432"/>
    <w:p>
      <w:pPr>
        <w:ind w:right="20" w:firstLine="1304"/>
        <w:spacing w:after="0" w:line="260" w:lineRule="auto"/>
        <w:tabs>
          <w:tab w:leader="none" w:pos="1770" w:val="left"/>
        </w:tabs>
        <w:numPr>
          <w:ilvl w:val="0"/>
          <w:numId w:val="357"/>
        </w:numPr>
        <w:rPr>
          <w:rFonts w:ascii="Arial" w:cs="Arial" w:eastAsia="Arial" w:hAnsi="Arial"/>
          <w:sz w:val="20"/>
          <w:szCs w:val="20"/>
          <w:color w:val="auto"/>
        </w:rPr>
      </w:pPr>
      <w:r>
        <w:rPr>
          <w:rFonts w:ascii="Arial" w:cs="Arial" w:eastAsia="Arial" w:hAnsi="Arial"/>
          <w:sz w:val="20"/>
          <w:szCs w:val="20"/>
          <w:color w:val="auto"/>
        </w:rPr>
        <w:t xml:space="preserve">Each ABR Loan (including any Swingline Loan) shall bear interest at a rate per annum equal to (i) the ABR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 the Applicable Margin.</w:t>
      </w:r>
    </w:p>
    <w:p>
      <w:pPr>
        <w:spacing w:after="0" w:line="122" w:lineRule="exact"/>
        <w:rPr>
          <w:rFonts w:ascii="Arial" w:cs="Arial" w:eastAsia="Arial" w:hAnsi="Arial"/>
          <w:sz w:val="20"/>
          <w:szCs w:val="20"/>
          <w:color w:val="auto"/>
        </w:rPr>
      </w:pPr>
    </w:p>
    <w:p>
      <w:pPr>
        <w:jc w:val="both"/>
        <w:ind w:firstLine="1304"/>
        <w:spacing w:after="0" w:line="263" w:lineRule="auto"/>
        <w:tabs>
          <w:tab w:leader="none" w:pos="1770" w:val="left"/>
        </w:tabs>
        <w:numPr>
          <w:ilvl w:val="0"/>
          <w:numId w:val="357"/>
        </w:numPr>
        <w:rPr>
          <w:rFonts w:ascii="Arial" w:cs="Arial" w:eastAsia="Arial" w:hAnsi="Arial"/>
          <w:sz w:val="19"/>
          <w:szCs w:val="19"/>
          <w:color w:val="auto"/>
        </w:rPr>
      </w:pPr>
      <w:r>
        <w:rPr>
          <w:rFonts w:ascii="Arial" w:cs="Arial" w:eastAsia="Arial" w:hAnsi="Arial"/>
          <w:sz w:val="19"/>
          <w:szCs w:val="19"/>
          <w:color w:val="auto"/>
        </w:rPr>
        <w:t xml:space="preserve">During the existence of an Event of Default, at the request of the Required Lenders, all outstanding Loans shall bear interest at a rate per annum equal to the rate that would otherwise be applicable thereto pursuant to the foregoing provisions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2.15</w:t>
      </w:r>
      <w:r>
        <w:rPr>
          <w:rFonts w:ascii="Arial" w:cs="Arial" w:eastAsia="Arial" w:hAnsi="Arial"/>
          <w:sz w:val="19"/>
          <w:szCs w:val="19"/>
          <w:color w:val="auto"/>
        </w:rPr>
        <w:t xml:space="preserve"> plus 2.00% (the “</w:t>
      </w:r>
      <w:r>
        <w:rPr>
          <w:rFonts w:ascii="Arial" w:cs="Arial" w:eastAsia="Arial" w:hAnsi="Arial"/>
          <w:sz w:val="19"/>
          <w:szCs w:val="19"/>
          <w:b w:val="1"/>
          <w:bCs w:val="1"/>
          <w:i w:val="1"/>
          <w:iCs w:val="1"/>
          <w:color w:val="auto"/>
        </w:rPr>
        <w:t>Default Rate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the Default Rate shall apply to all outstanding Loans automatically and without any Required Lender consent therefor upon the occurrence of any Event of Default arising under </w:t>
      </w:r>
      <w:r>
        <w:rPr>
          <w:rFonts w:ascii="Arial" w:cs="Arial" w:eastAsia="Arial" w:hAnsi="Arial"/>
          <w:sz w:val="19"/>
          <w:szCs w:val="19"/>
          <w:u w:val="single" w:color="auto"/>
          <w:color w:val="auto"/>
        </w:rPr>
        <w:t>Section 8.1(a)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(f)</w:t>
      </w:r>
      <w:r>
        <w:rPr>
          <w:rFonts w:ascii="Arial" w:cs="Arial" w:eastAsia="Arial" w:hAnsi="Arial"/>
          <w:sz w:val="19"/>
          <w:szCs w:val="19"/>
          <w:color w:val="auto"/>
        </w:rPr>
        <w:t>.</w:t>
      </w:r>
    </w:p>
    <w:p>
      <w:pPr>
        <w:spacing w:after="0" w:line="122" w:lineRule="exact"/>
        <w:rPr>
          <w:rFonts w:ascii="Arial" w:cs="Arial" w:eastAsia="Arial" w:hAnsi="Arial"/>
          <w:sz w:val="19"/>
          <w:szCs w:val="19"/>
          <w:color w:val="auto"/>
        </w:rPr>
      </w:pPr>
    </w:p>
    <w:p>
      <w:pPr>
        <w:ind w:firstLine="1304"/>
        <w:spacing w:after="0" w:line="260" w:lineRule="auto"/>
        <w:tabs>
          <w:tab w:leader="none" w:pos="1901" w:val="left"/>
        </w:tabs>
        <w:numPr>
          <w:ilvl w:val="0"/>
          <w:numId w:val="357"/>
        </w:numPr>
        <w:rPr>
          <w:rFonts w:ascii="Arial" w:cs="Arial" w:eastAsia="Arial" w:hAnsi="Arial"/>
          <w:sz w:val="20"/>
          <w:szCs w:val="20"/>
          <w:color w:val="auto"/>
        </w:rPr>
      </w:pPr>
      <w:r>
        <w:rPr>
          <w:rFonts w:ascii="Arial" w:cs="Arial" w:eastAsia="Arial" w:hAnsi="Arial"/>
          <w:sz w:val="20"/>
          <w:szCs w:val="20"/>
          <w:color w:val="auto"/>
        </w:rPr>
        <w:t xml:space="preserve">Interest shall be payable in arrears on each Interest Payment Date;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interest accruing pursuant to </w:t>
      </w:r>
      <w:r>
        <w:rPr>
          <w:rFonts w:ascii="Arial" w:cs="Arial" w:eastAsia="Arial" w:hAnsi="Arial"/>
          <w:sz w:val="20"/>
          <w:szCs w:val="20"/>
          <w:u w:val="single" w:color="auto"/>
          <w:color w:val="auto"/>
        </w:rPr>
        <w:t>Section 2.15(c)</w:t>
      </w:r>
      <w:r>
        <w:rPr>
          <w:rFonts w:ascii="Arial" w:cs="Arial" w:eastAsia="Arial" w:hAnsi="Arial"/>
          <w:sz w:val="20"/>
          <w:szCs w:val="20"/>
          <w:color w:val="auto"/>
        </w:rPr>
        <w:t xml:space="preserve"> shall be payable from time to time on demand.</w:t>
      </w:r>
    </w:p>
    <w:p>
      <w:pPr>
        <w:spacing w:after="0" w:line="11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2.16</w:t>
      </w:r>
      <w:r>
        <w:rPr>
          <w:sz w:val="20"/>
          <w:szCs w:val="20"/>
          <w:color w:val="auto"/>
        </w:rPr>
        <w:tab/>
      </w:r>
      <w:r>
        <w:rPr>
          <w:rFonts w:ascii="Arial" w:cs="Arial" w:eastAsia="Arial" w:hAnsi="Arial"/>
          <w:sz w:val="16"/>
          <w:szCs w:val="16"/>
          <w:b w:val="1"/>
          <w:bCs w:val="1"/>
          <w:color w:val="auto"/>
        </w:rPr>
        <w:t>Computation of Interest and Fees</w:t>
      </w:r>
      <w:r>
        <w:rPr>
          <w:rFonts w:ascii="Arial" w:cs="Arial" w:eastAsia="Arial" w:hAnsi="Arial"/>
          <w:sz w:val="16"/>
          <w:szCs w:val="16"/>
          <w:color w:val="auto"/>
        </w:rPr>
        <w:t>.</w:t>
      </w:r>
    </w:p>
    <w:p>
      <w:pPr>
        <w:spacing w:after="0" w:line="168" w:lineRule="exact"/>
        <w:rPr>
          <w:sz w:val="20"/>
          <w:szCs w:val="20"/>
          <w:color w:val="auto"/>
        </w:rPr>
      </w:pPr>
    </w:p>
    <w:p>
      <w:pPr>
        <w:jc w:val="both"/>
        <w:ind w:firstLine="1304"/>
        <w:spacing w:after="0" w:line="278" w:lineRule="auto"/>
        <w:tabs>
          <w:tab w:leader="none" w:pos="1738" w:val="left"/>
        </w:tabs>
        <w:numPr>
          <w:ilvl w:val="0"/>
          <w:numId w:val="358"/>
        </w:numPr>
        <w:rPr>
          <w:rFonts w:ascii="Arial" w:cs="Arial" w:eastAsia="Arial" w:hAnsi="Arial"/>
          <w:sz w:val="18"/>
          <w:szCs w:val="18"/>
          <w:color w:val="auto"/>
        </w:rPr>
      </w:pPr>
      <w:r>
        <w:rPr>
          <w:rFonts w:ascii="Arial" w:cs="Arial" w:eastAsia="Arial" w:hAnsi="Arial"/>
          <w:sz w:val="18"/>
          <w:szCs w:val="18"/>
          <w:color w:val="auto"/>
        </w:rPr>
        <w:t>Interest and fees payable pursuant hereto shall be calculated on the basis of a 360-day year for the actual days elapsed. The Administrative Agent shall as soon as practicable notify the Borrower and the relevant Lenders of each determination of a Eurodollar Rate. Any change in the interest rate on a Loan resulting from a change in the ABR or the Eurocurrency Reserve Requirements shall become effective as of the opening of business on the day on which such change becomes effective. The Administrative Agent shall as soon as practicable notify the Borrower and the relevant Lenders of the effective date and the amount of each such change in interest rate.</w:t>
      </w:r>
    </w:p>
    <w:p>
      <w:pPr>
        <w:spacing w:after="0" w:line="110" w:lineRule="exact"/>
        <w:rPr>
          <w:rFonts w:ascii="Arial" w:cs="Arial" w:eastAsia="Arial" w:hAnsi="Arial"/>
          <w:sz w:val="18"/>
          <w:szCs w:val="18"/>
          <w:color w:val="auto"/>
        </w:rPr>
      </w:pPr>
    </w:p>
    <w:p>
      <w:pPr>
        <w:jc w:val="both"/>
        <w:ind w:firstLine="1304"/>
        <w:spacing w:after="0" w:line="246" w:lineRule="auto"/>
        <w:tabs>
          <w:tab w:leader="none" w:pos="1727" w:val="left"/>
        </w:tabs>
        <w:numPr>
          <w:ilvl w:val="0"/>
          <w:numId w:val="358"/>
        </w:numPr>
        <w:rPr>
          <w:rFonts w:ascii="Arial" w:cs="Arial" w:eastAsia="Arial" w:hAnsi="Arial"/>
          <w:sz w:val="20"/>
          <w:szCs w:val="20"/>
          <w:color w:val="auto"/>
        </w:rPr>
      </w:pPr>
      <w:r>
        <w:rPr>
          <w:rFonts w:ascii="Arial" w:cs="Arial" w:eastAsia="Arial" w:hAnsi="Arial"/>
          <w:sz w:val="20"/>
          <w:szCs w:val="20"/>
          <w:color w:val="auto"/>
        </w:rPr>
        <w:t xml:space="preserve">Each determination of an interest rate by the Administrative Agent pursuant to any provision of this Agreement shall be conclusive and binding on the Borrower and the Lenders in the absence of manifest error. The Administrative Agent shall, at the request of the Borrower, deliver to the Borrower a statement showing the quotations used by the Administrative Agent in determining any interest rate pursuant to </w:t>
      </w:r>
      <w:r>
        <w:rPr>
          <w:rFonts w:ascii="Arial" w:cs="Arial" w:eastAsia="Arial" w:hAnsi="Arial"/>
          <w:sz w:val="20"/>
          <w:szCs w:val="20"/>
          <w:u w:val="single" w:color="auto"/>
          <w:color w:val="auto"/>
        </w:rPr>
        <w:t>Section 2.16(a)</w:t>
      </w:r>
      <w:r>
        <w:rPr>
          <w:rFonts w:ascii="Arial" w:cs="Arial" w:eastAsia="Arial" w:hAnsi="Arial"/>
          <w:sz w:val="20"/>
          <w:szCs w:val="20"/>
          <w:color w:val="auto"/>
        </w:rPr>
        <w:t>.</w:t>
      </w:r>
    </w:p>
    <w:p>
      <w:pPr>
        <w:spacing w:after="0" w:line="13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2.17</w:t>
      </w:r>
      <w:r>
        <w:rPr>
          <w:sz w:val="20"/>
          <w:szCs w:val="20"/>
          <w:color w:val="auto"/>
        </w:rPr>
        <w:tab/>
      </w:r>
      <w:r>
        <w:rPr>
          <w:rFonts w:ascii="Arial" w:cs="Arial" w:eastAsia="Arial" w:hAnsi="Arial"/>
          <w:sz w:val="18"/>
          <w:szCs w:val="18"/>
          <w:b w:val="1"/>
          <w:bCs w:val="1"/>
          <w:color w:val="auto"/>
        </w:rPr>
        <w:t>Inability to Determine Interest Rate</w:t>
      </w:r>
      <w:r>
        <w:rPr>
          <w:rFonts w:ascii="Arial" w:cs="Arial" w:eastAsia="Arial" w:hAnsi="Arial"/>
          <w:sz w:val="18"/>
          <w:szCs w:val="18"/>
          <w:color w:val="auto"/>
        </w:rPr>
        <w:t>.</w:t>
      </w:r>
    </w:p>
    <w:p>
      <w:pPr>
        <w:spacing w:after="0" w:line="168" w:lineRule="exact"/>
        <w:rPr>
          <w:sz w:val="20"/>
          <w:szCs w:val="20"/>
          <w:color w:val="auto"/>
        </w:rPr>
      </w:pPr>
    </w:p>
    <w:p>
      <w:pPr>
        <w:jc w:val="both"/>
        <w:ind w:firstLine="1304"/>
        <w:spacing w:after="0" w:line="268" w:lineRule="auto"/>
        <w:tabs>
          <w:tab w:leader="none" w:pos="1744" w:val="left"/>
        </w:tabs>
        <w:numPr>
          <w:ilvl w:val="1"/>
          <w:numId w:val="359"/>
        </w:numPr>
        <w:rPr>
          <w:rFonts w:ascii="Arial" w:cs="Arial" w:eastAsia="Arial" w:hAnsi="Arial"/>
          <w:sz w:val="18"/>
          <w:szCs w:val="18"/>
          <w:color w:val="auto"/>
        </w:rPr>
      </w:pPr>
      <w:r>
        <w:rPr>
          <w:rFonts w:ascii="Arial" w:cs="Arial" w:eastAsia="Arial" w:hAnsi="Arial"/>
          <w:sz w:val="18"/>
          <w:szCs w:val="18"/>
          <w:color w:val="auto"/>
        </w:rPr>
        <w:t>If prior to the first day of any Interest Period the Administrative Agent or the Required Lenders shall have determined (which determination shall be conclusive and binding upon the Borrower) in connection with any request for a Eurodollar Loan or a conversion to or a continuation thereof that, by reason of circumstances affecting the relevant market, (i) Dollar deposits are not being offered to banks in the London interbank market for the applicable amount and Interest Period of such requested Loan or conversion or continuation, as applicable, (ii) adequate and reasonable means do not exist for ascertaining the Eurodollar Rate for such Interest Period, or (iii) the Eurodollar Rate determined or to be determined for such Interest Period will not adequately and fairly reflect the cost to such Lenders (as conclusively certified by such Lenders) of making or maintaining their affected Loans during such Interest Period, then, in any such case (i),</w:t>
      </w:r>
    </w:p>
    <w:p>
      <w:pPr>
        <w:spacing w:after="0" w:line="4" w:lineRule="exact"/>
        <w:rPr>
          <w:rFonts w:ascii="Arial" w:cs="Arial" w:eastAsia="Arial" w:hAnsi="Arial"/>
          <w:sz w:val="18"/>
          <w:szCs w:val="18"/>
          <w:color w:val="auto"/>
        </w:rPr>
      </w:pPr>
    </w:p>
    <w:p>
      <w:pPr>
        <w:jc w:val="both"/>
        <w:ind w:firstLine="8"/>
        <w:spacing w:after="0" w:line="254" w:lineRule="auto"/>
        <w:tabs>
          <w:tab w:leader="none" w:pos="305" w:val="left"/>
        </w:tabs>
        <w:numPr>
          <w:ilvl w:val="0"/>
          <w:numId w:val="360"/>
        </w:numPr>
        <w:rPr>
          <w:rFonts w:ascii="Arial" w:cs="Arial" w:eastAsia="Arial" w:hAnsi="Arial"/>
          <w:sz w:val="19"/>
          <w:szCs w:val="19"/>
          <w:color w:val="auto"/>
        </w:rPr>
      </w:pPr>
      <w:r>
        <w:rPr>
          <w:rFonts w:ascii="Arial" w:cs="Arial" w:eastAsia="Arial" w:hAnsi="Arial"/>
          <w:sz w:val="19"/>
          <w:szCs w:val="19"/>
          <w:color w:val="auto"/>
        </w:rPr>
        <w:t>or (iii), the Administrative Agent shall promptly notify the Borrower and the relevant Lenders thereof as soon as practicable thereafter. Any such determination shall specify the basis for such determination and shall, in the absence of manifest error, be conclusive and binding for all purposes. Thereafter, (x) any Eurodollar Loans requested to be made on the first day of such Interest Period shall be made as ABR Loans, (y) any Loans that were to have been converted on the first day of such Interest Period to Eurodollar Loans shall be continued as ABR Loans and (z) any outstanding Eurodollar Loans shall be converted, on the last day of the then-current Interest Period, to ABR Loans. Until such notice has been withdrawn by the Administrative Agent, no further Eurodollar Loans shall be made or continued as such, nor shall the Borrower have the right to convert Loans to Eurodollar Loans.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1240"/>
          </w:cols>
          <w:pgMar w:left="320" w:top="771" w:right="339" w:bottom="1440" w:gutter="0" w:footer="0" w:header="0"/>
        </w:sectPr>
      </w:pPr>
    </w:p>
    <w:bookmarkStart w:id="433" w:name="page434"/>
    <w:bookmarkEnd w:id="433"/>
    <w:p>
      <w:pPr>
        <w:jc w:val="both"/>
        <w:ind w:firstLine="1304"/>
        <w:spacing w:after="0" w:line="270" w:lineRule="auto"/>
        <w:tabs>
          <w:tab w:leader="none" w:pos="1873" w:val="left"/>
        </w:tabs>
        <w:numPr>
          <w:ilvl w:val="0"/>
          <w:numId w:val="361"/>
        </w:numPr>
        <w:rPr>
          <w:rFonts w:ascii="Arial" w:cs="Arial" w:eastAsia="Arial" w:hAnsi="Arial"/>
          <w:sz w:val="18"/>
          <w:szCs w:val="18"/>
          <w:color w:val="auto"/>
        </w:rPr>
      </w:pPr>
      <w:r>
        <w:rPr>
          <w:rFonts w:ascii="Arial" w:cs="Arial" w:eastAsia="Arial" w:hAnsi="Arial"/>
          <w:sz w:val="18"/>
          <w:szCs w:val="18"/>
          <w:u w:val="single" w:color="auto"/>
          <w:color w:val="auto"/>
        </w:rPr>
        <w:t>Benchmark Replacement</w:t>
      </w:r>
      <w:r>
        <w:rPr>
          <w:rFonts w:ascii="Arial" w:cs="Arial" w:eastAsia="Arial" w:hAnsi="Arial"/>
          <w:sz w:val="18"/>
          <w:szCs w:val="18"/>
          <w:color w:val="auto"/>
        </w:rPr>
        <w:t>. Notwithstanding anything to the contrary herein or in any other Loan Document,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clause (1) or (2)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(3) of the definition of “Benchmark Replacement” for such Benchmark Replacement Date, such Benchmark Replacement will replace such Benchmark for all purposes hereunder and under any Loan Document in respect of any Benchmark setting at or after 5:00 p.m.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21" w:lineRule="exact"/>
        <w:rPr>
          <w:rFonts w:ascii="Arial" w:cs="Arial" w:eastAsia="Arial" w:hAnsi="Arial"/>
          <w:sz w:val="18"/>
          <w:szCs w:val="18"/>
          <w:color w:val="auto"/>
        </w:rPr>
      </w:pPr>
    </w:p>
    <w:p>
      <w:pPr>
        <w:jc w:val="both"/>
        <w:ind w:firstLine="1304"/>
        <w:spacing w:after="0" w:line="282" w:lineRule="auto"/>
        <w:tabs>
          <w:tab w:leader="none" w:pos="1754" w:val="left"/>
        </w:tabs>
        <w:numPr>
          <w:ilvl w:val="0"/>
          <w:numId w:val="361"/>
        </w:numPr>
        <w:rPr>
          <w:rFonts w:ascii="Arial" w:cs="Arial" w:eastAsia="Arial" w:hAnsi="Arial"/>
          <w:sz w:val="18"/>
          <w:szCs w:val="18"/>
          <w:color w:val="auto"/>
        </w:rPr>
      </w:pPr>
      <w:r>
        <w:rPr>
          <w:rFonts w:ascii="Arial" w:cs="Arial" w:eastAsia="Arial" w:hAnsi="Arial"/>
          <w:sz w:val="18"/>
          <w:szCs w:val="18"/>
          <w:u w:val="single" w:color="auto"/>
          <w:color w:val="auto"/>
        </w:rPr>
        <w:t>Benchmark Replacement Conforming Changes</w:t>
      </w:r>
      <w:r>
        <w:rPr>
          <w:rFonts w:ascii="Arial" w:cs="Arial" w:eastAsia="Arial" w:hAnsi="Arial"/>
          <w:sz w:val="18"/>
          <w:szCs w:val="18"/>
          <w:color w:val="auto"/>
        </w:rPr>
        <w:t>. 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07" w:lineRule="exact"/>
        <w:rPr>
          <w:rFonts w:ascii="Arial" w:cs="Arial" w:eastAsia="Arial" w:hAnsi="Arial"/>
          <w:sz w:val="18"/>
          <w:szCs w:val="18"/>
          <w:color w:val="auto"/>
        </w:rPr>
      </w:pPr>
    </w:p>
    <w:p>
      <w:pPr>
        <w:jc w:val="both"/>
        <w:ind w:firstLine="1304"/>
        <w:spacing w:after="0" w:line="255" w:lineRule="auto"/>
        <w:tabs>
          <w:tab w:leader="none" w:pos="1724" w:val="left"/>
        </w:tabs>
        <w:numPr>
          <w:ilvl w:val="0"/>
          <w:numId w:val="361"/>
        </w:numPr>
        <w:rPr>
          <w:rFonts w:ascii="Arial" w:cs="Arial" w:eastAsia="Arial" w:hAnsi="Arial"/>
          <w:sz w:val="19"/>
          <w:szCs w:val="19"/>
          <w:color w:val="auto"/>
        </w:rPr>
      </w:pPr>
      <w:r>
        <w:rPr>
          <w:rFonts w:ascii="Arial" w:cs="Arial" w:eastAsia="Arial" w:hAnsi="Arial"/>
          <w:sz w:val="19"/>
          <w:szCs w:val="19"/>
          <w:u w:val="single" w:color="auto"/>
          <w:color w:val="auto"/>
        </w:rPr>
        <w:t>Notices; Standards for Decisions and Determinations</w:t>
      </w:r>
      <w:r>
        <w:rPr>
          <w:rFonts w:ascii="Arial" w:cs="Arial" w:eastAsia="Arial" w:hAnsi="Arial"/>
          <w:sz w:val="19"/>
          <w:szCs w:val="19"/>
          <w:color w:val="auto"/>
        </w:rPr>
        <w:t xml:space="preserve">. The Administrative Agent will promptly notify the Borrower and the Lenders of (i) any occurrence of a Benchmark Transition Event or an Early Opt-in Election, as applicable, and its related Benchmark Replacement Date, (ii) the implementation of any Benchmark Replacement, (iii) the effectiveness of any Benchmark Replacement Conforming Changes, (iv) the removal or reinstatement of any tenor of a Benchmark pursuant to clause (d) below and (v) the commencement or conclusion of any Benchmark Unavailability Period. Any determination, decision or election that may be made by the Administrative Agent or, if applicable, any Lender (or group of Lenders) pursuant to this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Arial" w:cs="Arial" w:eastAsia="Arial" w:hAnsi="Arial"/>
          <w:sz w:val="19"/>
          <w:szCs w:val="19"/>
          <w:u w:val="single" w:color="auto"/>
          <w:color w:val="auto"/>
        </w:rPr>
        <w:t>Section 2.17</w:t>
      </w:r>
      <w:r>
        <w:rPr>
          <w:rFonts w:ascii="Arial" w:cs="Arial" w:eastAsia="Arial" w:hAnsi="Arial"/>
          <w:sz w:val="19"/>
          <w:szCs w:val="19"/>
          <w:color w:val="auto"/>
        </w:rPr>
        <w:t>.</w:t>
      </w:r>
    </w:p>
    <w:p>
      <w:pPr>
        <w:spacing w:after="0" w:line="135" w:lineRule="exact"/>
        <w:rPr>
          <w:rFonts w:ascii="Arial" w:cs="Arial" w:eastAsia="Arial" w:hAnsi="Arial"/>
          <w:sz w:val="19"/>
          <w:szCs w:val="19"/>
          <w:color w:val="auto"/>
        </w:rPr>
      </w:pPr>
    </w:p>
    <w:p>
      <w:pPr>
        <w:jc w:val="both"/>
        <w:ind w:firstLine="1304"/>
        <w:spacing w:after="0" w:line="271" w:lineRule="auto"/>
        <w:tabs>
          <w:tab w:leader="none" w:pos="1902" w:val="left"/>
        </w:tabs>
        <w:numPr>
          <w:ilvl w:val="0"/>
          <w:numId w:val="361"/>
        </w:numPr>
        <w:rPr>
          <w:rFonts w:ascii="Arial" w:cs="Arial" w:eastAsia="Arial" w:hAnsi="Arial"/>
          <w:sz w:val="18"/>
          <w:szCs w:val="18"/>
          <w:color w:val="auto"/>
        </w:rPr>
      </w:pPr>
      <w:r>
        <w:rPr>
          <w:rFonts w:ascii="Arial" w:cs="Arial" w:eastAsia="Arial" w:hAnsi="Arial"/>
          <w:sz w:val="18"/>
          <w:szCs w:val="18"/>
          <w:u w:val="single" w:color="auto"/>
          <w:color w:val="auto"/>
        </w:rPr>
        <w:t>Unavailability of Tenor of Benchmark</w:t>
      </w:r>
      <w:r>
        <w:rPr>
          <w:rFonts w:ascii="Arial" w:cs="Arial" w:eastAsia="Arial" w:hAnsi="Arial"/>
          <w:sz w:val="18"/>
          <w:szCs w:val="18"/>
          <w:color w:val="auto"/>
        </w:rPr>
        <w:t>. Notwithstanding anything to the contrary herein or in any other Loan Document, at any time (including in connection with the implementation of a Benchmark Replacement), (i) if the then current Benchmark is a term rate (including Term SOFR or LIBOR)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15" w:lineRule="exact"/>
        <w:rPr>
          <w:rFonts w:ascii="Arial" w:cs="Arial" w:eastAsia="Arial" w:hAnsi="Arial"/>
          <w:sz w:val="18"/>
          <w:szCs w:val="18"/>
          <w:color w:val="auto"/>
        </w:rPr>
      </w:pPr>
    </w:p>
    <w:p>
      <w:pPr>
        <w:ind w:firstLine="1304"/>
        <w:spacing w:after="0" w:line="260" w:lineRule="auto"/>
        <w:tabs>
          <w:tab w:leader="none" w:pos="1827" w:val="left"/>
        </w:tabs>
        <w:numPr>
          <w:ilvl w:val="0"/>
          <w:numId w:val="361"/>
        </w:numPr>
        <w:rPr>
          <w:rFonts w:ascii="Arial" w:cs="Arial" w:eastAsia="Arial" w:hAnsi="Arial"/>
          <w:sz w:val="20"/>
          <w:szCs w:val="20"/>
          <w:color w:val="auto"/>
        </w:rPr>
      </w:pPr>
      <w:r>
        <w:rPr>
          <w:rFonts w:ascii="Arial" w:cs="Arial" w:eastAsia="Arial" w:hAnsi="Arial"/>
          <w:sz w:val="20"/>
          <w:szCs w:val="20"/>
          <w:u w:val="single" w:color="auto"/>
          <w:color w:val="auto"/>
        </w:rPr>
        <w:t>Benchmark Unavailability Period.</w:t>
      </w:r>
      <w:r>
        <w:rPr>
          <w:rFonts w:ascii="Arial" w:cs="Arial" w:eastAsia="Arial" w:hAnsi="Arial"/>
          <w:sz w:val="20"/>
          <w:szCs w:val="20"/>
          <w:color w:val="auto"/>
        </w:rPr>
        <w:t xml:space="preserve"> Upon the Borrower’s receipt of notice of the commencement of a Benchmark Unavailability Period, the Borrower may revoke any request for a</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1240"/>
          </w:cols>
          <w:pgMar w:left="320" w:top="771" w:right="339" w:bottom="1440" w:gutter="0" w:footer="0" w:header="0"/>
        </w:sectPr>
      </w:pPr>
    </w:p>
    <w:bookmarkStart w:id="434" w:name="page435"/>
    <w:bookmarkEnd w:id="434"/>
    <w:p>
      <w:pPr>
        <w:jc w:val="both"/>
        <w:spacing w:after="0" w:line="244" w:lineRule="auto"/>
        <w:rPr>
          <w:sz w:val="20"/>
          <w:szCs w:val="20"/>
          <w:color w:val="auto"/>
        </w:rPr>
      </w:pPr>
      <w:r>
        <w:rPr>
          <w:rFonts w:ascii="Arial" w:cs="Arial" w:eastAsia="Arial" w:hAnsi="Arial"/>
          <w:sz w:val="20"/>
          <w:szCs w:val="20"/>
          <w:color w:val="auto"/>
        </w:rPr>
        <w:t>borrowing of, conversion to or continuation of Eurodollar Loans to be made, converted or continued during any Benchmark Unavailability Period and, failing that, the Borrower will be deemed to have converted any such request into a request for a borrowing of or conversion to ABR Loans. During any Benchmark Unavailability Period or at any time that a tenor for the then current Benchmark is not an Available Tenor, the component of ABR based upon the then-current Benchmark or such tenor for such Benchmark, as applicable, will not be used in any determination of ABR.</w:t>
      </w:r>
    </w:p>
    <w:p>
      <w:pPr>
        <w:spacing w:after="0" w:line="140" w:lineRule="exact"/>
        <w:rPr>
          <w:sz w:val="20"/>
          <w:szCs w:val="20"/>
          <w:color w:val="auto"/>
        </w:rPr>
      </w:pPr>
    </w:p>
    <w:p>
      <w:pPr>
        <w:jc w:val="both"/>
        <w:ind w:firstLine="1304"/>
        <w:spacing w:after="0" w:line="257" w:lineRule="auto"/>
        <w:tabs>
          <w:tab w:leader="none" w:pos="1846" w:val="left"/>
        </w:tabs>
        <w:numPr>
          <w:ilvl w:val="0"/>
          <w:numId w:val="362"/>
        </w:numPr>
        <w:rPr>
          <w:rFonts w:ascii="Arial" w:cs="Arial" w:eastAsia="Arial" w:hAnsi="Arial"/>
          <w:sz w:val="19"/>
          <w:szCs w:val="19"/>
          <w:color w:val="auto"/>
        </w:rPr>
      </w:pPr>
      <w:r>
        <w:rPr>
          <w:rFonts w:ascii="Arial" w:cs="Arial" w:eastAsia="Arial" w:hAnsi="Arial"/>
          <w:sz w:val="19"/>
          <w:szCs w:val="19"/>
          <w:u w:val="single" w:color="auto"/>
          <w:color w:val="auto"/>
        </w:rPr>
        <w:t>Exculpation</w:t>
      </w:r>
      <w:r>
        <w:rPr>
          <w:rFonts w:ascii="Arial" w:cs="Arial" w:eastAsia="Arial" w:hAnsi="Arial"/>
          <w:sz w:val="19"/>
          <w:szCs w:val="19"/>
          <w:color w:val="auto"/>
        </w:rPr>
        <w:t xml:space="preserve">. The Administrative Agent does not warrant or accept any responsibility for, and shall not have any liability with respect to, the administration, submission or any other matter related to LIBOR, other rates in the definition of “Eurodollar Rate” or with respect to any alternative or successor rate thereto, or replacement rate thereof (including, without limitation, (i) any such alternative, successor or replacement rate implemented pursuant to this </w:t>
      </w:r>
      <w:r>
        <w:rPr>
          <w:rFonts w:ascii="Arial" w:cs="Arial" w:eastAsia="Arial" w:hAnsi="Arial"/>
          <w:sz w:val="19"/>
          <w:szCs w:val="19"/>
          <w:u w:val="single" w:color="auto"/>
          <w:color w:val="auto"/>
        </w:rPr>
        <w:t>Section 2.17</w:t>
      </w:r>
      <w:r>
        <w:rPr>
          <w:rFonts w:ascii="Arial" w:cs="Arial" w:eastAsia="Arial" w:hAnsi="Arial"/>
          <w:sz w:val="19"/>
          <w:szCs w:val="19"/>
          <w:color w:val="auto"/>
        </w:rPr>
        <w:t>, whether upon the occurrence of a Benchmark Transition Event or an Early Opt-in Election, and (ii) the implementation of any Benchmark Replacement Conforming Changes, including without limitation, whether the composition or characteristics of any such alternative, successor or replacement reference rate will be similar to, or produce the same value or economic equivalence of, the Eurodollar Rate or have the same volume or liquidity as did the London interbank offered rate prior to its discontinuance or unavailability).</w:t>
      </w:r>
    </w:p>
    <w:p>
      <w:pPr>
        <w:spacing w:after="0" w:line="12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2.18</w:t>
      </w:r>
      <w:r>
        <w:rPr>
          <w:sz w:val="20"/>
          <w:szCs w:val="20"/>
          <w:color w:val="auto"/>
        </w:rPr>
        <w:tab/>
      </w:r>
      <w:r>
        <w:rPr>
          <w:rFonts w:ascii="Arial" w:cs="Arial" w:eastAsia="Arial" w:hAnsi="Arial"/>
          <w:sz w:val="16"/>
          <w:szCs w:val="16"/>
          <w:b w:val="1"/>
          <w:bCs w:val="1"/>
          <w:color w:val="auto"/>
        </w:rPr>
        <w:t>Pro Rata Treatment and Payments</w:t>
      </w:r>
      <w:r>
        <w:rPr>
          <w:rFonts w:ascii="Arial" w:cs="Arial" w:eastAsia="Arial" w:hAnsi="Arial"/>
          <w:sz w:val="16"/>
          <w:szCs w:val="16"/>
          <w:color w:val="auto"/>
        </w:rPr>
        <w:t>.</w:t>
      </w:r>
    </w:p>
    <w:p>
      <w:pPr>
        <w:spacing w:after="0" w:line="168" w:lineRule="exact"/>
        <w:rPr>
          <w:sz w:val="20"/>
          <w:szCs w:val="20"/>
          <w:color w:val="auto"/>
        </w:rPr>
      </w:pPr>
    </w:p>
    <w:p>
      <w:pPr>
        <w:jc w:val="both"/>
        <w:ind w:right="20" w:firstLine="1304"/>
        <w:spacing w:after="0" w:line="250" w:lineRule="auto"/>
        <w:tabs>
          <w:tab w:leader="none" w:pos="1837" w:val="left"/>
        </w:tabs>
        <w:numPr>
          <w:ilvl w:val="0"/>
          <w:numId w:val="363"/>
        </w:numPr>
        <w:rPr>
          <w:rFonts w:ascii="Arial" w:cs="Arial" w:eastAsia="Arial" w:hAnsi="Arial"/>
          <w:sz w:val="20"/>
          <w:szCs w:val="20"/>
          <w:color w:val="auto"/>
        </w:rPr>
      </w:pPr>
      <w:r>
        <w:rPr>
          <w:rFonts w:ascii="Arial" w:cs="Arial" w:eastAsia="Arial" w:hAnsi="Arial"/>
          <w:sz w:val="20"/>
          <w:szCs w:val="20"/>
          <w:color w:val="auto"/>
        </w:rPr>
        <w:t xml:space="preserve">Each borrowing by the Borrower from the Lenders hereunder, each payment by the Borrower on account of any commitment fee and any reduction of the Commitments shall be made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according to the respective L/C Percentages or Revolving Percentages, as the case may be, of the relevant Lenders.</w:t>
      </w:r>
    </w:p>
    <w:p>
      <w:pPr>
        <w:spacing w:after="0" w:line="131" w:lineRule="exact"/>
        <w:rPr>
          <w:rFonts w:ascii="Arial" w:cs="Arial" w:eastAsia="Arial" w:hAnsi="Arial"/>
          <w:sz w:val="20"/>
          <w:szCs w:val="20"/>
          <w:color w:val="auto"/>
        </w:rPr>
      </w:pPr>
    </w:p>
    <w:p>
      <w:pPr>
        <w:ind w:left="1740" w:hanging="436"/>
        <w:spacing w:after="0"/>
        <w:tabs>
          <w:tab w:leader="none" w:pos="1740" w:val="left"/>
        </w:tabs>
        <w:numPr>
          <w:ilvl w:val="0"/>
          <w:numId w:val="363"/>
        </w:numPr>
        <w:rPr>
          <w:rFonts w:ascii="Arial" w:cs="Arial" w:eastAsia="Arial" w:hAnsi="Arial"/>
          <w:sz w:val="20"/>
          <w:szCs w:val="20"/>
          <w:color w:val="auto"/>
        </w:rPr>
      </w:pPr>
      <w:r>
        <w:rPr>
          <w:rFonts w:ascii="Arial" w:cs="Arial" w:eastAsia="Arial" w:hAnsi="Arial"/>
          <w:sz w:val="20"/>
          <w:szCs w:val="20"/>
          <w:color w:val="auto"/>
        </w:rPr>
        <w:t>[Reserved]</w:t>
      </w:r>
    </w:p>
    <w:p>
      <w:pPr>
        <w:spacing w:after="0" w:line="161" w:lineRule="exact"/>
        <w:rPr>
          <w:rFonts w:ascii="Arial" w:cs="Arial" w:eastAsia="Arial" w:hAnsi="Arial"/>
          <w:sz w:val="20"/>
          <w:szCs w:val="20"/>
          <w:color w:val="auto"/>
        </w:rPr>
      </w:pPr>
    </w:p>
    <w:p>
      <w:pPr>
        <w:jc w:val="both"/>
        <w:ind w:firstLine="1304"/>
        <w:spacing w:after="0" w:line="250" w:lineRule="auto"/>
        <w:tabs>
          <w:tab w:leader="none" w:pos="1760" w:val="left"/>
        </w:tabs>
        <w:numPr>
          <w:ilvl w:val="0"/>
          <w:numId w:val="363"/>
        </w:numPr>
        <w:rPr>
          <w:rFonts w:ascii="Arial" w:cs="Arial" w:eastAsia="Arial" w:hAnsi="Arial"/>
          <w:sz w:val="20"/>
          <w:szCs w:val="20"/>
          <w:color w:val="auto"/>
        </w:rPr>
      </w:pPr>
      <w:r>
        <w:rPr>
          <w:rFonts w:ascii="Arial" w:cs="Arial" w:eastAsia="Arial" w:hAnsi="Arial"/>
          <w:sz w:val="20"/>
          <w:szCs w:val="20"/>
          <w:color w:val="auto"/>
        </w:rPr>
        <w:t xml:space="preserve">Each payment (including each prepayment) by the Borrower on account of principal of and interest on the Revolving Loans shall be made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according to the respective outstanding principal amounts of the Revolving Loans then held by the Revolving Lenders.</w:t>
      </w:r>
    </w:p>
    <w:p>
      <w:pPr>
        <w:spacing w:after="0" w:line="131" w:lineRule="exact"/>
        <w:rPr>
          <w:rFonts w:ascii="Arial" w:cs="Arial" w:eastAsia="Arial" w:hAnsi="Arial"/>
          <w:sz w:val="20"/>
          <w:szCs w:val="20"/>
          <w:color w:val="auto"/>
        </w:rPr>
      </w:pPr>
    </w:p>
    <w:p>
      <w:pPr>
        <w:jc w:val="both"/>
        <w:ind w:firstLine="1304"/>
        <w:spacing w:after="0" w:line="269" w:lineRule="auto"/>
        <w:tabs>
          <w:tab w:leader="none" w:pos="1716" w:val="left"/>
        </w:tabs>
        <w:numPr>
          <w:ilvl w:val="0"/>
          <w:numId w:val="363"/>
        </w:numPr>
        <w:rPr>
          <w:rFonts w:ascii="Arial" w:cs="Arial" w:eastAsia="Arial" w:hAnsi="Arial"/>
          <w:sz w:val="18"/>
          <w:szCs w:val="18"/>
          <w:color w:val="auto"/>
        </w:rPr>
      </w:pPr>
      <w:r>
        <w:rPr>
          <w:rFonts w:ascii="Arial" w:cs="Arial" w:eastAsia="Arial" w:hAnsi="Arial"/>
          <w:sz w:val="18"/>
          <w:szCs w:val="18"/>
          <w:color w:val="auto"/>
        </w:rPr>
        <w:t>All payments (including prepayments) to be made by the Borrower hereunder, whether on account of principal, interest, fees or otherwise, shall be made without condition or deduction for any counterclaim, defense, recoupment or setoff and shall be made prior to 10:00 A.M. on the due date thereof to the Administrative Agent, for the account of the Lenders, at the applicable Funding Office, in Dollars (except as otherwise provided herein with respect to Letters of Credit denominated in an Alternative Currency) and in Same Day Funds. If, for any reason, the Borrower is prohibited by any Law from making any required payment hereunder in an Alternative Currency, the Borrower shall make such payment in Dollars in the Dollar Equivalent of the Alternative Currency payment amount. The Administrative Agent shall distribute such payments to the Lenders promptly upon receipt in like funds as received. Any payment in Dollars received by the Administrative Agent after 10:00 A.M. shall be deemed received on the next succeeding Business Day and any applicable interest or fee shall continue to accrue. All payments received by the Administrative Agent after the Applicable Time specified by the Administrative Agent, in the case of payments in an Alternative Currency, shall in each case be deemed received on the next succeeding Business Day and any applicable interest or fee shall continue to accrue. If any payment hereunder (other than payments on the Eurodollar Loans) becomes due and payable on a day other than a Business Day, such payment shall be extended to the next succeeding Business Day. If any payment on a Eurodollar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122" w:lineRule="exact"/>
        <w:rPr>
          <w:rFonts w:ascii="Arial" w:cs="Arial" w:eastAsia="Arial" w:hAnsi="Arial"/>
          <w:sz w:val="18"/>
          <w:szCs w:val="18"/>
          <w:color w:val="auto"/>
        </w:rPr>
      </w:pPr>
    </w:p>
    <w:p>
      <w:pPr>
        <w:jc w:val="both"/>
        <w:ind w:firstLine="1304"/>
        <w:spacing w:after="0" w:line="250" w:lineRule="auto"/>
        <w:tabs>
          <w:tab w:leader="none" w:pos="1770" w:val="left"/>
        </w:tabs>
        <w:numPr>
          <w:ilvl w:val="0"/>
          <w:numId w:val="363"/>
        </w:numPr>
        <w:rPr>
          <w:rFonts w:ascii="Arial" w:cs="Arial" w:eastAsia="Arial" w:hAnsi="Arial"/>
          <w:sz w:val="20"/>
          <w:szCs w:val="20"/>
          <w:color w:val="auto"/>
        </w:rPr>
      </w:pPr>
      <w:r>
        <w:rPr>
          <w:rFonts w:ascii="Arial" w:cs="Arial" w:eastAsia="Arial" w:hAnsi="Arial"/>
          <w:sz w:val="20"/>
          <w:szCs w:val="20"/>
          <w:color w:val="auto"/>
        </w:rPr>
        <w:t>Unless the Administrative Agent shall have been notified in writing by any Lender prior to the proposed date of any borrowing that such Lender will not make the amount that would constitute its share of such borrowing available to the Administrative Agent, the Administrative Agent</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ectPr>
          <w:pgSz w:w="11900" w:h="16838" w:orient="portrait"/>
          <w:cols w:equalWidth="0" w:num="1">
            <w:col w:w="11240"/>
          </w:cols>
          <w:pgMar w:left="320" w:top="771" w:right="339" w:bottom="1440" w:gutter="0" w:footer="0" w:header="0"/>
        </w:sectPr>
      </w:pPr>
    </w:p>
    <w:bookmarkStart w:id="435" w:name="page436"/>
    <w:bookmarkEnd w:id="435"/>
    <w:p>
      <w:pPr>
        <w:jc w:val="both"/>
        <w:spacing w:after="0" w:line="255" w:lineRule="auto"/>
        <w:rPr>
          <w:sz w:val="20"/>
          <w:szCs w:val="20"/>
          <w:color w:val="auto"/>
        </w:rPr>
      </w:pPr>
      <w:r>
        <w:rPr>
          <w:rFonts w:ascii="Arial" w:cs="Arial" w:eastAsia="Arial" w:hAnsi="Arial"/>
          <w:sz w:val="19"/>
          <w:szCs w:val="19"/>
          <w:color w:val="auto"/>
        </w:rPr>
        <w:t xml:space="preserve">may assume that such Lender has made such amount available to the Administrative Agent on such date in accordance with </w:t>
      </w:r>
      <w:r>
        <w:rPr>
          <w:rFonts w:ascii="Arial" w:cs="Arial" w:eastAsia="Arial" w:hAnsi="Arial"/>
          <w:sz w:val="19"/>
          <w:szCs w:val="19"/>
          <w:u w:val="single" w:color="auto"/>
          <w:color w:val="auto"/>
        </w:rPr>
        <w:t>Section 2</w:t>
      </w:r>
      <w:r>
        <w:rPr>
          <w:rFonts w:ascii="Arial" w:cs="Arial" w:eastAsia="Arial" w:hAnsi="Arial"/>
          <w:sz w:val="19"/>
          <w:szCs w:val="19"/>
          <w:color w:val="auto"/>
        </w:rPr>
        <w:t>, and the Administrative Agent may, in reliance upon such assumption, make available to the Borrower a corresponding amount. If such amount is not in fact made available to the Administrative Agent by the required time on the Borrowing Date therefor, such Lender and the Borrower severally agree to pay to the Administrative Agent forthwith, on demand, such corresponding amount with interest thereon, for each day from and including the date on which such amount is made available to the Borrower but excluding the date of payment to the Administrative Agent, at (i) in the case of a payment to be made by such Lender, a rate equal to the greater of (A) the Federal Funds Effective Rate and (B) a rate determined by the Administrative Agent in accordance with banking industry rules on interbank compensation, and (ii) in the case of a payment to be made by the Borrower, the rate per annum applicable to ABR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28" w:lineRule="exact"/>
        <w:rPr>
          <w:sz w:val="20"/>
          <w:szCs w:val="20"/>
          <w:color w:val="auto"/>
        </w:rPr>
      </w:pPr>
    </w:p>
    <w:p>
      <w:pPr>
        <w:jc w:val="both"/>
        <w:ind w:firstLine="1304"/>
        <w:spacing w:after="0" w:line="272" w:lineRule="auto"/>
        <w:tabs>
          <w:tab w:leader="none" w:pos="1719" w:val="left"/>
        </w:tabs>
        <w:numPr>
          <w:ilvl w:val="0"/>
          <w:numId w:val="364"/>
        </w:numPr>
        <w:rPr>
          <w:rFonts w:ascii="Arial" w:cs="Arial" w:eastAsia="Arial" w:hAnsi="Arial"/>
          <w:sz w:val="18"/>
          <w:szCs w:val="18"/>
          <w:color w:val="auto"/>
        </w:rPr>
      </w:pPr>
      <w:r>
        <w:rPr>
          <w:rFonts w:ascii="Arial" w:cs="Arial" w:eastAsia="Arial" w:hAnsi="Arial"/>
          <w:sz w:val="18"/>
          <w:szCs w:val="18"/>
          <w:color w:val="auto"/>
        </w:rPr>
        <w:t>Unless the Administrative Agent shall have received notice from the Borrower prior to the date on which any payment is due to the Administrative Agent for the account of the Lenders or the Issuing Lender hereunder that the Borrower will not make such payment, the Administrative Agent may assume that the Borrower has made such payment on such date in accordance herewith and may, in reliance upon such assumption, distribute to the Lenders or the Issuing Lender, as the case may be, the amount due. In such event, if the Borrower has not in fact made such payment, then each of the Lenders or the Issuing Lender, as the case may be, severally agrees to repay to the Administrative Agent forthwith on demand the amount so distributed to such Lender or Issuing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 Nothing herein shall be deemed to limit the rights of Administrative Agent or any Lender against any Loan Party.</w:t>
      </w:r>
    </w:p>
    <w:p>
      <w:pPr>
        <w:spacing w:after="0" w:line="116" w:lineRule="exact"/>
        <w:rPr>
          <w:rFonts w:ascii="Arial" w:cs="Arial" w:eastAsia="Arial" w:hAnsi="Arial"/>
          <w:sz w:val="18"/>
          <w:szCs w:val="18"/>
          <w:color w:val="auto"/>
        </w:rPr>
      </w:pPr>
    </w:p>
    <w:p>
      <w:pPr>
        <w:jc w:val="both"/>
        <w:ind w:firstLine="1304"/>
        <w:spacing w:after="0" w:line="282" w:lineRule="auto"/>
        <w:tabs>
          <w:tab w:leader="none" w:pos="1745" w:val="left"/>
        </w:tabs>
        <w:numPr>
          <w:ilvl w:val="0"/>
          <w:numId w:val="364"/>
        </w:numPr>
        <w:rPr>
          <w:rFonts w:ascii="Arial" w:cs="Arial" w:eastAsia="Arial" w:hAnsi="Arial"/>
          <w:sz w:val="18"/>
          <w:szCs w:val="18"/>
          <w:color w:val="auto"/>
        </w:rPr>
      </w:pPr>
      <w:r>
        <w:rPr>
          <w:rFonts w:ascii="Arial" w:cs="Arial" w:eastAsia="Arial" w:hAnsi="Arial"/>
          <w:sz w:val="18"/>
          <w:szCs w:val="18"/>
          <w:color w:val="auto"/>
        </w:rPr>
        <w:t xml:space="preserve">If any Lender makes available to the Administrative Agent funds for any Loan to be made by such Lender as provided in the foregoing provisions of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and such funds are not made available to the Borrower by the Administrative Agent because the conditions to the applicable extension of credit set forth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are not satisfied or waived in accordance with the terms hereof, the Administrative Agent shall return such funds (in like funds as received from such Lender) to such Lender, without interest.</w:t>
      </w:r>
    </w:p>
    <w:p>
      <w:pPr>
        <w:spacing w:after="0" w:line="107" w:lineRule="exact"/>
        <w:rPr>
          <w:rFonts w:ascii="Arial" w:cs="Arial" w:eastAsia="Arial" w:hAnsi="Arial"/>
          <w:sz w:val="18"/>
          <w:szCs w:val="18"/>
          <w:color w:val="auto"/>
        </w:rPr>
      </w:pPr>
    </w:p>
    <w:p>
      <w:pPr>
        <w:jc w:val="both"/>
        <w:ind w:firstLine="1304"/>
        <w:spacing w:after="0" w:line="259" w:lineRule="auto"/>
        <w:tabs>
          <w:tab w:leader="none" w:pos="1724" w:val="left"/>
        </w:tabs>
        <w:numPr>
          <w:ilvl w:val="0"/>
          <w:numId w:val="364"/>
        </w:numPr>
        <w:rPr>
          <w:rFonts w:ascii="Arial" w:cs="Arial" w:eastAsia="Arial" w:hAnsi="Arial"/>
          <w:sz w:val="19"/>
          <w:szCs w:val="19"/>
          <w:color w:val="auto"/>
        </w:rPr>
      </w:pPr>
      <w:r>
        <w:rPr>
          <w:rFonts w:ascii="Arial" w:cs="Arial" w:eastAsia="Arial" w:hAnsi="Arial"/>
          <w:sz w:val="19"/>
          <w:szCs w:val="19"/>
          <w:color w:val="auto"/>
        </w:rPr>
        <w:t xml:space="preserve">The obligations of the Lenders hereunder to (i) make Revolving Loans, (ii) fund its participations in L/C Disbursements in accordance with its respective L/C Percentage, (iii) fund its respective Swingline Participation Amount of any Swingline Loan, and (iv) make payments pursuant to </w:t>
      </w:r>
      <w:r>
        <w:rPr>
          <w:rFonts w:ascii="Arial" w:cs="Arial" w:eastAsia="Arial" w:hAnsi="Arial"/>
          <w:sz w:val="19"/>
          <w:szCs w:val="19"/>
          <w:u w:val="single" w:color="auto"/>
          <w:color w:val="auto"/>
        </w:rPr>
        <w:t>Section 9.7</w:t>
      </w:r>
      <w:r>
        <w:rPr>
          <w:rFonts w:ascii="Arial" w:cs="Arial" w:eastAsia="Arial" w:hAnsi="Arial"/>
          <w:sz w:val="19"/>
          <w:szCs w:val="19"/>
          <w:color w:val="auto"/>
        </w:rPr>
        <w:t xml:space="preserve">, as applicable, are several and not joint. The failure of any Lender to make any such Loan, to fund any such participation or to make any such payment under </w:t>
      </w:r>
      <w:r>
        <w:rPr>
          <w:rFonts w:ascii="Arial" w:cs="Arial" w:eastAsia="Arial" w:hAnsi="Arial"/>
          <w:sz w:val="19"/>
          <w:szCs w:val="19"/>
          <w:u w:val="single" w:color="auto"/>
          <w:color w:val="auto"/>
        </w:rPr>
        <w:t>Section 9.7</w:t>
      </w:r>
      <w:r>
        <w:rPr>
          <w:rFonts w:ascii="Arial" w:cs="Arial" w:eastAsia="Arial" w:hAnsi="Arial"/>
          <w:sz w:val="19"/>
          <w:szCs w:val="19"/>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19"/>
          <w:szCs w:val="19"/>
          <w:u w:val="single" w:color="auto"/>
          <w:color w:val="auto"/>
        </w:rPr>
        <w:t>Section 9.7</w:t>
      </w:r>
      <w:r>
        <w:rPr>
          <w:rFonts w:ascii="Arial" w:cs="Arial" w:eastAsia="Arial" w:hAnsi="Arial"/>
          <w:sz w:val="19"/>
          <w:szCs w:val="19"/>
          <w:color w:val="auto"/>
        </w:rPr>
        <w:t>.</w:t>
      </w:r>
    </w:p>
    <w:p>
      <w:pPr>
        <w:spacing w:after="0" w:line="124" w:lineRule="exact"/>
        <w:rPr>
          <w:rFonts w:ascii="Arial" w:cs="Arial" w:eastAsia="Arial" w:hAnsi="Arial"/>
          <w:sz w:val="19"/>
          <w:szCs w:val="19"/>
          <w:color w:val="auto"/>
        </w:rPr>
      </w:pPr>
    </w:p>
    <w:p>
      <w:pPr>
        <w:jc w:val="both"/>
        <w:ind w:firstLine="1304"/>
        <w:spacing w:after="0" w:line="250" w:lineRule="auto"/>
        <w:tabs>
          <w:tab w:leader="none" w:pos="1775" w:val="left"/>
        </w:tabs>
        <w:numPr>
          <w:ilvl w:val="0"/>
          <w:numId w:val="364"/>
        </w:numPr>
        <w:rPr>
          <w:rFonts w:ascii="Arial" w:cs="Arial" w:eastAsia="Arial" w:hAnsi="Arial"/>
          <w:sz w:val="20"/>
          <w:szCs w:val="20"/>
          <w:color w:val="auto"/>
        </w:rPr>
      </w:pPr>
      <w:r>
        <w:rPr>
          <w:rFonts w:ascii="Arial" w:cs="Arial" w:eastAsia="Arial" w:hAnsi="Arial"/>
          <w:sz w:val="20"/>
          <w:szCs w:val="20"/>
          <w:color w:val="auto"/>
        </w:rPr>
        <w:t>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31" w:lineRule="exact"/>
        <w:rPr>
          <w:rFonts w:ascii="Arial" w:cs="Arial" w:eastAsia="Arial" w:hAnsi="Arial"/>
          <w:sz w:val="20"/>
          <w:szCs w:val="20"/>
          <w:color w:val="auto"/>
        </w:rPr>
      </w:pPr>
    </w:p>
    <w:p>
      <w:pPr>
        <w:jc w:val="both"/>
        <w:ind w:firstLine="1304"/>
        <w:spacing w:after="0" w:line="246" w:lineRule="auto"/>
        <w:tabs>
          <w:tab w:leader="none" w:pos="1728" w:val="left"/>
        </w:tabs>
        <w:numPr>
          <w:ilvl w:val="0"/>
          <w:numId w:val="364"/>
        </w:numPr>
        <w:rPr>
          <w:rFonts w:ascii="Arial" w:cs="Arial" w:eastAsia="Arial" w:hAnsi="Arial"/>
          <w:sz w:val="20"/>
          <w:szCs w:val="20"/>
          <w:color w:val="auto"/>
        </w:rPr>
      </w:pPr>
      <w:r>
        <w:rPr>
          <w:rFonts w:ascii="Arial" w:cs="Arial" w:eastAsia="Arial" w:hAnsi="Arial"/>
          <w:sz w:val="20"/>
          <w:szCs w:val="20"/>
          <w:color w:val="auto"/>
        </w:rPr>
        <w:t xml:space="preserve">If at any time insufficient funds are received by and available to the Administrative Agent to pay fully all amounts of principal, interest and fees then due hereunder, such funds shall be applied (i) </w:t>
      </w: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toward payment of interest and fees and Overadvances then due hereunder, ratably among the parties entitled thereto in accordance with the amounts of interest and fees and Overadvances then due to such parties, and (ii) </w:t>
      </w:r>
      <w:r>
        <w:rPr>
          <w:rFonts w:ascii="Arial" w:cs="Arial" w:eastAsia="Arial" w:hAnsi="Arial"/>
          <w:sz w:val="20"/>
          <w:szCs w:val="20"/>
          <w:u w:val="single" w:color="auto"/>
          <w:color w:val="auto"/>
        </w:rPr>
        <w:t>second</w:t>
      </w:r>
      <w:r>
        <w:rPr>
          <w:rFonts w:ascii="Arial" w:cs="Arial" w:eastAsia="Arial" w:hAnsi="Arial"/>
          <w:sz w:val="20"/>
          <w:szCs w:val="20"/>
          <w:color w:val="auto"/>
        </w:rPr>
        <w:t>, toward payment of principal then due hereunder,</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11240"/>
          </w:cols>
          <w:pgMar w:left="320" w:top="771" w:right="339" w:bottom="1440" w:gutter="0" w:footer="0" w:header="0"/>
        </w:sectPr>
      </w:pPr>
    </w:p>
    <w:bookmarkStart w:id="436" w:name="page437"/>
    <w:bookmarkEnd w:id="436"/>
    <w:p>
      <w:pPr>
        <w:spacing w:after="0"/>
        <w:rPr>
          <w:sz w:val="20"/>
          <w:szCs w:val="20"/>
          <w:color w:val="auto"/>
        </w:rPr>
      </w:pPr>
      <w:r>
        <w:rPr>
          <w:rFonts w:ascii="Arial" w:cs="Arial" w:eastAsia="Arial" w:hAnsi="Arial"/>
          <w:sz w:val="20"/>
          <w:szCs w:val="20"/>
          <w:color w:val="auto"/>
        </w:rPr>
        <w:t>ratably among the parties entitled thereto in accordance with the amounts of principal then due to such parties.</w:t>
      </w:r>
    </w:p>
    <w:p>
      <w:pPr>
        <w:spacing w:after="0" w:line="162" w:lineRule="exact"/>
        <w:rPr>
          <w:sz w:val="20"/>
          <w:szCs w:val="20"/>
          <w:color w:val="auto"/>
        </w:rPr>
      </w:pPr>
    </w:p>
    <w:p>
      <w:pPr>
        <w:jc w:val="both"/>
        <w:ind w:firstLine="1304"/>
        <w:spacing w:after="0" w:line="266" w:lineRule="auto"/>
        <w:tabs>
          <w:tab w:leader="none" w:pos="1749" w:val="left"/>
        </w:tabs>
        <w:numPr>
          <w:ilvl w:val="1"/>
          <w:numId w:val="365"/>
        </w:numPr>
        <w:rPr>
          <w:rFonts w:ascii="Arial" w:cs="Arial" w:eastAsia="Arial" w:hAnsi="Arial"/>
          <w:sz w:val="18"/>
          <w:szCs w:val="18"/>
          <w:color w:val="auto"/>
        </w:rPr>
      </w:pPr>
      <w:r>
        <w:rPr>
          <w:rFonts w:ascii="Arial" w:cs="Arial" w:eastAsia="Arial" w:hAnsi="Arial"/>
          <w:sz w:val="18"/>
          <w:szCs w:val="18"/>
          <w:color w:val="auto"/>
        </w:rPr>
        <w:t xml:space="preserve">If any Lender shall obtain any payment (whether voluntary, involuntary, through the exercise of any right of set-off, or otherwise) on account of the principal of or interest on any Loan made by it, its participation in the L/C Exposure or other obligations hereunder, as applicable (other than pursuant to a provision hereof providing for non-pro rata treatment), in excess of its Revolving Percentage or L/C Percentage, as applicable, of such payment on account of the Loans or participations obtained by all of the Lenders, such Lender shall (a) notify the Administrative Agent of the receipt of such payment, and (b) within 5 Business Days of such receipt purchase (for cash at face value) from the other Revolving Lenders or L/C Lenders, as applicable (through the Administrative Agent), without recourse, such participations in the Revolving Loans made by them and/or participations in the L/C Exposure held by them, as applicable, or make such other adjustments as shall be equitable, as shall be necessary to cause such purchasing Lender to share the excess payment ratably with each of the other Lenders in accordance with their respective Revolving Percentages or L/C Percentages,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clause (k) shall not be construed to apply to (x) any payment made by the Borrower pursuant to and in accordance with the express terms of this Agreement (including the application of funds arising from the existence of a Defaulting Lender) or (y) any payment obtained by a Lender as consideration for the assignment or sale of a participation in any of its Loans or participations in L/C Disbursements to any assignee or participant, other than to the Borrower or any of its Affiliates (as to which the provisions of this clause (k) shall apply). The Borrower agrees that any Lender so purchasing a participation from another Lender pursuant to this </w:t>
      </w:r>
      <w:r>
        <w:rPr>
          <w:rFonts w:ascii="Arial" w:cs="Arial" w:eastAsia="Arial" w:hAnsi="Arial"/>
          <w:sz w:val="18"/>
          <w:szCs w:val="18"/>
          <w:u w:val="single" w:color="auto"/>
          <w:color w:val="auto"/>
        </w:rPr>
        <w:t>Section 2.18(k)</w:t>
      </w:r>
      <w:r>
        <w:rPr>
          <w:rFonts w:ascii="Arial" w:cs="Arial" w:eastAsia="Arial" w:hAnsi="Arial"/>
          <w:sz w:val="18"/>
          <w:szCs w:val="18"/>
          <w:color w:val="auto"/>
        </w:rPr>
        <w:t xml:space="preserve"> may exercise all its rights of payment (including the right of set-off) with respect to such participation as fully as if such Lender were the direct creditor of the Borrower in the amount of such participation. No documentation other than notices and the like referred to in this </w:t>
      </w:r>
      <w:r>
        <w:rPr>
          <w:rFonts w:ascii="Arial" w:cs="Arial" w:eastAsia="Arial" w:hAnsi="Arial"/>
          <w:sz w:val="18"/>
          <w:szCs w:val="18"/>
          <w:u w:val="single" w:color="auto"/>
          <w:color w:val="auto"/>
        </w:rPr>
        <w:t>Section 2.18(k)</w:t>
      </w:r>
      <w:r>
        <w:rPr>
          <w:rFonts w:ascii="Arial" w:cs="Arial" w:eastAsia="Arial" w:hAnsi="Arial"/>
          <w:sz w:val="18"/>
          <w:szCs w:val="18"/>
          <w:color w:val="auto"/>
        </w:rPr>
        <w:t xml:space="preserve"> shall be required to implement the terms of this </w:t>
      </w:r>
      <w:r>
        <w:rPr>
          <w:rFonts w:ascii="Arial" w:cs="Arial" w:eastAsia="Arial" w:hAnsi="Arial"/>
          <w:sz w:val="18"/>
          <w:szCs w:val="18"/>
          <w:u w:val="single" w:color="auto"/>
          <w:color w:val="auto"/>
        </w:rPr>
        <w:t>Section 2.18(k)</w:t>
      </w:r>
      <w:r>
        <w:rPr>
          <w:rFonts w:ascii="Arial" w:cs="Arial" w:eastAsia="Arial" w:hAnsi="Arial"/>
          <w:sz w:val="18"/>
          <w:szCs w:val="18"/>
          <w:color w:val="auto"/>
        </w:rPr>
        <w:t xml:space="preserve">. The Administrative Agent shall keep records (which shall be conclusive and binding in the absence of manifest error) of participations purchased pursuant to this </w:t>
      </w:r>
      <w:r>
        <w:rPr>
          <w:rFonts w:ascii="Arial" w:cs="Arial" w:eastAsia="Arial" w:hAnsi="Arial"/>
          <w:sz w:val="18"/>
          <w:szCs w:val="18"/>
          <w:u w:val="single" w:color="auto"/>
          <w:color w:val="auto"/>
        </w:rPr>
        <w:t>Section 2.18(k)</w:t>
      </w:r>
      <w:r>
        <w:rPr>
          <w:rFonts w:ascii="Arial" w:cs="Arial" w:eastAsia="Arial" w:hAnsi="Arial"/>
          <w:sz w:val="18"/>
          <w:szCs w:val="18"/>
          <w:color w:val="auto"/>
        </w:rPr>
        <w:t xml:space="preserve"> and shall in each case notify the Revolving Lenders or the L/C Lenders, as applicable, following any such purchase. The provisions of this </w:t>
      </w:r>
      <w:r>
        <w:rPr>
          <w:rFonts w:ascii="Arial" w:cs="Arial" w:eastAsia="Arial" w:hAnsi="Arial"/>
          <w:sz w:val="18"/>
          <w:szCs w:val="18"/>
          <w:u w:val="single" w:color="auto"/>
          <w:color w:val="auto"/>
        </w:rPr>
        <w:t>Section 2.18(k)</w:t>
      </w:r>
      <w:r>
        <w:rPr>
          <w:rFonts w:ascii="Arial" w:cs="Arial" w:eastAsia="Arial" w:hAnsi="Arial"/>
          <w:sz w:val="18"/>
          <w:szCs w:val="18"/>
          <w:color w:val="auto"/>
        </w:rPr>
        <w:t xml:space="preserve"> shall not be construed to apply to (i) any payment made by or on behalf of the Borrower pursuant to and in accordance with the express terms of this Agreement (including the application of funds arising from the existence of a Defaulting Lender), (ii) the application of Cash Collateral provided for in </w:t>
      </w:r>
      <w:r>
        <w:rPr>
          <w:rFonts w:ascii="Arial" w:cs="Arial" w:eastAsia="Arial" w:hAnsi="Arial"/>
          <w:sz w:val="18"/>
          <w:szCs w:val="18"/>
          <w:u w:val="single" w:color="auto"/>
          <w:color w:val="auto"/>
        </w:rPr>
        <w:t>Section 3.10</w:t>
      </w:r>
      <w:r>
        <w:rPr>
          <w:rFonts w:ascii="Arial" w:cs="Arial" w:eastAsia="Arial" w:hAnsi="Arial"/>
          <w:sz w:val="18"/>
          <w:szCs w:val="18"/>
          <w:color w:val="auto"/>
        </w:rPr>
        <w:t>, or</w:t>
      </w:r>
    </w:p>
    <w:p>
      <w:pPr>
        <w:spacing w:after="0" w:line="18" w:lineRule="exact"/>
        <w:rPr>
          <w:rFonts w:ascii="Arial" w:cs="Arial" w:eastAsia="Arial" w:hAnsi="Arial"/>
          <w:sz w:val="18"/>
          <w:szCs w:val="18"/>
          <w:color w:val="auto"/>
        </w:rPr>
      </w:pPr>
    </w:p>
    <w:p>
      <w:pPr>
        <w:jc w:val="both"/>
        <w:ind w:firstLine="8"/>
        <w:spacing w:after="0"/>
        <w:tabs>
          <w:tab w:leader="none" w:pos="387" w:val="left"/>
        </w:tabs>
        <w:numPr>
          <w:ilvl w:val="0"/>
          <w:numId w:val="366"/>
        </w:numPr>
        <w:rPr>
          <w:rFonts w:ascii="Arial" w:cs="Arial" w:eastAsia="Arial" w:hAnsi="Arial"/>
          <w:sz w:val="20"/>
          <w:szCs w:val="20"/>
          <w:color w:val="auto"/>
        </w:rPr>
      </w:pPr>
      <w:r>
        <w:rPr>
          <w:rFonts w:ascii="Arial" w:cs="Arial" w:eastAsia="Arial" w:hAnsi="Arial"/>
          <w:sz w:val="20"/>
          <w:szCs w:val="20"/>
          <w:color w:val="auto"/>
        </w:rPr>
        <w:t xml:space="preserve">any payment obtained by a Lender as consideration for the assignment of or sale of a participation in any of its Loans or sub-participations in any L/C Exposure to any assignee or participant, other than an assignment to the Borrower or any Affiliate thereof (as to which the provisions of this </w:t>
      </w:r>
      <w:r>
        <w:rPr>
          <w:rFonts w:ascii="Arial" w:cs="Arial" w:eastAsia="Arial" w:hAnsi="Arial"/>
          <w:sz w:val="20"/>
          <w:szCs w:val="20"/>
          <w:u w:val="single" w:color="auto"/>
          <w:color w:val="auto"/>
        </w:rPr>
        <w:t>Section 2.18(k)</w:t>
      </w:r>
      <w:r>
        <w:rPr>
          <w:rFonts w:ascii="Arial" w:cs="Arial" w:eastAsia="Arial" w:hAnsi="Arial"/>
          <w:sz w:val="20"/>
          <w:szCs w:val="20"/>
          <w:color w:val="auto"/>
        </w:rPr>
        <w:t xml:space="preserve"> shall apply). The Borrower consents on behalf of itself and each other Loan Party to the foregoing and agrees, to the extent it may effectively do so under applicable law, that any Lender acquiring a participation pursuant to the foregoing arrangements may exercise against each Loan Party rights of setoff and counterclaim with respect to such participation as fully as if such Lender were a direct creditor of each Loan Party in the amount of such participation. For the avoidance of doubt, no amounts received by the Administrative Agent or any Lender from any Guarantor that is not a Qualified ECP Guarantor shall be applied in partial or complete satisfaction of any Excluded Swap Obligations.</w:t>
      </w:r>
    </w:p>
    <w:p>
      <w:pPr>
        <w:spacing w:after="0" w:line="142" w:lineRule="exact"/>
        <w:rPr>
          <w:rFonts w:ascii="Arial" w:cs="Arial" w:eastAsia="Arial" w:hAnsi="Arial"/>
          <w:sz w:val="20"/>
          <w:szCs w:val="20"/>
          <w:color w:val="auto"/>
        </w:rPr>
      </w:pPr>
    </w:p>
    <w:p>
      <w:pPr>
        <w:jc w:val="both"/>
        <w:ind w:firstLine="1304"/>
        <w:spacing w:after="0" w:line="243" w:lineRule="auto"/>
        <w:tabs>
          <w:tab w:leader="none" w:pos="1696" w:val="left"/>
        </w:tabs>
        <w:numPr>
          <w:ilvl w:val="1"/>
          <w:numId w:val="366"/>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in this Agreement, the Administrative Agent may, in its discretion at any time or from time to time, without the Borrower’s request and even if the conditions set forth in </w:t>
      </w:r>
      <w:r>
        <w:rPr>
          <w:rFonts w:ascii="Arial" w:cs="Arial" w:eastAsia="Arial" w:hAnsi="Arial"/>
          <w:sz w:val="20"/>
          <w:szCs w:val="20"/>
          <w:u w:val="single" w:color="auto"/>
          <w:color w:val="auto"/>
        </w:rPr>
        <w:t>Section 5.2</w:t>
      </w:r>
      <w:r>
        <w:rPr>
          <w:rFonts w:ascii="Arial" w:cs="Arial" w:eastAsia="Arial" w:hAnsi="Arial"/>
          <w:sz w:val="20"/>
          <w:szCs w:val="20"/>
          <w:color w:val="auto"/>
        </w:rPr>
        <w:t xml:space="preserve"> would not be satisfied, make a Revolving Loan in an amount equal to the portion of the Obligations constituting overdue interest and fees and Swingline Loans from time to time due and payable to itself, any Revolving Lender, the Swingline Lender or the Issuing Lender, and apply the proceeds of any such Revolving Loan to those Obligations;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after giving effect to any such Revolving Loan, the aggregate outstanding Revolving Loans will not exceed the Total Revolving Commitments then in effect.</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ectPr>
          <w:pgSz w:w="11900" w:h="16838" w:orient="portrait"/>
          <w:cols w:equalWidth="0" w:num="1">
            <w:col w:w="11240"/>
          </w:cols>
          <w:pgMar w:left="320" w:top="771" w:right="339" w:bottom="1440" w:gutter="0" w:footer="0" w:header="0"/>
        </w:sectPr>
      </w:pPr>
    </w:p>
    <w:bookmarkStart w:id="437" w:name="page438"/>
    <w:bookmarkEnd w:id="437"/>
    <w:p>
      <w:pPr>
        <w:ind w:left="660"/>
        <w:spacing w:after="0"/>
        <w:tabs>
          <w:tab w:leader="none" w:pos="1180" w:val="left"/>
        </w:tabs>
        <w:rPr>
          <w:sz w:val="20"/>
          <w:szCs w:val="20"/>
          <w:color w:val="auto"/>
        </w:rPr>
      </w:pPr>
      <w:r>
        <w:rPr>
          <w:rFonts w:ascii="Arial" w:cs="Arial" w:eastAsia="Arial" w:hAnsi="Arial"/>
          <w:sz w:val="20"/>
          <w:szCs w:val="20"/>
          <w:b w:val="1"/>
          <w:bCs w:val="1"/>
          <w:color w:val="auto"/>
        </w:rPr>
        <w:t>2.19</w:t>
      </w:r>
      <w:r>
        <w:rPr>
          <w:sz w:val="20"/>
          <w:szCs w:val="20"/>
          <w:color w:val="auto"/>
        </w:rPr>
        <w:tab/>
      </w:r>
      <w:r>
        <w:rPr>
          <w:rFonts w:ascii="Arial" w:cs="Arial" w:eastAsia="Arial" w:hAnsi="Arial"/>
          <w:sz w:val="18"/>
          <w:szCs w:val="18"/>
          <w:b w:val="1"/>
          <w:bCs w:val="1"/>
          <w:color w:val="auto"/>
        </w:rPr>
        <w:t>Illegality; Requirements of Law</w:t>
      </w:r>
      <w:r>
        <w:rPr>
          <w:rFonts w:ascii="Arial" w:cs="Arial" w:eastAsia="Arial" w:hAnsi="Arial"/>
          <w:sz w:val="18"/>
          <w:szCs w:val="18"/>
          <w:color w:val="auto"/>
        </w:rPr>
        <w:t>.</w:t>
      </w:r>
    </w:p>
    <w:p>
      <w:pPr>
        <w:spacing w:after="0" w:line="168" w:lineRule="exact"/>
        <w:rPr>
          <w:sz w:val="20"/>
          <w:szCs w:val="20"/>
          <w:color w:val="auto"/>
        </w:rPr>
      </w:pPr>
    </w:p>
    <w:p>
      <w:pPr>
        <w:jc w:val="both"/>
        <w:ind w:firstLine="1304"/>
        <w:spacing w:after="0" w:line="271" w:lineRule="auto"/>
        <w:tabs>
          <w:tab w:leader="none" w:pos="1754" w:val="left"/>
        </w:tabs>
        <w:numPr>
          <w:ilvl w:val="1"/>
          <w:numId w:val="367"/>
        </w:numPr>
        <w:rPr>
          <w:rFonts w:ascii="Arial" w:cs="Arial" w:eastAsia="Arial" w:hAnsi="Arial"/>
          <w:sz w:val="18"/>
          <w:szCs w:val="18"/>
          <w:color w:val="auto"/>
        </w:rPr>
      </w:pPr>
      <w:r>
        <w:rPr>
          <w:rFonts w:ascii="Arial" w:cs="Arial" w:eastAsia="Arial" w:hAnsi="Arial"/>
          <w:sz w:val="18"/>
          <w:szCs w:val="18"/>
          <w:u w:val="single" w:color="auto"/>
          <w:color w:val="auto"/>
        </w:rPr>
        <w:t>Illegality</w:t>
      </w:r>
      <w:r>
        <w:rPr>
          <w:rFonts w:ascii="Arial" w:cs="Arial" w:eastAsia="Arial" w:hAnsi="Arial"/>
          <w:sz w:val="18"/>
          <w:szCs w:val="18"/>
          <w:color w:val="auto"/>
        </w:rPr>
        <w:t>. If after the Closing Date any Lender determines that any Requirement of Law has made it unlawful, or that any Governmental Authority has asserted that it is unlawful, for such Lender to make, maintain or fund Eurodollar Loans, or to determine or charge interest rates based upon the Eurodollar Rate, or any Governmental Authority has imposed material restrictions on the authority of such Lender to purchase or sell, or to take deposits of, Dollars in the London interbank market, then, on notice thereof by such Lender to the Borrower through the Administrative Agent, any obligation of such Lender to make or continue Eurodollar Loans or to convert ABR Loans to Eurodollar Loans shall be suspended, until such Lender notifies the Administrative Agent and the Borrower that the circumstances giving rise to such determination no longer exist. Upon receipt of such notice, the Borrower shall, upon demand from such Lender (with a copy to the Administrative Agent), prepay or, if applicable, convert all Eurodollar Loans of such Lender to ABR Loans, either on the last day of the Interest Period therefor, if such Lender may lawfully continue to maintain such Eurodollar Loans to such day, or immediately, if such Lender may not lawfully continue to maintain such Eurodollar. Upon any such prepayment or conversion, the Borrower shall also pay accrued interest on the amount so prepaid or converted.</w:t>
      </w:r>
    </w:p>
    <w:p>
      <w:pPr>
        <w:spacing w:after="0" w:line="115" w:lineRule="exact"/>
        <w:rPr>
          <w:rFonts w:ascii="Arial" w:cs="Arial" w:eastAsia="Arial" w:hAnsi="Arial"/>
          <w:sz w:val="18"/>
          <w:szCs w:val="18"/>
          <w:color w:val="auto"/>
        </w:rPr>
      </w:pPr>
    </w:p>
    <w:p>
      <w:pPr>
        <w:jc w:val="both"/>
        <w:ind w:firstLine="1304"/>
        <w:spacing w:after="0" w:line="246" w:lineRule="auto"/>
        <w:tabs>
          <w:tab w:leader="none" w:pos="1900" w:val="left"/>
        </w:tabs>
        <w:numPr>
          <w:ilvl w:val="1"/>
          <w:numId w:val="367"/>
        </w:numPr>
        <w:rPr>
          <w:rFonts w:ascii="Arial" w:cs="Arial" w:eastAsia="Arial" w:hAnsi="Arial"/>
          <w:sz w:val="20"/>
          <w:szCs w:val="20"/>
          <w:color w:val="auto"/>
        </w:rPr>
      </w:pPr>
      <w:r>
        <w:rPr>
          <w:rFonts w:ascii="Arial" w:cs="Arial" w:eastAsia="Arial" w:hAnsi="Arial"/>
          <w:sz w:val="20"/>
          <w:szCs w:val="20"/>
          <w:u w:val="single" w:color="auto"/>
          <w:color w:val="auto"/>
        </w:rPr>
        <w:t>Requirements of Law</w:t>
      </w:r>
      <w:r>
        <w:rPr>
          <w:rFonts w:ascii="Arial" w:cs="Arial" w:eastAsia="Arial" w:hAnsi="Arial"/>
          <w:sz w:val="20"/>
          <w:szCs w:val="20"/>
          <w:color w:val="auto"/>
        </w:rPr>
        <w:t>. If the adoption of or any change in any Requirement of Law or in the administration, interpretation, implementation or application thereof by any Governmental Authority, or the making or issuance of any request, rule, guideline or directive (whether or not having the force of law) by any Governmental Authority made subsequent to the Original Closing Date:</w:t>
      </w:r>
    </w:p>
    <w:p>
      <w:pPr>
        <w:spacing w:after="0" w:line="137" w:lineRule="exact"/>
        <w:rPr>
          <w:rFonts w:ascii="Arial" w:cs="Arial" w:eastAsia="Arial" w:hAnsi="Arial"/>
          <w:sz w:val="20"/>
          <w:szCs w:val="20"/>
          <w:color w:val="auto"/>
        </w:rPr>
      </w:pPr>
    </w:p>
    <w:p>
      <w:pPr>
        <w:ind w:left="2420" w:hanging="468"/>
        <w:spacing w:after="0"/>
        <w:tabs>
          <w:tab w:leader="none" w:pos="2420" w:val="left"/>
        </w:tabs>
        <w:numPr>
          <w:ilvl w:val="2"/>
          <w:numId w:val="367"/>
        </w:numPr>
        <w:rPr>
          <w:rFonts w:ascii="Arial" w:cs="Arial" w:eastAsia="Arial" w:hAnsi="Arial"/>
          <w:sz w:val="18"/>
          <w:szCs w:val="18"/>
          <w:color w:val="auto"/>
        </w:rPr>
      </w:pPr>
      <w:r>
        <w:rPr>
          <w:rFonts w:ascii="Arial" w:cs="Arial" w:eastAsia="Arial" w:hAnsi="Arial"/>
          <w:sz w:val="18"/>
          <w:szCs w:val="18"/>
          <w:color w:val="auto"/>
        </w:rPr>
        <w:t>shall subject any Recipient to any Taxes (other than (A) Indemnified Taxes, (B) Taxes described in clauses</w:t>
      </w:r>
    </w:p>
    <w:p>
      <w:pPr>
        <w:spacing w:after="0" w:line="38" w:lineRule="exact"/>
        <w:rPr>
          <w:rFonts w:ascii="Arial" w:cs="Arial" w:eastAsia="Arial" w:hAnsi="Arial"/>
          <w:sz w:val="18"/>
          <w:szCs w:val="18"/>
          <w:color w:val="auto"/>
        </w:rPr>
      </w:pPr>
    </w:p>
    <w:p>
      <w:pPr>
        <w:ind w:right="20" w:firstLine="8"/>
        <w:spacing w:after="0" w:line="244" w:lineRule="auto"/>
        <w:tabs>
          <w:tab w:leader="none" w:pos="317" w:val="left"/>
        </w:tabs>
        <w:numPr>
          <w:ilvl w:val="0"/>
          <w:numId w:val="368"/>
        </w:numPr>
        <w:rPr>
          <w:rFonts w:ascii="Arial" w:cs="Arial" w:eastAsia="Arial" w:hAnsi="Arial"/>
          <w:sz w:val="20"/>
          <w:szCs w:val="20"/>
          <w:color w:val="auto"/>
        </w:rPr>
      </w:pPr>
      <w:r>
        <w:rPr>
          <w:rFonts w:ascii="Arial" w:cs="Arial" w:eastAsia="Arial" w:hAnsi="Arial"/>
          <w:sz w:val="20"/>
          <w:szCs w:val="20"/>
          <w:color w:val="auto"/>
        </w:rPr>
        <w:t>through (d) of the definition of Excluded Taxes, and (C) Connection Income Taxes) on its Loans, loan principal, letters of credit, commitments, or other obligations, or its deposits, reserves, other liabilities or capital attributable thereto;</w:t>
      </w:r>
    </w:p>
    <w:p>
      <w:pPr>
        <w:spacing w:after="0" w:line="137" w:lineRule="exact"/>
        <w:rPr>
          <w:rFonts w:ascii="Arial" w:cs="Arial" w:eastAsia="Arial" w:hAnsi="Arial"/>
          <w:sz w:val="20"/>
          <w:szCs w:val="20"/>
          <w:color w:val="auto"/>
        </w:rPr>
      </w:pPr>
    </w:p>
    <w:p>
      <w:pPr>
        <w:jc w:val="both"/>
        <w:ind w:firstLine="1952"/>
        <w:spacing w:after="0" w:line="250" w:lineRule="auto"/>
        <w:tabs>
          <w:tab w:leader="none" w:pos="2456" w:val="left"/>
        </w:tabs>
        <w:numPr>
          <w:ilvl w:val="2"/>
          <w:numId w:val="368"/>
        </w:numPr>
        <w:rPr>
          <w:rFonts w:ascii="Arial" w:cs="Arial" w:eastAsia="Arial" w:hAnsi="Arial"/>
          <w:sz w:val="20"/>
          <w:szCs w:val="20"/>
          <w:color w:val="auto"/>
        </w:rPr>
      </w:pPr>
      <w:r>
        <w:rPr>
          <w:rFonts w:ascii="Arial" w:cs="Arial" w:eastAsia="Arial" w:hAnsi="Arial"/>
          <w:sz w:val="20"/>
          <w:szCs w:val="20"/>
          <w:color w:val="auto"/>
        </w:rPr>
        <w:t>shall impose, modify or deem applicable any reserve, special deposit, compulsory loan, insurance charge or similar requirement against assets of, deposits with or for the account of or credit extended or participated in by, any Lender (except any reserve requirement reflected in the Eurodollar Rate); or</w:t>
      </w:r>
    </w:p>
    <w:p>
      <w:pPr>
        <w:spacing w:after="0" w:line="132" w:lineRule="exact"/>
        <w:rPr>
          <w:sz w:val="20"/>
          <w:szCs w:val="20"/>
          <w:color w:val="auto"/>
        </w:rPr>
      </w:pPr>
    </w:p>
    <w:p>
      <w:pPr>
        <w:ind w:firstLine="1952"/>
        <w:spacing w:after="0" w:line="260" w:lineRule="auto"/>
        <w:tabs>
          <w:tab w:leader="none" w:pos="2451" w:val="left"/>
        </w:tabs>
        <w:numPr>
          <w:ilvl w:val="0"/>
          <w:numId w:val="369"/>
        </w:numPr>
        <w:rPr>
          <w:rFonts w:ascii="Arial" w:cs="Arial" w:eastAsia="Arial" w:hAnsi="Arial"/>
          <w:sz w:val="20"/>
          <w:szCs w:val="20"/>
          <w:color w:val="auto"/>
        </w:rPr>
      </w:pPr>
      <w:r>
        <w:rPr>
          <w:rFonts w:ascii="Arial" w:cs="Arial" w:eastAsia="Arial" w:hAnsi="Arial"/>
          <w:sz w:val="20"/>
          <w:szCs w:val="20"/>
          <w:color w:val="auto"/>
        </w:rPr>
        <w:t>impose on any Lender or the London interbank market any other condition, cost or expense (other than Taxes) affecting this Agreement or Loans made by such Lender or any Letter of Credit or participation therein;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ectPr>
          <w:pgSz w:w="11900" w:h="16838" w:orient="portrait"/>
          <w:cols w:equalWidth="0" w:num="1">
            <w:col w:w="11240"/>
          </w:cols>
          <w:pgMar w:left="320" w:top="765" w:right="339" w:bottom="1440" w:gutter="0" w:footer="0" w:header="0"/>
        </w:sectPr>
      </w:pPr>
    </w:p>
    <w:bookmarkStart w:id="438" w:name="page439"/>
    <w:bookmarkEnd w:id="438"/>
    <w:p>
      <w:pPr>
        <w:jc w:val="both"/>
        <w:spacing w:after="0" w:line="272" w:lineRule="auto"/>
        <w:rPr>
          <w:sz w:val="20"/>
          <w:szCs w:val="20"/>
          <w:color w:val="auto"/>
        </w:rPr>
      </w:pPr>
      <w:r>
        <w:rPr>
          <w:rFonts w:ascii="Arial" w:cs="Arial" w:eastAsia="Arial" w:hAnsi="Arial"/>
          <w:sz w:val="18"/>
          <w:szCs w:val="18"/>
          <w:color w:val="auto"/>
        </w:rPr>
        <w:t>and the result of any of the foregoing shall be to increase the cost to such Lender or such other Recipient of making, converting to, continuing or maintaining Loans determined with reference to the Eurodollar Rate or of maintaining its obligation to make such Loans, or to increase the cost to such Lender or such other Recipient of issuing, maintaining or participating in Letters of Credit (or of maintaining its obligation to participate in or to issue any Letter of Credit), or to reduce the amount of any sum receivable or received by such Lender or other Recipient hereunder in respect thereof (whether of principal, interest or any other amount), then, in any such case, upon the request of such Lender or other Recipient, the Borrower will promptly pay such Lender or other Recipient, as the case may be, any additional amount or amounts necessary to compensate such Lender or other Recipient, as the case may be, for such additional costs incurred or reduction suffered. If any Lender becomes entitled to claim any additional amounts pursuant to this paragraph, it shall promptly notify the Borrower (with a copy to the Administrative Agent) of the event by reason of which it has become so entitled.</w:t>
      </w:r>
    </w:p>
    <w:p>
      <w:pPr>
        <w:spacing w:after="0" w:line="116" w:lineRule="exact"/>
        <w:rPr>
          <w:sz w:val="20"/>
          <w:szCs w:val="20"/>
          <w:color w:val="auto"/>
        </w:rPr>
      </w:pPr>
    </w:p>
    <w:p>
      <w:pPr>
        <w:jc w:val="both"/>
        <w:ind w:firstLine="1304"/>
        <w:spacing w:after="0" w:line="256" w:lineRule="auto"/>
        <w:tabs>
          <w:tab w:leader="none" w:pos="1767" w:val="left"/>
        </w:tabs>
        <w:numPr>
          <w:ilvl w:val="0"/>
          <w:numId w:val="370"/>
        </w:numPr>
        <w:rPr>
          <w:rFonts w:ascii="Arial" w:cs="Arial" w:eastAsia="Arial" w:hAnsi="Arial"/>
          <w:sz w:val="19"/>
          <w:szCs w:val="19"/>
          <w:color w:val="auto"/>
        </w:rPr>
      </w:pPr>
      <w:r>
        <w:rPr>
          <w:rFonts w:ascii="Arial" w:cs="Arial" w:eastAsia="Arial" w:hAnsi="Arial"/>
          <w:sz w:val="19"/>
          <w:szCs w:val="19"/>
          <w:color w:val="auto"/>
        </w:rPr>
        <w:t>If any Lender determines that any change in any Requirement of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or participations in Letters of Credit or Swingline Loans held by, such Lender, or the Letters of Credit issued by the Issuing Lender, to a level below that which such Lender or such Lender’s holding company could have achieved but for such change in such Requirement of Law (taking into consideration such Lender’s policies and the policies of such Lender’s holding company with respect to capital adequacy or liquidity), then from time to time the Borrower will pay to such Lender or the Issuing Lender, as the case may be, such additional amount or amounts as will compensate such Lender or the Issuing Lender or such Lender’s or Issuing Lender’s holding company for any such reduction suffered.</w:t>
      </w:r>
    </w:p>
    <w:p>
      <w:pPr>
        <w:spacing w:after="0" w:line="130" w:lineRule="exact"/>
        <w:rPr>
          <w:rFonts w:ascii="Arial" w:cs="Arial" w:eastAsia="Arial" w:hAnsi="Arial"/>
          <w:sz w:val="19"/>
          <w:szCs w:val="19"/>
          <w:color w:val="auto"/>
        </w:rPr>
      </w:pPr>
    </w:p>
    <w:p>
      <w:pPr>
        <w:jc w:val="both"/>
        <w:ind w:firstLine="1304"/>
        <w:spacing w:after="0" w:line="260" w:lineRule="auto"/>
        <w:tabs>
          <w:tab w:leader="none" w:pos="1743" w:val="left"/>
        </w:tabs>
        <w:numPr>
          <w:ilvl w:val="0"/>
          <w:numId w:val="370"/>
        </w:numPr>
        <w:rPr>
          <w:rFonts w:ascii="Arial" w:cs="Arial" w:eastAsia="Arial" w:hAnsi="Arial"/>
          <w:sz w:val="19"/>
          <w:szCs w:val="19"/>
          <w:color w:val="auto"/>
        </w:rPr>
      </w:pPr>
      <w:r>
        <w:rPr>
          <w:rFonts w:ascii="Arial" w:cs="Arial" w:eastAsia="Arial" w:hAnsi="Arial"/>
          <w:sz w:val="19"/>
          <w:szCs w:val="19"/>
          <w:color w:val="auto"/>
        </w:rPr>
        <w:t>For purposes of this Agreement,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(i) and (ii) be deemed to be a change in any Requirement of Law, regardless of the date enacted, adopted or issued.</w:t>
      </w:r>
    </w:p>
    <w:p>
      <w:pPr>
        <w:spacing w:after="0" w:line="126" w:lineRule="exact"/>
        <w:rPr>
          <w:rFonts w:ascii="Arial" w:cs="Arial" w:eastAsia="Arial" w:hAnsi="Arial"/>
          <w:sz w:val="19"/>
          <w:szCs w:val="19"/>
          <w:color w:val="auto"/>
        </w:rPr>
      </w:pPr>
    </w:p>
    <w:p>
      <w:pPr>
        <w:jc w:val="both"/>
        <w:ind w:firstLine="1304"/>
        <w:spacing w:after="0" w:line="255" w:lineRule="auto"/>
        <w:tabs>
          <w:tab w:leader="none" w:pos="1754" w:val="left"/>
        </w:tabs>
        <w:numPr>
          <w:ilvl w:val="0"/>
          <w:numId w:val="370"/>
        </w:numPr>
        <w:rPr>
          <w:rFonts w:ascii="Arial" w:cs="Arial" w:eastAsia="Arial" w:hAnsi="Arial"/>
          <w:sz w:val="19"/>
          <w:szCs w:val="19"/>
          <w:color w:val="auto"/>
        </w:rPr>
      </w:pPr>
      <w:r>
        <w:rPr>
          <w:rFonts w:ascii="Arial" w:cs="Arial" w:eastAsia="Arial" w:hAnsi="Arial"/>
          <w:sz w:val="19"/>
          <w:szCs w:val="19"/>
          <w:color w:val="auto"/>
        </w:rPr>
        <w:t xml:space="preserve">A certificate as to any additional amounts payable pursuant to paragraphs (b), (c), or (d) of this Section submitted by any Lender to the Borrower (with a copy to the Administrative Agent) shall be conclusive in the absence of manifest error. The Borrower shall pay such Lender the amount shown as due on any such certificate within 10 days after receipt thereof. Failure or delay on the part of any Lender to demand compensation pursuant to this Section shall not constitute a waiver of such Lender’s right to demand such compensation. Notwithstanding anything to the contrary in this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the Borrower shall not be required to compensate a Lender pursuant to this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for any amounts incurred more than 9 months prior to the date that such Lender notifies the Borrower of the change in the Requirement of Law giving rise to such increased costs or reductions, and of such Lender’s intention to claim compensation therefor;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if the circumstances giving rise to such claim have a retroactive effect, then such 9-month period shall be extended to include the period of such retroactive effect. The obligations of the Borrower arising pursuant to this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shall survive the Discharge of Obligations and the resignation of the Administrative Agent.</w:t>
      </w:r>
    </w:p>
    <w:p>
      <w:pPr>
        <w:spacing w:after="0" w:line="13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2.20</w:t>
      </w:r>
      <w:r>
        <w:rPr>
          <w:sz w:val="20"/>
          <w:szCs w:val="20"/>
          <w:color w:val="auto"/>
        </w:rPr>
        <w:tab/>
      </w:r>
      <w:r>
        <w:rPr>
          <w:rFonts w:ascii="Arial" w:cs="Arial" w:eastAsia="Arial" w:hAnsi="Arial"/>
          <w:sz w:val="16"/>
          <w:szCs w:val="16"/>
          <w:b w:val="1"/>
          <w:bCs w:val="1"/>
          <w:color w:val="auto"/>
        </w:rPr>
        <w:t>Taxes</w:t>
      </w:r>
      <w:r>
        <w:rPr>
          <w:rFonts w:ascii="Arial" w:cs="Arial" w:eastAsia="Arial" w:hAnsi="Arial"/>
          <w:sz w:val="16"/>
          <w:szCs w:val="16"/>
          <w:color w:val="auto"/>
        </w:rPr>
        <w: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2.20</w:t>
      </w:r>
      <w:r>
        <w:rPr>
          <w:rFonts w:ascii="Arial" w:cs="Arial" w:eastAsia="Arial" w:hAnsi="Arial"/>
          <w:sz w:val="18"/>
          <w:szCs w:val="18"/>
          <w:color w:val="auto"/>
        </w:rPr>
        <w:t>, the term “Lender” includes the Issuing Lender and the term “applicable law” includes FATCA.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ectPr>
          <w:pgSz w:w="11900" w:h="16838" w:orient="portrait"/>
          <w:cols w:equalWidth="0" w:num="1">
            <w:col w:w="11240"/>
          </w:cols>
          <w:pgMar w:left="320" w:top="771" w:right="339" w:bottom="1440" w:gutter="0" w:footer="0" w:header="0"/>
        </w:sectPr>
      </w:pPr>
    </w:p>
    <w:bookmarkStart w:id="439" w:name="page440"/>
    <w:bookmarkEnd w:id="439"/>
    <w:p>
      <w:pPr>
        <w:jc w:val="both"/>
        <w:ind w:firstLine="1304"/>
        <w:spacing w:after="0" w:line="255" w:lineRule="auto"/>
        <w:tabs>
          <w:tab w:leader="none" w:pos="1754" w:val="left"/>
        </w:tabs>
        <w:numPr>
          <w:ilvl w:val="0"/>
          <w:numId w:val="371"/>
        </w:numPr>
        <w:rPr>
          <w:rFonts w:ascii="Arial" w:cs="Arial" w:eastAsia="Arial" w:hAnsi="Arial"/>
          <w:sz w:val="19"/>
          <w:szCs w:val="19"/>
          <w:color w:val="auto"/>
        </w:rPr>
      </w:pPr>
      <w:r>
        <w:rPr>
          <w:rFonts w:ascii="Arial" w:cs="Arial" w:eastAsia="Arial" w:hAnsi="Arial"/>
          <w:sz w:val="19"/>
          <w:szCs w:val="19"/>
          <w:u w:val="single" w:color="auto"/>
          <w:color w:val="auto"/>
        </w:rPr>
        <w:t>Payments Free of Taxes</w:t>
      </w:r>
      <w:r>
        <w:rPr>
          <w:rFonts w:ascii="Arial" w:cs="Arial" w:eastAsia="Arial" w:hAnsi="Arial"/>
          <w:sz w:val="19"/>
          <w:szCs w:val="19"/>
          <w:color w:val="auto"/>
        </w:rPr>
        <w:t xml:space="preserve">. Any and all payments by or on account of any obligation of any Loan Party under any Loan Document shall be made without deduction or withholding for any Taxes, except as required by applicable Requirements of Law, and the Borrower shall, and shall cause each other Loan Party, to comply with the requirements set forth in this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If any applicable Requirements of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Arial" w:cs="Arial" w:eastAsia="Arial" w:hAnsi="Arial"/>
          <w:sz w:val="19"/>
          <w:szCs w:val="19"/>
          <w:u w:val="single" w:color="auto"/>
          <w:color w:val="auto"/>
        </w:rPr>
        <w:t>Section 2.20</w:t>
      </w:r>
      <w:r>
        <w:rPr>
          <w:rFonts w:ascii="Arial" w:cs="Arial" w:eastAsia="Arial" w:hAnsi="Arial"/>
          <w:sz w:val="19"/>
          <w:szCs w:val="19"/>
          <w:color w:val="auto"/>
        </w:rPr>
        <w:t>) the applicable Recipient receives an amount equal to the sum it would have received had no such deduction or withholding been made.</w:t>
      </w:r>
    </w:p>
    <w:p>
      <w:pPr>
        <w:spacing w:after="0" w:line="135" w:lineRule="exact"/>
        <w:rPr>
          <w:rFonts w:ascii="Arial" w:cs="Arial" w:eastAsia="Arial" w:hAnsi="Arial"/>
          <w:sz w:val="19"/>
          <w:szCs w:val="19"/>
          <w:color w:val="auto"/>
        </w:rPr>
      </w:pPr>
    </w:p>
    <w:p>
      <w:pPr>
        <w:jc w:val="both"/>
        <w:ind w:right="20" w:firstLine="1304"/>
        <w:spacing w:after="0" w:line="250" w:lineRule="auto"/>
        <w:tabs>
          <w:tab w:leader="none" w:pos="1819" w:val="left"/>
        </w:tabs>
        <w:numPr>
          <w:ilvl w:val="0"/>
          <w:numId w:val="371"/>
        </w:numPr>
        <w:rPr>
          <w:rFonts w:ascii="Arial" w:cs="Arial" w:eastAsia="Arial" w:hAnsi="Arial"/>
          <w:sz w:val="20"/>
          <w:szCs w:val="20"/>
          <w:color w:val="auto"/>
        </w:rPr>
      </w:pPr>
      <w:r>
        <w:rPr>
          <w:rFonts w:ascii="Arial" w:cs="Arial" w:eastAsia="Arial" w:hAnsi="Arial"/>
          <w:sz w:val="20"/>
          <w:szCs w:val="20"/>
          <w:u w:val="single" w:color="auto"/>
          <w:color w:val="auto"/>
        </w:rPr>
        <w:t>Payment of Other Taxes</w:t>
      </w:r>
      <w:r>
        <w:rPr>
          <w:rFonts w:ascii="Arial" w:cs="Arial" w:eastAsia="Arial" w:hAnsi="Arial"/>
          <w:sz w:val="20"/>
          <w:szCs w:val="20"/>
          <w:color w:val="auto"/>
        </w:rPr>
        <w:t>. The Borrower shall and shall cause each other Loan Party to, timely pay to the relevant Governmental Authority in accordance with applicable law, or at the option of the Administrative Agent timely reimburse it for the payment of, any Other Taxes applicable to such Loan Party.</w:t>
      </w:r>
    </w:p>
    <w:p>
      <w:pPr>
        <w:spacing w:after="0" w:line="131" w:lineRule="exact"/>
        <w:rPr>
          <w:rFonts w:ascii="Arial" w:cs="Arial" w:eastAsia="Arial" w:hAnsi="Arial"/>
          <w:sz w:val="20"/>
          <w:szCs w:val="20"/>
          <w:color w:val="auto"/>
        </w:rPr>
      </w:pPr>
    </w:p>
    <w:p>
      <w:pPr>
        <w:jc w:val="both"/>
        <w:ind w:firstLine="1304"/>
        <w:spacing w:after="0" w:line="263" w:lineRule="auto"/>
        <w:tabs>
          <w:tab w:leader="none" w:pos="1821" w:val="left"/>
        </w:tabs>
        <w:numPr>
          <w:ilvl w:val="0"/>
          <w:numId w:val="371"/>
        </w:numPr>
        <w:rPr>
          <w:rFonts w:ascii="Arial" w:cs="Arial" w:eastAsia="Arial" w:hAnsi="Arial"/>
          <w:sz w:val="19"/>
          <w:szCs w:val="19"/>
          <w:color w:val="auto"/>
        </w:rPr>
      </w:pPr>
      <w:r>
        <w:rPr>
          <w:rFonts w:ascii="Arial" w:cs="Arial" w:eastAsia="Arial" w:hAnsi="Arial"/>
          <w:sz w:val="19"/>
          <w:szCs w:val="19"/>
          <w:u w:val="single" w:color="auto"/>
          <w:color w:val="auto"/>
        </w:rPr>
        <w:t>Evidence of Payments</w:t>
      </w:r>
      <w:r>
        <w:rPr>
          <w:rFonts w:ascii="Arial" w:cs="Arial" w:eastAsia="Arial" w:hAnsi="Arial"/>
          <w:sz w:val="19"/>
          <w:szCs w:val="19"/>
          <w:color w:val="auto"/>
        </w:rPr>
        <w:t xml:space="preserve">. As soon as practicable after any payment of Taxes by any Loan Party to a Governmental Authority pursuant to this </w:t>
      </w:r>
      <w:r>
        <w:rPr>
          <w:rFonts w:ascii="Arial" w:cs="Arial" w:eastAsia="Arial" w:hAnsi="Arial"/>
          <w:sz w:val="19"/>
          <w:szCs w:val="19"/>
          <w:u w:val="single" w:color="auto"/>
          <w:color w:val="auto"/>
        </w:rPr>
        <w:t>Section 2.20</w:t>
      </w:r>
      <w:r>
        <w:rPr>
          <w:rFonts w:ascii="Arial" w:cs="Arial" w:eastAsia="Arial" w:hAnsi="Arial"/>
          <w:sz w:val="19"/>
          <w:szCs w:val="19"/>
          <w:color w:val="auto"/>
        </w:rPr>
        <w:t>, the Borrower shall, or shall cause such other Loan Party to,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22" w:lineRule="exact"/>
        <w:rPr>
          <w:rFonts w:ascii="Arial" w:cs="Arial" w:eastAsia="Arial" w:hAnsi="Arial"/>
          <w:sz w:val="19"/>
          <w:szCs w:val="19"/>
          <w:color w:val="auto"/>
        </w:rPr>
      </w:pPr>
    </w:p>
    <w:p>
      <w:pPr>
        <w:jc w:val="both"/>
        <w:ind w:firstLine="1304"/>
        <w:spacing w:after="0" w:line="274" w:lineRule="auto"/>
        <w:tabs>
          <w:tab w:leader="none" w:pos="1778"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t>Indemnification by Loan Parties</w:t>
      </w:r>
      <w:r>
        <w:rPr>
          <w:rFonts w:ascii="Arial" w:cs="Arial" w:eastAsia="Arial" w:hAnsi="Arial"/>
          <w:sz w:val="18"/>
          <w:szCs w:val="18"/>
          <w:color w:val="auto"/>
        </w:rPr>
        <w:t xml:space="preserve">. The Borrower shall, and shall cause each other Loan Party to, jointly and severally indemnify each Recipient, within 10 days after demand therefor, for the full amount of any Indemnified Taxes (including Indemnified Taxes imposed or asserted on or attributable to amounts payable under this </w:t>
      </w:r>
      <w:r>
        <w:rPr>
          <w:rFonts w:ascii="Arial" w:cs="Arial" w:eastAsia="Arial" w:hAnsi="Arial"/>
          <w:sz w:val="18"/>
          <w:szCs w:val="18"/>
          <w:u w:val="single" w:color="auto"/>
          <w:color w:val="auto"/>
        </w:rPr>
        <w:t>Section 2.20</w:t>
      </w:r>
      <w:r>
        <w:rPr>
          <w:rFonts w:ascii="Arial" w:cs="Arial" w:eastAsia="Arial" w:hAnsi="Arial"/>
          <w:sz w:val="18"/>
          <w:szCs w:val="18"/>
          <w:color w:val="auto"/>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14" w:lineRule="exact"/>
        <w:rPr>
          <w:rFonts w:ascii="Arial" w:cs="Arial" w:eastAsia="Arial" w:hAnsi="Arial"/>
          <w:sz w:val="18"/>
          <w:szCs w:val="18"/>
          <w:color w:val="auto"/>
        </w:rPr>
      </w:pPr>
    </w:p>
    <w:p>
      <w:pPr>
        <w:jc w:val="both"/>
        <w:ind w:firstLine="1304"/>
        <w:spacing w:after="0" w:line="271" w:lineRule="auto"/>
        <w:tabs>
          <w:tab w:leader="none" w:pos="1808"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t>Indemnification by Lenders</w:t>
      </w:r>
      <w:r>
        <w:rPr>
          <w:rFonts w:ascii="Arial" w:cs="Arial" w:eastAsia="Arial" w:hAnsi="Arial"/>
          <w:sz w:val="18"/>
          <w:szCs w:val="18"/>
          <w:color w:val="auto"/>
        </w:rPr>
        <w:t xml:space="preserve">. Each Lender shall severally indemnify the Administrative Agent, within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w:t>
      </w:r>
      <w:r>
        <w:rPr>
          <w:rFonts w:ascii="Arial" w:cs="Arial" w:eastAsia="Arial" w:hAnsi="Arial"/>
          <w:sz w:val="18"/>
          <w:szCs w:val="18"/>
          <w:u w:val="single" w:color="auto"/>
          <w:color w:val="auto"/>
        </w:rPr>
        <w:t>Section 10.6</w:t>
      </w:r>
      <w:r>
        <w:rPr>
          <w:rFonts w:ascii="Arial" w:cs="Arial" w:eastAsia="Arial" w:hAnsi="Arial"/>
          <w:sz w:val="18"/>
          <w:szCs w:val="18"/>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Arial" w:cs="Arial" w:eastAsia="Arial" w:hAnsi="Arial"/>
          <w:sz w:val="18"/>
          <w:szCs w:val="18"/>
          <w:u w:val="single" w:color="auto"/>
          <w:color w:val="auto"/>
        </w:rPr>
        <w:t>Section 2.20(e)</w:t>
      </w:r>
      <w:r>
        <w:rPr>
          <w:rFonts w:ascii="Arial" w:cs="Arial" w:eastAsia="Arial" w:hAnsi="Arial"/>
          <w:sz w:val="18"/>
          <w:szCs w:val="18"/>
          <w:color w:val="auto"/>
        </w:rPr>
        <w:t>.</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ectPr>
          <w:pgSz w:w="11900" w:h="16838" w:orient="portrait"/>
          <w:cols w:equalWidth="0" w:num="1">
            <w:col w:w="11240"/>
          </w:cols>
          <w:pgMar w:left="320" w:top="771" w:right="339" w:bottom="1440" w:gutter="0" w:footer="0" w:header="0"/>
        </w:sectPr>
      </w:pPr>
    </w:p>
    <w:bookmarkStart w:id="440" w:name="page441"/>
    <w:bookmarkEnd w:id="440"/>
    <w:p>
      <w:pPr>
        <w:ind w:left="1700" w:hanging="396"/>
        <w:spacing w:after="0"/>
        <w:tabs>
          <w:tab w:leader="none" w:pos="1700" w:val="left"/>
        </w:tabs>
        <w:numPr>
          <w:ilvl w:val="0"/>
          <w:numId w:val="372"/>
        </w:numPr>
        <w:rPr>
          <w:rFonts w:ascii="Arial" w:cs="Arial" w:eastAsia="Arial" w:hAnsi="Arial"/>
          <w:sz w:val="20"/>
          <w:szCs w:val="20"/>
          <w:color w:val="auto"/>
        </w:rPr>
      </w:pPr>
      <w:r>
        <w:rPr>
          <w:rFonts w:ascii="Arial" w:cs="Arial" w:eastAsia="Arial" w:hAnsi="Arial"/>
          <w:sz w:val="20"/>
          <w:szCs w:val="20"/>
          <w:u w:val="single" w:color="auto"/>
          <w:color w:val="auto"/>
        </w:rPr>
        <w:t>Status of Lenders</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1952"/>
        <w:spacing w:after="0" w:line="255" w:lineRule="auto"/>
        <w:tabs>
          <w:tab w:leader="none" w:pos="2400" w:val="left"/>
        </w:tabs>
        <w:numPr>
          <w:ilvl w:val="1"/>
          <w:numId w:val="372"/>
        </w:numPr>
        <w:rPr>
          <w:rFonts w:ascii="Arial" w:cs="Arial" w:eastAsia="Arial" w:hAnsi="Arial"/>
          <w:sz w:val="19"/>
          <w:szCs w:val="19"/>
          <w:color w:val="auto"/>
        </w:rPr>
      </w:pPr>
      <w:r>
        <w:rPr>
          <w:rFonts w:ascii="Arial" w:cs="Arial" w:eastAsia="Arial" w:hAnsi="Arial"/>
          <w:sz w:val="19"/>
          <w:szCs w:val="19"/>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Requirements of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9"/>
          <w:szCs w:val="19"/>
          <w:u w:val="single" w:color="auto"/>
          <w:color w:val="auto"/>
        </w:rPr>
        <w:t>Sections 2.20(f)(ii)(A)</w:t>
      </w:r>
      <w:r>
        <w:rPr>
          <w:rFonts w:ascii="Arial" w:cs="Arial" w:eastAsia="Arial" w:hAnsi="Arial"/>
          <w:sz w:val="19"/>
          <w:szCs w:val="19"/>
          <w:color w:val="auto"/>
        </w:rPr>
        <w:t xml:space="preserve">, </w:t>
      </w:r>
      <w:r>
        <w:rPr>
          <w:rFonts w:ascii="Arial" w:cs="Arial" w:eastAsia="Arial" w:hAnsi="Arial"/>
          <w:sz w:val="19"/>
          <w:szCs w:val="19"/>
          <w:u w:val="single" w:color="auto"/>
          <w:color w:val="auto"/>
        </w:rPr>
        <w:t>(ii)(B)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(ii)(D)</w:t>
      </w:r>
      <w:r>
        <w:rPr>
          <w:rFonts w:ascii="Arial" w:cs="Arial" w:eastAsia="Arial" w:hAnsi="Arial"/>
          <w:sz w:val="19"/>
          <w:szCs w:val="19"/>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32" w:lineRule="exact"/>
        <w:rPr>
          <w:rFonts w:ascii="Arial" w:cs="Arial" w:eastAsia="Arial" w:hAnsi="Arial"/>
          <w:sz w:val="19"/>
          <w:szCs w:val="19"/>
          <w:color w:val="auto"/>
        </w:rPr>
      </w:pPr>
    </w:p>
    <w:p>
      <w:pPr>
        <w:ind w:left="2380" w:hanging="428"/>
        <w:spacing w:after="0"/>
        <w:tabs>
          <w:tab w:leader="none" w:pos="2380" w:val="left"/>
        </w:tabs>
        <w:numPr>
          <w:ilvl w:val="1"/>
          <w:numId w:val="372"/>
        </w:numPr>
        <w:rPr>
          <w:rFonts w:ascii="Arial" w:cs="Arial" w:eastAsia="Arial" w:hAnsi="Arial"/>
          <w:sz w:val="20"/>
          <w:szCs w:val="20"/>
          <w:color w:val="auto"/>
        </w:rPr>
      </w:pPr>
      <w:r>
        <w:rPr>
          <w:rFonts w:ascii="Arial" w:cs="Arial" w:eastAsia="Arial" w:hAnsi="Arial"/>
          <w:sz w:val="20"/>
          <w:szCs w:val="20"/>
          <w:color w:val="auto"/>
        </w:rPr>
        <w:t>Without limiting the generality of the foregoing, in the event that the Borrower is a U.S. Person,</w:t>
      </w:r>
    </w:p>
    <w:p>
      <w:pPr>
        <w:spacing w:after="0" w:line="161" w:lineRule="exact"/>
        <w:rPr>
          <w:rFonts w:ascii="Arial" w:cs="Arial" w:eastAsia="Arial" w:hAnsi="Arial"/>
          <w:sz w:val="20"/>
          <w:szCs w:val="20"/>
          <w:color w:val="auto"/>
        </w:rPr>
      </w:pPr>
    </w:p>
    <w:p>
      <w:pPr>
        <w:jc w:val="both"/>
        <w:ind w:firstLine="2600"/>
        <w:spacing w:after="0" w:line="246" w:lineRule="auto"/>
        <w:tabs>
          <w:tab w:leader="none" w:pos="3065" w:val="left"/>
        </w:tabs>
        <w:numPr>
          <w:ilvl w:val="2"/>
          <w:numId w:val="372"/>
        </w:numPr>
        <w:rPr>
          <w:rFonts w:ascii="Arial" w:cs="Arial" w:eastAsia="Arial" w:hAnsi="Arial"/>
          <w:sz w:val="20"/>
          <w:szCs w:val="20"/>
          <w:color w:val="auto"/>
        </w:rPr>
      </w:pPr>
      <w:r>
        <w:rPr>
          <w:rFonts w:ascii="Arial" w:cs="Arial" w:eastAsia="Arial" w:hAnsi="Arial"/>
          <w:sz w:val="20"/>
          <w:szCs w:val="20"/>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137" w:lineRule="exact"/>
        <w:rPr>
          <w:rFonts w:ascii="Arial" w:cs="Arial" w:eastAsia="Arial" w:hAnsi="Arial"/>
          <w:sz w:val="20"/>
          <w:szCs w:val="20"/>
          <w:color w:val="auto"/>
        </w:rPr>
      </w:pPr>
    </w:p>
    <w:p>
      <w:pPr>
        <w:jc w:val="both"/>
        <w:ind w:firstLine="2600"/>
        <w:spacing w:after="0" w:line="246" w:lineRule="auto"/>
        <w:tabs>
          <w:tab w:leader="none" w:pos="3103" w:val="left"/>
        </w:tabs>
        <w:numPr>
          <w:ilvl w:val="2"/>
          <w:numId w:val="372"/>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37" w:lineRule="exact"/>
        <w:rPr>
          <w:rFonts w:ascii="Arial" w:cs="Arial" w:eastAsia="Arial" w:hAnsi="Arial"/>
          <w:sz w:val="20"/>
          <w:szCs w:val="20"/>
          <w:color w:val="auto"/>
        </w:rPr>
      </w:pPr>
    </w:p>
    <w:p>
      <w:pPr>
        <w:jc w:val="both"/>
        <w:ind w:firstLine="3248"/>
        <w:spacing w:after="0" w:line="259" w:lineRule="auto"/>
        <w:tabs>
          <w:tab w:leader="none" w:pos="3761" w:val="left"/>
        </w:tabs>
        <w:numPr>
          <w:ilvl w:val="3"/>
          <w:numId w:val="372"/>
        </w:numPr>
        <w:rPr>
          <w:rFonts w:ascii="Arial" w:cs="Arial" w:eastAsia="Arial" w:hAnsi="Arial"/>
          <w:sz w:val="19"/>
          <w:szCs w:val="19"/>
          <w:color w:val="auto"/>
        </w:rPr>
      </w:pPr>
      <w:r>
        <w:rPr>
          <w:rFonts w:ascii="Arial" w:cs="Arial" w:eastAsia="Arial" w:hAnsi="Arial"/>
          <w:sz w:val="19"/>
          <w:szCs w:val="19"/>
          <w:color w:val="auto"/>
        </w:rPr>
        <w:t>in the case of a Foreign Lender claiming the benefits of an income tax treaty to which the United States is a party (x) with respect to payments of interest under any Loan Document, executed originals of IRS Form W-8BEN or IRS Form W-8BEN-E, as applicable (or any successor form) establishing an exemption from, or reduction of, U.S. federal withholding Tax pursuant to the “interest” article of such tax treaty and (y) with respect to any other applicable payments under any Loan Document, IRS Form W-8BEN or IRS Form W-8BEN-E, as applicable (or any successor form) establishing an exemption from, or reduction of, U.S. federal withholding Tax pursuant to the “business profits” or “other income” article of such tax treaty;</w:t>
      </w:r>
    </w:p>
    <w:p>
      <w:pPr>
        <w:spacing w:after="0" w:line="124" w:lineRule="exact"/>
        <w:rPr>
          <w:rFonts w:ascii="Arial" w:cs="Arial" w:eastAsia="Arial" w:hAnsi="Arial"/>
          <w:sz w:val="19"/>
          <w:szCs w:val="19"/>
          <w:color w:val="auto"/>
        </w:rPr>
      </w:pPr>
    </w:p>
    <w:p>
      <w:pPr>
        <w:ind w:left="3680" w:hanging="432"/>
        <w:spacing w:after="0"/>
        <w:tabs>
          <w:tab w:leader="none" w:pos="3680" w:val="left"/>
        </w:tabs>
        <w:numPr>
          <w:ilvl w:val="3"/>
          <w:numId w:val="372"/>
        </w:numPr>
        <w:rPr>
          <w:rFonts w:ascii="Arial" w:cs="Arial" w:eastAsia="Arial" w:hAnsi="Arial"/>
          <w:sz w:val="20"/>
          <w:szCs w:val="20"/>
          <w:color w:val="auto"/>
        </w:rPr>
      </w:pPr>
      <w:r>
        <w:rPr>
          <w:rFonts w:ascii="Arial" w:cs="Arial" w:eastAsia="Arial" w:hAnsi="Arial"/>
          <w:sz w:val="20"/>
          <w:szCs w:val="20"/>
          <w:color w:val="auto"/>
        </w:rPr>
        <w:t>executed copies of IRS Form W-8ECI;</w:t>
      </w:r>
    </w:p>
    <w:p>
      <w:pPr>
        <w:spacing w:after="0" w:line="161" w:lineRule="exact"/>
        <w:rPr>
          <w:rFonts w:ascii="Arial" w:cs="Arial" w:eastAsia="Arial" w:hAnsi="Arial"/>
          <w:sz w:val="20"/>
          <w:szCs w:val="20"/>
          <w:color w:val="auto"/>
        </w:rPr>
      </w:pPr>
    </w:p>
    <w:p>
      <w:pPr>
        <w:jc w:val="both"/>
        <w:ind w:firstLine="3248"/>
        <w:spacing w:after="0" w:line="278" w:lineRule="auto"/>
        <w:tabs>
          <w:tab w:leader="none" w:pos="3740" w:val="left"/>
        </w:tabs>
        <w:numPr>
          <w:ilvl w:val="3"/>
          <w:numId w:val="372"/>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the exemption for portfolio interest under Section 881(c) of the Code, (x) a certificate substantially in the form of Exhibit F-1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18"/>
          <w:szCs w:val="18"/>
          <w:u w:val="single" w:color="auto"/>
          <w:color w:val="auto"/>
        </w:rPr>
        <w:t>U.S. Tax Compliance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Certificate</w:t>
      </w:r>
      <w:r>
        <w:rPr>
          <w:rFonts w:ascii="Arial" w:cs="Arial" w:eastAsia="Arial" w:hAnsi="Arial"/>
          <w:sz w:val="18"/>
          <w:szCs w:val="18"/>
          <w:color w:val="auto"/>
        </w:rPr>
        <w:t>”) and (y) executed copies of IRS Form W-8BEN or IRS Form W-8BEN-E, as applicable (or any successor form); or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ectPr>
          <w:pgSz w:w="11900" w:h="16838" w:orient="portrait"/>
          <w:cols w:equalWidth="0" w:num="1">
            <w:col w:w="11240"/>
          </w:cols>
          <w:pgMar w:left="320" w:top="771" w:right="339" w:bottom="1440" w:gutter="0" w:footer="0" w:header="0"/>
        </w:sectPr>
      </w:pPr>
    </w:p>
    <w:bookmarkStart w:id="441" w:name="page442"/>
    <w:bookmarkEnd w:id="441"/>
    <w:p>
      <w:pPr>
        <w:jc w:val="both"/>
        <w:ind w:firstLine="3248"/>
        <w:spacing w:after="0" w:line="259" w:lineRule="auto"/>
        <w:tabs>
          <w:tab w:leader="none" w:pos="3733" w:val="left"/>
        </w:tabs>
        <w:numPr>
          <w:ilvl w:val="3"/>
          <w:numId w:val="373"/>
        </w:numPr>
        <w:rPr>
          <w:rFonts w:ascii="Arial" w:cs="Arial" w:eastAsia="Arial" w:hAnsi="Arial"/>
          <w:sz w:val="19"/>
          <w:szCs w:val="19"/>
          <w:color w:val="auto"/>
        </w:rPr>
      </w:pPr>
      <w:r>
        <w:rPr>
          <w:rFonts w:ascii="Arial" w:cs="Arial" w:eastAsia="Arial" w:hAnsi="Arial"/>
          <w:sz w:val="19"/>
          <w:szCs w:val="19"/>
          <w:color w:val="auto"/>
        </w:rPr>
        <w:t xml:space="preserve">to the extent a Foreign Lender is not the beneficial owner, executed copies of IRS Form W-8IMY, accompanied by IRS Form W-8ECI, IRS Form W-8BEN or IRS Form W-8BEN-E, as applicable (or any successor form), a U.S. Tax Compliance Certificate substantially in the form of Exhibit F-2 or Exhibit F-3, IRS Form W-9, and/or other certification documents from each beneficial owner, as applicable;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if the Foreign Lender is a partnership and one or more direct or indirect partners of such Foreign Lender are claiming the portfolio interest exemption, such Foreign Lender may provide a U.S. Tax Compliance Certificate substantially in the form of Exhibit F-4 on behalf of each such direct and indirect partner;</w:t>
      </w:r>
    </w:p>
    <w:p>
      <w:pPr>
        <w:spacing w:after="0" w:line="124" w:lineRule="exact"/>
        <w:rPr>
          <w:rFonts w:ascii="Arial" w:cs="Arial" w:eastAsia="Arial" w:hAnsi="Arial"/>
          <w:sz w:val="19"/>
          <w:szCs w:val="19"/>
          <w:color w:val="auto"/>
        </w:rPr>
      </w:pPr>
    </w:p>
    <w:p>
      <w:pPr>
        <w:jc w:val="both"/>
        <w:ind w:firstLine="2600"/>
        <w:spacing w:after="0" w:line="276" w:lineRule="auto"/>
        <w:tabs>
          <w:tab w:leader="none" w:pos="3103" w:val="left"/>
        </w:tabs>
        <w:numPr>
          <w:ilvl w:val="2"/>
          <w:numId w:val="374"/>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10" w:lineRule="exact"/>
        <w:rPr>
          <w:rFonts w:ascii="Arial" w:cs="Arial" w:eastAsia="Arial" w:hAnsi="Arial"/>
          <w:sz w:val="18"/>
          <w:szCs w:val="18"/>
          <w:color w:val="auto"/>
        </w:rPr>
      </w:pPr>
    </w:p>
    <w:p>
      <w:pPr>
        <w:jc w:val="both"/>
        <w:ind w:firstLine="2600"/>
        <w:spacing w:after="0" w:line="272" w:lineRule="auto"/>
        <w:tabs>
          <w:tab w:leader="none" w:pos="3262" w:val="left"/>
        </w:tabs>
        <w:numPr>
          <w:ilvl w:val="2"/>
          <w:numId w:val="374"/>
        </w:numPr>
        <w:rPr>
          <w:rFonts w:ascii="Arial" w:cs="Arial" w:eastAsia="Arial" w:hAnsi="Arial"/>
          <w:sz w:val="18"/>
          <w:szCs w:val="18"/>
          <w:color w:val="auto"/>
        </w:rPr>
      </w:pPr>
      <w:r>
        <w:rPr>
          <w:rFonts w:ascii="Arial" w:cs="Arial" w:eastAsia="Arial" w:hAnsi="Arial"/>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including IRS Form W-8BEN-E)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16" w:lineRule="exact"/>
        <w:rPr>
          <w:rFonts w:ascii="Arial" w:cs="Arial" w:eastAsia="Arial" w:hAnsi="Arial"/>
          <w:sz w:val="18"/>
          <w:szCs w:val="18"/>
          <w:color w:val="auto"/>
        </w:rPr>
      </w:pPr>
    </w:p>
    <w:p>
      <w:pPr>
        <w:jc w:val="both"/>
        <w:ind w:firstLine="1952"/>
        <w:spacing w:after="0" w:line="250" w:lineRule="auto"/>
        <w:tabs>
          <w:tab w:leader="none" w:pos="2517" w:val="left"/>
        </w:tabs>
        <w:numPr>
          <w:ilvl w:val="1"/>
          <w:numId w:val="375"/>
        </w:numPr>
        <w:rPr>
          <w:rFonts w:ascii="Arial" w:cs="Arial" w:eastAsia="Arial" w:hAnsi="Arial"/>
          <w:sz w:val="20"/>
          <w:szCs w:val="20"/>
          <w:color w:val="auto"/>
        </w:rPr>
      </w:pPr>
      <w:r>
        <w:rPr>
          <w:rFonts w:ascii="Arial" w:cs="Arial" w:eastAsia="Arial" w:hAnsi="Arial"/>
          <w:sz w:val="20"/>
          <w:szCs w:val="20"/>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31" w:lineRule="exact"/>
        <w:rPr>
          <w:rFonts w:ascii="Arial" w:cs="Arial" w:eastAsia="Arial" w:hAnsi="Arial"/>
          <w:sz w:val="20"/>
          <w:szCs w:val="20"/>
          <w:color w:val="auto"/>
        </w:rPr>
      </w:pPr>
    </w:p>
    <w:p>
      <w:pPr>
        <w:jc w:val="both"/>
        <w:ind w:firstLine="1304"/>
        <w:spacing w:after="0" w:line="269" w:lineRule="auto"/>
        <w:tabs>
          <w:tab w:leader="none" w:pos="1724" w:val="left"/>
        </w:tabs>
        <w:numPr>
          <w:ilvl w:val="0"/>
          <w:numId w:val="376"/>
        </w:numPr>
        <w:rPr>
          <w:rFonts w:ascii="Arial" w:cs="Arial" w:eastAsia="Arial" w:hAnsi="Arial"/>
          <w:sz w:val="18"/>
          <w:szCs w:val="18"/>
          <w:color w:val="auto"/>
        </w:rPr>
      </w:pP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xml:space="preserve">. If any party determines, in its sole discretion exercised in good faith, that it has received a refund of any Taxes as to which it has been indemnified pursuant to this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(including by the payment of additional amounts pursuant to this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Arial" w:cs="Arial" w:eastAsia="Arial" w:hAnsi="Arial"/>
          <w:sz w:val="18"/>
          <w:szCs w:val="18"/>
          <w:u w:val="single" w:color="auto"/>
          <w:color w:val="auto"/>
        </w:rPr>
        <w:t>Section 2.20(g)</w:t>
      </w:r>
      <w:r>
        <w:rPr>
          <w:rFonts w:ascii="Arial" w:cs="Arial" w:eastAsia="Arial" w:hAnsi="Arial"/>
          <w:sz w:val="18"/>
          <w:szCs w:val="18"/>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Arial" w:cs="Arial" w:eastAsia="Arial" w:hAnsi="Arial"/>
          <w:sz w:val="18"/>
          <w:szCs w:val="18"/>
          <w:u w:val="single" w:color="auto"/>
          <w:color w:val="auto"/>
        </w:rPr>
        <w:t>Section 2.20(g)</w:t>
      </w:r>
      <w:r>
        <w:rPr>
          <w:rFonts w:ascii="Arial" w:cs="Arial" w:eastAsia="Arial" w:hAnsi="Arial"/>
          <w:sz w:val="18"/>
          <w:szCs w:val="18"/>
          <w:color w:val="auto"/>
        </w:rPr>
        <w:t xml:space="preserve">, in no event will the indemnified party be required to pay any amount to an indemnifying party pursuant to this </w:t>
      </w:r>
      <w:r>
        <w:rPr>
          <w:rFonts w:ascii="Arial" w:cs="Arial" w:eastAsia="Arial" w:hAnsi="Arial"/>
          <w:sz w:val="18"/>
          <w:szCs w:val="18"/>
          <w:u w:val="single" w:color="auto"/>
          <w:color w:val="auto"/>
        </w:rPr>
        <w:t>Section 2.20(g)</w:t>
      </w:r>
      <w:r>
        <w:rPr>
          <w:rFonts w:ascii="Arial" w:cs="Arial" w:eastAsia="Arial" w:hAnsi="Arial"/>
          <w:sz w:val="18"/>
          <w:szCs w:val="18"/>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ectPr>
          <w:pgSz w:w="11900" w:h="16838" w:orient="portrait"/>
          <w:cols w:equalWidth="0" w:num="1">
            <w:col w:w="11240"/>
          </w:cols>
          <w:pgMar w:left="320" w:top="771" w:right="339" w:bottom="1440" w:gutter="0" w:footer="0" w:header="0"/>
        </w:sectPr>
      </w:pPr>
    </w:p>
    <w:bookmarkStart w:id="442" w:name="page443"/>
    <w:bookmarkEnd w:id="442"/>
    <w:p>
      <w:pPr>
        <w:ind w:firstLine="1304"/>
        <w:spacing w:after="0" w:line="260" w:lineRule="auto"/>
        <w:tabs>
          <w:tab w:leader="none" w:pos="1913" w:val="left"/>
        </w:tabs>
        <w:numPr>
          <w:ilvl w:val="0"/>
          <w:numId w:val="377"/>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Each party’s obligations under this </w:t>
      </w:r>
      <w:r>
        <w:rPr>
          <w:rFonts w:ascii="Arial" w:cs="Arial" w:eastAsia="Arial" w:hAnsi="Arial"/>
          <w:sz w:val="20"/>
          <w:szCs w:val="20"/>
          <w:u w:val="single" w:color="auto"/>
          <w:color w:val="auto"/>
        </w:rPr>
        <w:t>Section 2.20</w:t>
      </w:r>
      <w:r>
        <w:rPr>
          <w:rFonts w:ascii="Arial" w:cs="Arial" w:eastAsia="Arial" w:hAnsi="Arial"/>
          <w:sz w:val="20"/>
          <w:szCs w:val="20"/>
          <w:color w:val="auto"/>
        </w:rPr>
        <w:t xml:space="preserve"> shall survive the resignation or replacement of the Administrative Agent or any assignment of rights by, or the replacement of, a Lender and the Discharge of Obligations.</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b w:val="1"/>
          <w:bCs w:val="1"/>
          <w:color w:val="auto"/>
        </w:rPr>
        <w:t>2.21 Indemnity</w:t>
      </w:r>
      <w:r>
        <w:rPr>
          <w:rFonts w:ascii="Arial" w:cs="Arial" w:eastAsia="Arial" w:hAnsi="Arial"/>
          <w:sz w:val="19"/>
          <w:szCs w:val="19"/>
          <w:color w:val="auto"/>
        </w:rPr>
        <w:t>. The Borrower agrees to indemnify each Lender for, and to hold each Lender harmless from, any loss or expense</w:t>
      </w:r>
      <w:r>
        <w:rPr>
          <w:rFonts w:ascii="Arial" w:cs="Arial" w:eastAsia="Arial" w:hAnsi="Arial"/>
          <w:sz w:val="19"/>
          <w:szCs w:val="19"/>
          <w:b w:val="1"/>
          <w:bCs w:val="1"/>
          <w:color w:val="auto"/>
        </w:rPr>
        <w:t xml:space="preserve"> </w:t>
      </w:r>
      <w:r>
        <w:rPr>
          <w:rFonts w:ascii="Arial" w:cs="Arial" w:eastAsia="Arial" w:hAnsi="Arial"/>
          <w:sz w:val="19"/>
          <w:szCs w:val="19"/>
          <w:color w:val="auto"/>
        </w:rPr>
        <w:t>that such Lender may sustain or incur as a consequence of (a) a default by the Borrower in making a borrowing of, conversion into or continuation of Eurodollar Loans after the Borrower has given a notice requesting the same in accordance with the provisions of this Agreement, (b) a default by the Borrower in making any prepayment of or conversion from Eurodollar Loans after the Borrower has given a notice thereof in accordance with the provisions of this Agreement, (c) any failure of the Borrower to make payment of any drawing under any Letter of Credit (or interest due thereon) denominated in an Alternative Currency on its scheduled due date or any payment thereof in a different currency, or (d) for any reason, the making of a prepayment of Eurodollar Loans on a day that is not the last day of an Interest Period with respect thereto. Such losses and expenses shall be equal to the excess, if any, of (i) the amount of interest that would have accrued on the amount so prepaid, or not so borrowed, reduced, converted or continued, for the period from the date of such prepayment or of such failure to borrow, reduce, convert or continue to the last day of such Interest Period (or, in the case of a failure to borrow, reduce, convert or continue, the Interest Period that would have commenced on the date of such failure) in each case at the applicable rate of interest or other return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interbank eurodollar market. A certificate as to any amounts payable pursuant to this Section submitted to the Borrower by any Lender shall be conclusive in the absence of manifest error. This covenant shall survive the Discharge of Obligations.</w:t>
      </w:r>
    </w:p>
    <w:p>
      <w:pPr>
        <w:spacing w:after="0" w:line="13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b w:val="1"/>
          <w:bCs w:val="1"/>
          <w:color w:val="auto"/>
        </w:rPr>
        <w:t>2.22 Change of Lending Office</w:t>
      </w:r>
      <w:r>
        <w:rPr>
          <w:rFonts w:ascii="Arial" w:cs="Arial" w:eastAsia="Arial" w:hAnsi="Arial"/>
          <w:sz w:val="18"/>
          <w:szCs w:val="18"/>
          <w:color w:val="auto"/>
        </w:rPr>
        <w:t>. Each Lender agrees that, upon the occurrence of any event giving rise to the operation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2.19(b)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2.19(c)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2.20(a)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2.20(b)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2.20(d)</w:t>
      </w:r>
      <w:r>
        <w:rPr>
          <w:rFonts w:ascii="Arial" w:cs="Arial" w:eastAsia="Arial" w:hAnsi="Arial"/>
          <w:sz w:val="18"/>
          <w:szCs w:val="18"/>
          <w:color w:val="auto"/>
        </w:rPr>
        <w:t xml:space="preserve"> with respect to such Lender or that would require any Loan Party to pay any Indemnified Taxes or additional amounts to any Lender or Governmental Authority for the account of such Lender pursuant to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2.20</w:t>
      </w:r>
      <w:r>
        <w:rPr>
          <w:rFonts w:ascii="Arial" w:cs="Arial" w:eastAsia="Arial" w:hAnsi="Arial"/>
          <w:sz w:val="18"/>
          <w:szCs w:val="18"/>
          <w:color w:val="auto"/>
        </w:rPr>
        <w:t>, it will, if requested by the Borrower, use reasonable efforts (subject to overall policy considerations of such Lender) to designate a different lending office for funding or booking its Loans affected by such event or to assign its rights and obligations hereunder to another of its offices, branches or affiliates, if, in the judgment of such Lender, such designation or assignment</w:t>
      </w:r>
    </w:p>
    <w:p>
      <w:pPr>
        <w:spacing w:after="0" w:line="2" w:lineRule="exact"/>
        <w:rPr>
          <w:sz w:val="20"/>
          <w:szCs w:val="20"/>
          <w:color w:val="auto"/>
        </w:rPr>
      </w:pPr>
    </w:p>
    <w:p>
      <w:pPr>
        <w:jc w:val="both"/>
        <w:ind w:firstLine="8"/>
        <w:spacing w:after="0" w:line="274" w:lineRule="auto"/>
        <w:tabs>
          <w:tab w:leader="none" w:pos="244" w:val="left"/>
        </w:tabs>
        <w:numPr>
          <w:ilvl w:val="0"/>
          <w:numId w:val="378"/>
        </w:numPr>
        <w:rPr>
          <w:rFonts w:ascii="Arial" w:cs="Arial" w:eastAsia="Arial" w:hAnsi="Arial"/>
          <w:sz w:val="18"/>
          <w:szCs w:val="18"/>
          <w:color w:val="auto"/>
        </w:rPr>
      </w:pPr>
      <w:r>
        <w:rPr>
          <w:rFonts w:ascii="Arial" w:cs="Arial" w:eastAsia="Arial" w:hAnsi="Arial"/>
          <w:sz w:val="18"/>
          <w:szCs w:val="18"/>
          <w:color w:val="auto"/>
        </w:rPr>
        <w:t xml:space="preserve">would eliminate or reduce amounts payable pursuant to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2.20</w:t>
      </w:r>
      <w:r>
        <w:rPr>
          <w:rFonts w:ascii="Arial" w:cs="Arial" w:eastAsia="Arial" w:hAnsi="Arial"/>
          <w:sz w:val="18"/>
          <w:szCs w:val="18"/>
          <w:color w:val="auto"/>
        </w:rPr>
        <w:t xml:space="preserve">, as the case may be, in the future, and (ii) would not subject such Lender to any unreimbursed cost or expense and would not otherwise be disadvantageous to such Lender;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nothing in this Section shall affect or postpone any of the obligations of the Borrower or the rights of any Lender pursuant to </w:t>
      </w:r>
      <w:r>
        <w:rPr>
          <w:rFonts w:ascii="Arial" w:cs="Arial" w:eastAsia="Arial" w:hAnsi="Arial"/>
          <w:sz w:val="18"/>
          <w:szCs w:val="18"/>
          <w:u w:val="single" w:color="auto"/>
          <w:color w:val="auto"/>
        </w:rPr>
        <w:t>Section 2.19(b)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2.19(c)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2.20(a)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2.20(b)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2.20(d)</w:t>
      </w:r>
      <w:r>
        <w:rPr>
          <w:rFonts w:ascii="Arial" w:cs="Arial" w:eastAsia="Arial" w:hAnsi="Arial"/>
          <w:sz w:val="18"/>
          <w:szCs w:val="18"/>
          <w:color w:val="auto"/>
        </w:rPr>
        <w:t>. The Borrower hereby agrees to pay all reasonable and documented costs and expenses incurred by any Lender in connection with any such designation or assignment made at the request of the Borrower.</w:t>
      </w:r>
    </w:p>
    <w:p>
      <w:pPr>
        <w:spacing w:after="0" w:line="10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2.23 Substitution of Lenders</w:t>
      </w:r>
      <w:r>
        <w:rPr>
          <w:rFonts w:ascii="Arial" w:cs="Arial" w:eastAsia="Arial" w:hAnsi="Arial"/>
          <w:sz w:val="20"/>
          <w:szCs w:val="20"/>
          <w:color w:val="auto"/>
        </w:rPr>
        <w:t>. Upon the receipt by the Borrower of any of the following (or in the case of clause (a) below, if the</w:t>
      </w:r>
      <w:r>
        <w:rPr>
          <w:rFonts w:ascii="Arial" w:cs="Arial" w:eastAsia="Arial" w:hAnsi="Arial"/>
          <w:sz w:val="20"/>
          <w:szCs w:val="20"/>
          <w:b w:val="1"/>
          <w:bCs w:val="1"/>
          <w:color w:val="auto"/>
        </w:rPr>
        <w:t xml:space="preserve"> </w:t>
      </w:r>
      <w:r>
        <w:rPr>
          <w:rFonts w:ascii="Arial" w:cs="Arial" w:eastAsia="Arial" w:hAnsi="Arial"/>
          <w:sz w:val="20"/>
          <w:szCs w:val="20"/>
          <w:color w:val="auto"/>
        </w:rPr>
        <w:t>Borrower is required to pay any such amount), with respect to any Lender (any such Lender described in clauses (a) through (c) below being referred to as an “</w:t>
      </w:r>
      <w:r>
        <w:rPr>
          <w:rFonts w:ascii="Arial" w:cs="Arial" w:eastAsia="Arial" w:hAnsi="Arial"/>
          <w:sz w:val="20"/>
          <w:szCs w:val="20"/>
          <w:b w:val="1"/>
          <w:bCs w:val="1"/>
          <w:i w:val="1"/>
          <w:iCs w:val="1"/>
          <w:color w:val="auto"/>
        </w:rPr>
        <w:t>Affected Lender</w:t>
      </w:r>
      <w:r>
        <w:rPr>
          <w:rFonts w:ascii="Arial" w:cs="Arial" w:eastAsia="Arial" w:hAnsi="Arial"/>
          <w:sz w:val="20"/>
          <w:szCs w:val="20"/>
          <w:color w:val="auto"/>
        </w:rPr>
        <w:t>” hereunder):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ectPr>
          <w:pgSz w:w="11900" w:h="16838" w:orient="portrait"/>
          <w:cols w:equalWidth="0" w:num="1">
            <w:col w:w="11240"/>
          </w:cols>
          <w:pgMar w:left="320" w:top="771" w:right="339" w:bottom="1440" w:gutter="0" w:footer="0" w:header="0"/>
        </w:sectPr>
      </w:pPr>
    </w:p>
    <w:bookmarkStart w:id="443" w:name="page444"/>
    <w:bookmarkEnd w:id="443"/>
    <w:p>
      <w:pPr>
        <w:jc w:val="both"/>
        <w:ind w:firstLine="1304"/>
        <w:spacing w:after="0" w:line="250" w:lineRule="auto"/>
        <w:tabs>
          <w:tab w:leader="none" w:pos="1773" w:val="left"/>
        </w:tabs>
        <w:numPr>
          <w:ilvl w:val="0"/>
          <w:numId w:val="379"/>
        </w:numPr>
        <w:rPr>
          <w:rFonts w:ascii="Arial" w:cs="Arial" w:eastAsia="Arial" w:hAnsi="Arial"/>
          <w:sz w:val="20"/>
          <w:szCs w:val="20"/>
          <w:color w:val="auto"/>
        </w:rPr>
      </w:pPr>
      <w:r>
        <w:rPr>
          <w:rFonts w:ascii="Arial" w:cs="Arial" w:eastAsia="Arial" w:hAnsi="Arial"/>
          <w:sz w:val="20"/>
          <w:szCs w:val="20"/>
          <w:color w:val="auto"/>
        </w:rPr>
        <w:t xml:space="preserve">a request from a Lender for payment of Indemnified Taxes or additional amounts under </w:t>
      </w:r>
      <w:r>
        <w:rPr>
          <w:rFonts w:ascii="Arial" w:cs="Arial" w:eastAsia="Arial" w:hAnsi="Arial"/>
          <w:sz w:val="20"/>
          <w:szCs w:val="20"/>
          <w:u w:val="single" w:color="auto"/>
          <w:color w:val="auto"/>
        </w:rPr>
        <w:t>Section 2.20</w:t>
      </w:r>
      <w:r>
        <w:rPr>
          <w:rFonts w:ascii="Arial" w:cs="Arial" w:eastAsia="Arial" w:hAnsi="Arial"/>
          <w:sz w:val="20"/>
          <w:szCs w:val="20"/>
          <w:color w:val="auto"/>
        </w:rPr>
        <w:t xml:space="preserve"> or of increased costs pursuant to </w:t>
      </w:r>
      <w:r>
        <w:rPr>
          <w:rFonts w:ascii="Arial" w:cs="Arial" w:eastAsia="Arial" w:hAnsi="Arial"/>
          <w:sz w:val="20"/>
          <w:szCs w:val="20"/>
          <w:u w:val="single" w:color="auto"/>
          <w:color w:val="auto"/>
        </w:rPr>
        <w:t>Section 2.19(b)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2.19(c)</w:t>
      </w:r>
      <w:r>
        <w:rPr>
          <w:rFonts w:ascii="Arial" w:cs="Arial" w:eastAsia="Arial" w:hAnsi="Arial"/>
          <w:sz w:val="20"/>
          <w:szCs w:val="20"/>
          <w:color w:val="auto"/>
        </w:rPr>
        <w:t xml:space="preserve"> (and, in any such case, such Lender has declined or is unable to designate a different lending office in accordance with </w:t>
      </w:r>
      <w:r>
        <w:rPr>
          <w:rFonts w:ascii="Arial" w:cs="Arial" w:eastAsia="Arial" w:hAnsi="Arial"/>
          <w:sz w:val="20"/>
          <w:szCs w:val="20"/>
          <w:u w:val="single" w:color="auto"/>
          <w:color w:val="auto"/>
        </w:rPr>
        <w:t>Section 2.22</w:t>
      </w:r>
      <w:r>
        <w:rPr>
          <w:rFonts w:ascii="Arial" w:cs="Arial" w:eastAsia="Arial" w:hAnsi="Arial"/>
          <w:sz w:val="20"/>
          <w:szCs w:val="20"/>
          <w:color w:val="auto"/>
        </w:rPr>
        <w:t xml:space="preserve"> or is a Non-Consenting Lender);</w:t>
      </w:r>
    </w:p>
    <w:p>
      <w:pPr>
        <w:spacing w:after="0" w:line="131" w:lineRule="exact"/>
        <w:rPr>
          <w:rFonts w:ascii="Arial" w:cs="Arial" w:eastAsia="Arial" w:hAnsi="Arial"/>
          <w:sz w:val="20"/>
          <w:szCs w:val="20"/>
          <w:color w:val="auto"/>
        </w:rPr>
      </w:pPr>
    </w:p>
    <w:p>
      <w:pPr>
        <w:ind w:right="20" w:firstLine="1304"/>
        <w:spacing w:after="0" w:line="260" w:lineRule="auto"/>
        <w:tabs>
          <w:tab w:leader="none" w:pos="1729" w:val="left"/>
        </w:tabs>
        <w:numPr>
          <w:ilvl w:val="0"/>
          <w:numId w:val="379"/>
        </w:numPr>
        <w:rPr>
          <w:rFonts w:ascii="Arial" w:cs="Arial" w:eastAsia="Arial" w:hAnsi="Arial"/>
          <w:sz w:val="20"/>
          <w:szCs w:val="20"/>
          <w:color w:val="auto"/>
        </w:rPr>
      </w:pPr>
      <w:r>
        <w:rPr>
          <w:rFonts w:ascii="Arial" w:cs="Arial" w:eastAsia="Arial" w:hAnsi="Arial"/>
          <w:sz w:val="20"/>
          <w:szCs w:val="20"/>
          <w:color w:val="auto"/>
        </w:rPr>
        <w:t xml:space="preserve">a notice from the Administrative Agent under </w:t>
      </w:r>
      <w:r>
        <w:rPr>
          <w:rFonts w:ascii="Arial" w:cs="Arial" w:eastAsia="Arial" w:hAnsi="Arial"/>
          <w:sz w:val="20"/>
          <w:szCs w:val="20"/>
          <w:u w:val="single" w:color="auto"/>
          <w:color w:val="auto"/>
        </w:rPr>
        <w:t>Section 10.1(b)</w:t>
      </w:r>
      <w:r>
        <w:rPr>
          <w:rFonts w:ascii="Arial" w:cs="Arial" w:eastAsia="Arial" w:hAnsi="Arial"/>
          <w:sz w:val="20"/>
          <w:szCs w:val="20"/>
          <w:color w:val="auto"/>
        </w:rPr>
        <w:t xml:space="preserve"> that one or more Minority Lenders are unwilling to agree to an amendment or other modification approved by the Required Lenders and the Administrative Agent; or</w:t>
      </w:r>
    </w:p>
    <w:p>
      <w:pPr>
        <w:spacing w:after="0" w:line="122" w:lineRule="exact"/>
        <w:rPr>
          <w:rFonts w:ascii="Arial" w:cs="Arial" w:eastAsia="Arial" w:hAnsi="Arial"/>
          <w:sz w:val="20"/>
          <w:szCs w:val="20"/>
          <w:color w:val="auto"/>
        </w:rPr>
      </w:pPr>
    </w:p>
    <w:p>
      <w:pPr>
        <w:ind w:left="1720" w:hanging="416"/>
        <w:spacing w:after="0"/>
        <w:tabs>
          <w:tab w:leader="none" w:pos="1720" w:val="left"/>
        </w:tabs>
        <w:numPr>
          <w:ilvl w:val="0"/>
          <w:numId w:val="379"/>
        </w:numPr>
        <w:rPr>
          <w:rFonts w:ascii="Arial" w:cs="Arial" w:eastAsia="Arial" w:hAnsi="Arial"/>
          <w:sz w:val="20"/>
          <w:szCs w:val="20"/>
          <w:color w:val="auto"/>
        </w:rPr>
      </w:pPr>
      <w:r>
        <w:rPr>
          <w:rFonts w:ascii="Arial" w:cs="Arial" w:eastAsia="Arial" w:hAnsi="Arial"/>
          <w:sz w:val="20"/>
          <w:szCs w:val="20"/>
          <w:color w:val="auto"/>
        </w:rPr>
        <w:t>notice from the Administrative Agent that a Lender is a Defaulting Lender;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then the Borrower may, at its sole expense and effort, upon notice to such Lender and the Administrative Agent and such Affected Lender:</w:t>
      </w:r>
    </w:p>
    <w:p>
      <w:pPr>
        <w:spacing w:after="0" w:line="39" w:lineRule="exact"/>
        <w:rPr>
          <w:sz w:val="20"/>
          <w:szCs w:val="20"/>
          <w:color w:val="auto"/>
        </w:rPr>
      </w:pPr>
    </w:p>
    <w:p>
      <w:pPr>
        <w:ind w:left="280" w:hanging="272"/>
        <w:spacing w:after="0"/>
        <w:tabs>
          <w:tab w:leader="none" w:pos="28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request that one or more of the other Lenders acquire and assume all or part of such Affected Lender’s Loans and Commitment; or</w:t>
      </w:r>
    </w:p>
    <w:p>
      <w:pPr>
        <w:spacing w:after="0" w:line="22" w:lineRule="exact"/>
        <w:rPr>
          <w:rFonts w:ascii="Arial" w:cs="Arial" w:eastAsia="Arial" w:hAnsi="Arial"/>
          <w:sz w:val="18"/>
          <w:szCs w:val="18"/>
          <w:color w:val="auto"/>
        </w:rPr>
      </w:pPr>
    </w:p>
    <w:p>
      <w:pPr>
        <w:jc w:val="both"/>
        <w:ind w:firstLine="8"/>
        <w:spacing w:after="0" w:line="266" w:lineRule="auto"/>
        <w:tabs>
          <w:tab w:leader="none" w:pos="316" w:val="left"/>
        </w:tabs>
        <w:numPr>
          <w:ilvl w:val="0"/>
          <w:numId w:val="380"/>
        </w:numPr>
        <w:rPr>
          <w:rFonts w:ascii="Arial" w:cs="Arial" w:eastAsia="Arial" w:hAnsi="Arial"/>
          <w:sz w:val="18"/>
          <w:szCs w:val="18"/>
          <w:color w:val="auto"/>
        </w:rPr>
      </w:pPr>
      <w:r>
        <w:rPr>
          <w:rFonts w:ascii="Arial" w:cs="Arial" w:eastAsia="Arial" w:hAnsi="Arial"/>
          <w:sz w:val="18"/>
          <w:szCs w:val="18"/>
          <w:color w:val="auto"/>
        </w:rPr>
        <w:t>designate a replacement lending institution (which shall be an Eligible Assignee) to acquire and assume all or a ratable part of such Affected Lender’s Loans and Commitment (the replacing Lender or lender in (i) or (ii) being a “</w:t>
      </w:r>
      <w:r>
        <w:rPr>
          <w:rFonts w:ascii="Arial" w:cs="Arial" w:eastAsia="Arial" w:hAnsi="Arial"/>
          <w:sz w:val="18"/>
          <w:szCs w:val="18"/>
          <w:b w:val="1"/>
          <w:bCs w:val="1"/>
          <w:i w:val="1"/>
          <w:iCs w:val="1"/>
          <w:color w:val="auto"/>
        </w:rPr>
        <w:t>Replacement Lender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Borrower shall be liable for the payment upon demand of all costs and other amounts arising under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that result from the acquisition of any Affected Lender’s Loan and/or Commitment (or any portion thereof) by a Lender or Replacement Lender, as the case may be, on a date other than the last day of the applicable Interest Period with respect to any Eurodollar Loans then outstanding;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the Borrower elects to exercise such right with respect to any Affected Lender under clause (a) or (b) of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2.23</w:t>
      </w:r>
      <w:r>
        <w:rPr>
          <w:rFonts w:ascii="Arial" w:cs="Arial" w:eastAsia="Arial" w:hAnsi="Arial"/>
          <w:sz w:val="18"/>
          <w:szCs w:val="18"/>
          <w:color w:val="auto"/>
        </w:rPr>
        <w:t xml:space="preserve">, then the Borrower shall be obligated to replace all Affected Lenders under such clauses. The Affected Lender replaced pursuant to this </w:t>
      </w:r>
      <w:r>
        <w:rPr>
          <w:rFonts w:ascii="Arial" w:cs="Arial" w:eastAsia="Arial" w:hAnsi="Arial"/>
          <w:sz w:val="18"/>
          <w:szCs w:val="18"/>
          <w:u w:val="single" w:color="auto"/>
          <w:color w:val="auto"/>
        </w:rPr>
        <w:t>Section 2.23</w:t>
      </w:r>
      <w:r>
        <w:rPr>
          <w:rFonts w:ascii="Arial" w:cs="Arial" w:eastAsia="Arial" w:hAnsi="Arial"/>
          <w:sz w:val="18"/>
          <w:szCs w:val="18"/>
          <w:color w:val="auto"/>
        </w:rPr>
        <w:t xml:space="preserve"> shall be required to assign and delegate, without recourse, all of its interests, rights and obligations under this Agreement and the related Loan Documents to one or more Replacement Lenders that so agree to acquire and assume all or a ratable part of such Affected Lender’s Loans and Commitment upon payment to such Affected Lender of an amount (in the aggregate for all Replacement Lenders) equal to 100% of the outstanding principal of the Affected Lender’s Loans, accrued interest thereon, accrued fees and all other amounts payable to it hereunder and under the other Loan Documents from such Replacement Lenders (to the extent of such outstanding principal and accrued interest and fees) or the Borrower (in the case of all other amounts, including amounts under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hereof). Any such designation of a Replacement Lender shall be effected in accordance with, and subject to the terms and conditions of, the assignment provisions contained in </w:t>
      </w:r>
      <w:r>
        <w:rPr>
          <w:rFonts w:ascii="Arial" w:cs="Arial" w:eastAsia="Arial" w:hAnsi="Arial"/>
          <w:sz w:val="18"/>
          <w:szCs w:val="18"/>
          <w:u w:val="single" w:color="auto"/>
          <w:color w:val="auto"/>
        </w:rPr>
        <w:t>Section 10.6</w:t>
      </w:r>
      <w:r>
        <w:rPr>
          <w:rFonts w:ascii="Arial" w:cs="Arial" w:eastAsia="Arial" w:hAnsi="Arial"/>
          <w:sz w:val="18"/>
          <w:szCs w:val="18"/>
          <w:color w:val="auto"/>
        </w:rPr>
        <w:t xml:space="preserve"> (with the assignment fee to be paid by the Borrower in such instance), and if such Replacement Lender is not already a Lender hereunder or an Affiliate of a Lender or an Approved Fund, shall be subject to the prior written consent of the Administrative Agent (which consent shall not be unreasonably withheld). Notwithstanding the foregoing, with respect to any assignment pursuant to this </w:t>
      </w:r>
      <w:r>
        <w:rPr>
          <w:rFonts w:ascii="Arial" w:cs="Arial" w:eastAsia="Arial" w:hAnsi="Arial"/>
          <w:sz w:val="18"/>
          <w:szCs w:val="18"/>
          <w:u w:val="single" w:color="auto"/>
          <w:color w:val="auto"/>
        </w:rPr>
        <w:t>Section 2.23</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jc w:val="both"/>
        <w:spacing w:after="0" w:line="272" w:lineRule="auto"/>
        <w:rPr>
          <w:rFonts w:ascii="Arial" w:cs="Arial" w:eastAsia="Arial" w:hAnsi="Arial"/>
          <w:sz w:val="18"/>
          <w:szCs w:val="18"/>
          <w:color w:val="auto"/>
        </w:rPr>
      </w:pPr>
      <w:r>
        <w:rPr>
          <w:rFonts w:ascii="Arial" w:cs="Arial" w:eastAsia="Arial" w:hAnsi="Arial"/>
          <w:sz w:val="18"/>
          <w:szCs w:val="18"/>
          <w:color w:val="auto"/>
        </w:rPr>
        <w:t xml:space="preserve">(a) in the case of any such assignment resulting from a claim for compensation under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such assignment shall result in a reduction in such compensation or payments thereafter; (b) such assignment shall not conflict with applicable law and (c) in the case of any assignment resulting from a Lender being a Minority Lender referred to in clause (b) of this </w:t>
      </w:r>
      <w:r>
        <w:rPr>
          <w:rFonts w:ascii="Arial" w:cs="Arial" w:eastAsia="Arial" w:hAnsi="Arial"/>
          <w:sz w:val="18"/>
          <w:szCs w:val="18"/>
          <w:u w:val="single" w:color="auto"/>
          <w:color w:val="auto"/>
        </w:rPr>
        <w:t>Section 2.23</w:t>
      </w:r>
      <w:r>
        <w:rPr>
          <w:rFonts w:ascii="Arial" w:cs="Arial" w:eastAsia="Arial" w:hAnsi="Arial"/>
          <w:sz w:val="18"/>
          <w:szCs w:val="18"/>
          <w:color w:val="auto"/>
        </w:rPr>
        <w:t>, the applicable assignee shall have consented to the applicable amendment, waiver or consent. Notwithstanding the foregoing, an Affected Lender shall not be required to make any such assignment or delegation if, prior thereto, as a result of a waiver by such Affected Lender or otherwise, the circumstances entitling the Borrower to require such assignment and delegation cease to apply.</w:t>
      </w:r>
    </w:p>
    <w:p>
      <w:pPr>
        <w:spacing w:after="0" w:line="11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2.24</w:t>
      </w:r>
      <w:r>
        <w:rPr>
          <w:sz w:val="20"/>
          <w:szCs w:val="20"/>
          <w:color w:val="auto"/>
        </w:rPr>
        <w:tab/>
      </w:r>
      <w:r>
        <w:rPr>
          <w:rFonts w:ascii="Arial" w:cs="Arial" w:eastAsia="Arial" w:hAnsi="Arial"/>
          <w:sz w:val="16"/>
          <w:szCs w:val="16"/>
          <w:b w:val="1"/>
          <w:bCs w:val="1"/>
          <w:color w:val="auto"/>
        </w:rPr>
        <w:t>Defaulting Lenders</w:t>
      </w:r>
      <w:r>
        <w:rPr>
          <w:rFonts w:ascii="Arial" w:cs="Arial" w:eastAsia="Arial" w:hAnsi="Arial"/>
          <w:sz w:val="16"/>
          <w:szCs w:val="16"/>
          <w:color w:val="auto"/>
        </w:rPr>
        <w:t>.</w:t>
      </w:r>
    </w:p>
    <w:p>
      <w:pPr>
        <w:spacing w:after="0" w:line="168" w:lineRule="exact"/>
        <w:rPr>
          <w:sz w:val="20"/>
          <w:szCs w:val="20"/>
          <w:color w:val="auto"/>
        </w:rPr>
      </w:pPr>
    </w:p>
    <w:p>
      <w:pPr>
        <w:jc w:val="both"/>
        <w:ind w:firstLine="1304"/>
        <w:spacing w:after="0" w:line="250" w:lineRule="auto"/>
        <w:tabs>
          <w:tab w:leader="none" w:pos="1754" w:val="left"/>
        </w:tabs>
        <w:numPr>
          <w:ilvl w:val="0"/>
          <w:numId w:val="381"/>
        </w:numPr>
        <w:rPr>
          <w:rFonts w:ascii="Arial" w:cs="Arial" w:eastAsia="Arial" w:hAnsi="Arial"/>
          <w:sz w:val="20"/>
          <w:szCs w:val="20"/>
          <w:color w:val="auto"/>
        </w:rPr>
      </w:pPr>
      <w:r>
        <w:rPr>
          <w:rFonts w:ascii="Arial" w:cs="Arial" w:eastAsia="Arial" w:hAnsi="Arial"/>
          <w:sz w:val="20"/>
          <w:szCs w:val="20"/>
          <w:u w:val="single" w:color="auto"/>
          <w:color w:val="auto"/>
        </w:rPr>
        <w:t>Defaulting Lender Adjustments</w:t>
      </w:r>
      <w:r>
        <w:rPr>
          <w:rFonts w:ascii="Arial" w:cs="Arial" w:eastAsia="Arial" w:hAnsi="Arial"/>
          <w:sz w:val="20"/>
          <w:szCs w:val="20"/>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ectPr>
          <w:pgSz w:w="11900" w:h="16838" w:orient="portrait"/>
          <w:cols w:equalWidth="0" w:num="1">
            <w:col w:w="11240"/>
          </w:cols>
          <w:pgMar w:left="320" w:top="771" w:right="339" w:bottom="1440" w:gutter="0" w:footer="0" w:header="0"/>
        </w:sectPr>
      </w:pPr>
    </w:p>
    <w:bookmarkStart w:id="444" w:name="page445"/>
    <w:bookmarkEnd w:id="444"/>
    <w:p>
      <w:pPr>
        <w:ind w:firstLine="1952"/>
        <w:spacing w:after="0" w:line="316" w:lineRule="auto"/>
        <w:tabs>
          <w:tab w:leader="none" w:pos="2342" w:val="left"/>
        </w:tabs>
        <w:numPr>
          <w:ilvl w:val="0"/>
          <w:numId w:val="382"/>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Such Defaulting Lender’s right to approve or disapprove any amendment, waiver or consent with respect to this Agreement shall be restricted as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and in the definition of Required Lenders.</w:t>
      </w:r>
    </w:p>
    <w:p>
      <w:pPr>
        <w:spacing w:after="0" w:line="75" w:lineRule="exact"/>
        <w:rPr>
          <w:rFonts w:ascii="Arial" w:cs="Arial" w:eastAsia="Arial" w:hAnsi="Arial"/>
          <w:sz w:val="18"/>
          <w:szCs w:val="18"/>
          <w:color w:val="auto"/>
        </w:rPr>
      </w:pPr>
    </w:p>
    <w:p>
      <w:pPr>
        <w:jc w:val="both"/>
        <w:ind w:firstLine="1952"/>
        <w:spacing w:after="0" w:line="268" w:lineRule="auto"/>
        <w:tabs>
          <w:tab w:leader="none" w:pos="2532" w:val="left"/>
        </w:tabs>
        <w:numPr>
          <w:ilvl w:val="0"/>
          <w:numId w:val="382"/>
        </w:numPr>
        <w:rPr>
          <w:rFonts w:ascii="Arial" w:cs="Arial" w:eastAsia="Arial" w:hAnsi="Arial"/>
          <w:sz w:val="18"/>
          <w:szCs w:val="18"/>
          <w:color w:val="auto"/>
        </w:rPr>
      </w:pPr>
      <w:r>
        <w:rPr>
          <w:rFonts w:ascii="Arial" w:cs="Arial" w:eastAsia="Arial" w:hAnsi="Arial"/>
          <w:sz w:val="18"/>
          <w:szCs w:val="18"/>
          <w:u w:val="single" w:color="auto"/>
          <w:color w:val="auto"/>
        </w:rPr>
        <w:t>Defaulting Lender Waterfall</w:t>
      </w:r>
      <w:r>
        <w:rPr>
          <w:rFonts w:ascii="Arial" w:cs="Arial" w:eastAsia="Arial" w:hAnsi="Arial"/>
          <w:sz w:val="18"/>
          <w:szCs w:val="18"/>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or otherwise, and including any amounts made available to the Administrative Agent by such Defaulting Lender pursuant to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shall be applied at such time or times as may be determined by the Administrative Agent as follows: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the payment of any amounts owing by such Defaulting Lender to the Administrative Agent hereunder;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the payment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of any amounts owing by such Defaulting Lender to the Issuing Lender or to the Swingline Lender hereunder;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be held as Cash Collateral for the funding obligations of such Defaulting Lender of any participation in any Letter of Credit;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if so determined by the Administrative Agent and the Borrower, to be held in a Deposit Account and released pro rata to (x) satisfy such Defaulting Lender’s potential future funding obligations with respect to Loans under this Agreement, and (y) be held as Cash Collateral for the future funding obligations of such Defaulting Lender of any participation in any future Letter of Credit; </w:t>
      </w:r>
      <w:r>
        <w:rPr>
          <w:rFonts w:ascii="Arial" w:cs="Arial" w:eastAsia="Arial" w:hAnsi="Arial"/>
          <w:sz w:val="18"/>
          <w:szCs w:val="18"/>
          <w:u w:val="single" w:color="auto"/>
          <w:color w:val="auto"/>
        </w:rPr>
        <w:t>sixth</w:t>
      </w:r>
      <w:r>
        <w:rPr>
          <w:rFonts w:ascii="Arial" w:cs="Arial" w:eastAsia="Arial" w:hAnsi="Arial"/>
          <w:sz w:val="18"/>
          <w:szCs w:val="18"/>
          <w:color w:val="auto"/>
        </w:rPr>
        <w:t xml:space="preserve">, to the payment of any amounts owing to any L/C Lender, Issuing Lender or Swingline Lender as a result of any judgment of a court of competent jurisdiction obtained by any L/C Lender, Issuing Lender or Swingline Lender against such Defaulting Lender as a result of such Defaulting Lender’s breach of its obligations under this Agreement; </w:t>
      </w:r>
      <w:r>
        <w:rPr>
          <w:rFonts w:ascii="Arial" w:cs="Arial" w:eastAsia="Arial" w:hAnsi="Arial"/>
          <w:sz w:val="18"/>
          <w:szCs w:val="18"/>
          <w:u w:val="single" w:color="auto"/>
          <w:color w:val="auto"/>
        </w:rPr>
        <w:t>seventh</w:t>
      </w:r>
      <w:r>
        <w:rPr>
          <w:rFonts w:ascii="Arial" w:cs="Arial" w:eastAsia="Arial" w:hAnsi="Arial"/>
          <w:sz w:val="18"/>
          <w:szCs w:val="18"/>
          <w:color w:val="auto"/>
        </w:rPr>
        <w:t xml:space="preserve">, so long as no Default or Event of Default has occurred and is continuing,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8"/>
          <w:szCs w:val="18"/>
          <w:u w:val="single" w:color="auto"/>
          <w:color w:val="auto"/>
        </w:rPr>
        <w:t>eighth</w:t>
      </w:r>
      <w:r>
        <w:rPr>
          <w:rFonts w:ascii="Arial" w:cs="Arial" w:eastAsia="Arial" w:hAnsi="Arial"/>
          <w:sz w:val="18"/>
          <w:szCs w:val="18"/>
          <w:color w:val="auto"/>
        </w:rPr>
        <w:t xml:space="preserve">, to such Defaulting Lender or as otherwise directed by a court of competent jurisdiction;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if (A) such payment is a payment of the principal amount of any Loans or L/C Advances in respect of which such Defaulting Lender has not fully funded its appropriate share and (B) such Loans or L/C Advances were made at a time when the conditions set forth in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were satisfied or waived, such payment shall be applied solely to pay the Loans of, and L/C Advances owed to, all Non-Defaulting Lenders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prior to being applied to the payment of any Loans of, or L/C Advances owed to, such Defaulting Lender until such time as all Loans and funded and unfunded participations in L/C Advances and Swingline Loans are held by the Lenders pro rata in accordance with the Commitments under the applicable Facility without giving effect to </w:t>
      </w:r>
      <w:r>
        <w:rPr>
          <w:rFonts w:ascii="Arial" w:cs="Arial" w:eastAsia="Arial" w:hAnsi="Arial"/>
          <w:sz w:val="18"/>
          <w:szCs w:val="18"/>
          <w:u w:val="single" w:color="auto"/>
          <w:color w:val="auto"/>
        </w:rPr>
        <w:t>Section 2.24(a)(iv)</w:t>
      </w:r>
      <w:r>
        <w:rPr>
          <w:rFonts w:ascii="Arial" w:cs="Arial" w:eastAsia="Arial" w:hAnsi="Arial"/>
          <w:sz w:val="18"/>
          <w:szCs w:val="18"/>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8"/>
          <w:szCs w:val="18"/>
          <w:u w:val="single" w:color="auto"/>
          <w:color w:val="auto"/>
        </w:rPr>
        <w:t>Section 2.24(a)(ii)</w:t>
      </w:r>
      <w:r>
        <w:rPr>
          <w:rFonts w:ascii="Arial" w:cs="Arial" w:eastAsia="Arial" w:hAnsi="Arial"/>
          <w:sz w:val="18"/>
          <w:szCs w:val="18"/>
          <w:color w:val="auto"/>
        </w:rPr>
        <w:t xml:space="preserve"> shall be deemed paid to and redirected by such Defaulting Lender, and each Lender irrevocably consents hereto.</w:t>
      </w:r>
    </w:p>
    <w:p>
      <w:pPr>
        <w:spacing w:after="0" w:line="119" w:lineRule="exact"/>
        <w:rPr>
          <w:rFonts w:ascii="Arial" w:cs="Arial" w:eastAsia="Arial" w:hAnsi="Arial"/>
          <w:sz w:val="18"/>
          <w:szCs w:val="18"/>
          <w:color w:val="auto"/>
        </w:rPr>
      </w:pPr>
    </w:p>
    <w:p>
      <w:pPr>
        <w:ind w:left="2440" w:hanging="488"/>
        <w:spacing w:after="0"/>
        <w:tabs>
          <w:tab w:leader="none" w:pos="2440" w:val="left"/>
        </w:tabs>
        <w:numPr>
          <w:ilvl w:val="0"/>
          <w:numId w:val="382"/>
        </w:numPr>
        <w:rPr>
          <w:rFonts w:ascii="Arial" w:cs="Arial" w:eastAsia="Arial" w:hAnsi="Arial"/>
          <w:sz w:val="20"/>
          <w:szCs w:val="20"/>
          <w:color w:val="auto"/>
        </w:rPr>
      </w:pPr>
      <w:r>
        <w:rPr>
          <w:rFonts w:ascii="Arial" w:cs="Arial" w:eastAsia="Arial" w:hAnsi="Arial"/>
          <w:sz w:val="20"/>
          <w:szCs w:val="20"/>
          <w:u w:val="single" w:color="auto"/>
          <w:color w:val="auto"/>
        </w:rPr>
        <w:t>Certain Fees</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2600"/>
        <w:spacing w:after="0" w:line="250" w:lineRule="auto"/>
        <w:tabs>
          <w:tab w:leader="none" w:pos="3142" w:val="left"/>
        </w:tabs>
        <w:numPr>
          <w:ilvl w:val="1"/>
          <w:numId w:val="382"/>
        </w:numPr>
        <w:rPr>
          <w:rFonts w:ascii="Arial" w:cs="Arial" w:eastAsia="Arial" w:hAnsi="Arial"/>
          <w:sz w:val="20"/>
          <w:szCs w:val="20"/>
          <w:color w:val="auto"/>
        </w:rPr>
      </w:pPr>
      <w:r>
        <w:rPr>
          <w:rFonts w:ascii="Arial" w:cs="Arial" w:eastAsia="Arial" w:hAnsi="Arial"/>
          <w:sz w:val="20"/>
          <w:szCs w:val="20"/>
          <w:color w:val="auto"/>
        </w:rPr>
        <w:t xml:space="preserve">No Defaulting Lender shall be entitled to receive any fee pursuant to </w:t>
      </w:r>
      <w:r>
        <w:rPr>
          <w:rFonts w:ascii="Arial" w:cs="Arial" w:eastAsia="Arial" w:hAnsi="Arial"/>
          <w:sz w:val="20"/>
          <w:szCs w:val="20"/>
          <w:u w:val="single" w:color="auto"/>
          <w:color w:val="auto"/>
        </w:rPr>
        <w:t>Section 2.9(b)</w:t>
      </w:r>
      <w:r>
        <w:rPr>
          <w:rFonts w:ascii="Arial" w:cs="Arial" w:eastAsia="Arial" w:hAnsi="Arial"/>
          <w:sz w:val="20"/>
          <w:szCs w:val="20"/>
          <w:color w:val="auto"/>
        </w:rPr>
        <w:t xml:space="preserve"> for any period during which such Lender is a Defaulting Lender (and the Borrower shall not be required to pay any such fee that otherwise would have been required to have been paid to such Defaulting Lender).</w:t>
      </w:r>
    </w:p>
    <w:p>
      <w:pPr>
        <w:spacing w:after="0" w:line="131" w:lineRule="exact"/>
        <w:rPr>
          <w:rFonts w:ascii="Arial" w:cs="Arial" w:eastAsia="Arial" w:hAnsi="Arial"/>
          <w:sz w:val="20"/>
          <w:szCs w:val="20"/>
          <w:color w:val="auto"/>
        </w:rPr>
      </w:pPr>
    </w:p>
    <w:p>
      <w:pPr>
        <w:ind w:left="3140" w:hanging="540"/>
        <w:spacing w:after="0"/>
        <w:tabs>
          <w:tab w:leader="none" w:pos="3140" w:val="left"/>
        </w:tabs>
        <w:numPr>
          <w:ilvl w:val="1"/>
          <w:numId w:val="382"/>
        </w:numPr>
        <w:rPr>
          <w:rFonts w:ascii="Arial" w:cs="Arial" w:eastAsia="Arial" w:hAnsi="Arial"/>
          <w:sz w:val="19"/>
          <w:szCs w:val="19"/>
          <w:color w:val="auto"/>
        </w:rPr>
      </w:pPr>
      <w:r>
        <w:rPr>
          <w:rFonts w:ascii="Arial" w:cs="Arial" w:eastAsia="Arial" w:hAnsi="Arial"/>
          <w:sz w:val="19"/>
          <w:szCs w:val="19"/>
          <w:color w:val="auto"/>
        </w:rPr>
        <w:t>Each Defaulting Lender shall be limited in its right to receive Letter of Credit Fees as provided in</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u w:val="single" w:color="auto"/>
          <w:color w:val="auto"/>
        </w:rPr>
        <w:t>Section 3.3(d)</w:t>
      </w:r>
      <w:r>
        <w:rPr>
          <w:rFonts w:ascii="Arial" w:cs="Arial" w:eastAsia="Arial" w:hAnsi="Arial"/>
          <w:sz w:val="20"/>
          <w:szCs w:val="20"/>
          <w:color w:val="auto"/>
        </w:rPr>
        <w:t>.</w:t>
      </w:r>
    </w:p>
    <w:p>
      <w:pPr>
        <w:spacing w:after="0" w:line="145" w:lineRule="exact"/>
        <w:rPr>
          <w:rFonts w:ascii="Arial" w:cs="Arial" w:eastAsia="Arial" w:hAnsi="Arial"/>
          <w:sz w:val="19"/>
          <w:szCs w:val="19"/>
          <w:color w:val="auto"/>
        </w:rPr>
      </w:pPr>
    </w:p>
    <w:p>
      <w:pPr>
        <w:jc w:val="both"/>
        <w:ind w:firstLine="2600"/>
        <w:spacing w:after="0" w:line="244" w:lineRule="auto"/>
        <w:tabs>
          <w:tab w:leader="none" w:pos="3087" w:val="left"/>
        </w:tabs>
        <w:numPr>
          <w:ilvl w:val="1"/>
          <w:numId w:val="382"/>
        </w:numPr>
        <w:rPr>
          <w:rFonts w:ascii="Arial" w:cs="Arial" w:eastAsia="Arial" w:hAnsi="Arial"/>
          <w:sz w:val="20"/>
          <w:szCs w:val="20"/>
          <w:color w:val="auto"/>
        </w:rPr>
      </w:pPr>
      <w:r>
        <w:rPr>
          <w:rFonts w:ascii="Arial" w:cs="Arial" w:eastAsia="Arial" w:hAnsi="Arial"/>
          <w:sz w:val="20"/>
          <w:szCs w:val="20"/>
          <w:color w:val="auto"/>
        </w:rPr>
        <w:t>With respect to any Letter of Credit Fee not required to be paid to any Defaulting Lender pursuant to clause (A) or (B) above, the Borrower shall (x) pay to each Non-Defaulting Lender that portion of any such fee otherwise payable to such Defaulting Lender with respect to such Defaulting Lender’s participation in Letters of Credit or Swingline Loans that has been reallocated to such Non-Defaulting Lender pursuant to clause (iv) below, (y) pay to the Issuing Lender and the Swingline Lender, as applicable, the amount of any such fee otherwise payable to such Defaulting</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ectPr>
          <w:pgSz w:w="11900" w:h="16838" w:orient="portrait"/>
          <w:cols w:equalWidth="0" w:num="1">
            <w:col w:w="11240"/>
          </w:cols>
          <w:pgMar w:left="320" w:top="771" w:right="339" w:bottom="1440" w:gutter="0" w:footer="0" w:header="0"/>
        </w:sectPr>
      </w:pPr>
    </w:p>
    <w:bookmarkStart w:id="445" w:name="page446"/>
    <w:bookmarkEnd w:id="445"/>
    <w:p>
      <w:pPr>
        <w:spacing w:after="0" w:line="260" w:lineRule="auto"/>
        <w:rPr>
          <w:sz w:val="20"/>
          <w:szCs w:val="20"/>
          <w:color w:val="auto"/>
        </w:rPr>
      </w:pPr>
      <w:r>
        <w:rPr>
          <w:rFonts w:ascii="Arial" w:cs="Arial" w:eastAsia="Arial" w:hAnsi="Arial"/>
          <w:sz w:val="20"/>
          <w:szCs w:val="20"/>
          <w:color w:val="auto"/>
        </w:rPr>
        <w:t>Lender to the extent allocable to the Issuing Lender’s or the Swingline Lender’s Fronting Exposure to such Defaulting Lender, and (z) not be required to pay the remaining amount of any such fee.</w:t>
      </w:r>
    </w:p>
    <w:p>
      <w:pPr>
        <w:spacing w:after="0" w:line="123" w:lineRule="exact"/>
        <w:rPr>
          <w:sz w:val="20"/>
          <w:szCs w:val="20"/>
          <w:color w:val="auto"/>
        </w:rPr>
      </w:pPr>
    </w:p>
    <w:p>
      <w:pPr>
        <w:jc w:val="both"/>
        <w:ind w:firstLine="1952"/>
        <w:spacing w:after="0" w:line="271" w:lineRule="auto"/>
        <w:tabs>
          <w:tab w:leader="none" w:pos="2427" w:val="left"/>
        </w:tabs>
        <w:numPr>
          <w:ilvl w:val="1"/>
          <w:numId w:val="383"/>
        </w:numPr>
        <w:rPr>
          <w:rFonts w:ascii="Arial" w:cs="Arial" w:eastAsia="Arial" w:hAnsi="Arial"/>
          <w:sz w:val="18"/>
          <w:szCs w:val="18"/>
          <w:color w:val="auto"/>
        </w:rPr>
      </w:pPr>
      <w:r>
        <w:rPr>
          <w:rFonts w:ascii="Arial" w:cs="Arial" w:eastAsia="Arial" w:hAnsi="Arial"/>
          <w:sz w:val="18"/>
          <w:szCs w:val="18"/>
          <w:u w:val="single" w:color="auto"/>
          <w:color w:val="auto"/>
        </w:rPr>
        <w:t>Reallocation of Pro Rata Share to Reduce Fronting Exposure</w:t>
      </w:r>
      <w:r>
        <w:rPr>
          <w:rFonts w:ascii="Arial" w:cs="Arial" w:eastAsia="Arial" w:hAnsi="Arial"/>
          <w:sz w:val="18"/>
          <w:szCs w:val="18"/>
          <w:color w:val="auto"/>
        </w:rPr>
        <w:t xml:space="preserve">. During any period in which there is a Defaulting Lender, for purposes of computing the amount of the obligation of each Non-Defaulting Lender to acquire, refinance or fund participations in Letters of Credit pursuant to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or in Swingline Loans pursuant to </w:t>
      </w:r>
      <w:r>
        <w:rPr>
          <w:rFonts w:ascii="Arial" w:cs="Arial" w:eastAsia="Arial" w:hAnsi="Arial"/>
          <w:sz w:val="18"/>
          <w:szCs w:val="18"/>
          <w:u w:val="single" w:color="auto"/>
          <w:color w:val="auto"/>
        </w:rPr>
        <w:t>Section 2.7(c)</w:t>
      </w:r>
      <w:r>
        <w:rPr>
          <w:rFonts w:ascii="Arial" w:cs="Arial" w:eastAsia="Arial" w:hAnsi="Arial"/>
          <w:sz w:val="18"/>
          <w:szCs w:val="18"/>
          <w:color w:val="auto"/>
        </w:rPr>
        <w:t xml:space="preserve">, the L/C Percentage of each Non-Defaulting Lender of any such Letter of Credit and the Revolving Percentage of each Non-Defaulting Lender of any such Swingline Loan, as the case may be, shall be computed without giving effect to the Revolving Commitment of such Defaulting Lender;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aggregate obligations of each Non-Defaulting Lender to acquire, refinance or fund participations in Letters of Credit and Swingline Loans shall not exceed the positive difference, if any, of (1) the Revolving Commitment of that Non-Defaulting Lender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(2) the aggregate outstanding amount of the Revolving Loans of that Lender plus the aggregate amount of that Lender’s L/C Percentage of the Dollar Equivalent of the then outstanding Letters of Credit. Subject to </w:t>
      </w:r>
      <w:r>
        <w:rPr>
          <w:rFonts w:ascii="Arial" w:cs="Arial" w:eastAsia="Arial" w:hAnsi="Arial"/>
          <w:sz w:val="18"/>
          <w:szCs w:val="18"/>
          <w:u w:val="single" w:color="auto"/>
          <w:color w:val="auto"/>
        </w:rPr>
        <w:t>Section 10.21</w:t>
      </w:r>
      <w:r>
        <w:rPr>
          <w:rFonts w:ascii="Arial" w:cs="Arial" w:eastAsia="Arial" w:hAnsi="Arial"/>
          <w:sz w:val="18"/>
          <w:szCs w:val="18"/>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15" w:lineRule="exact"/>
        <w:rPr>
          <w:rFonts w:ascii="Arial" w:cs="Arial" w:eastAsia="Arial" w:hAnsi="Arial"/>
          <w:sz w:val="18"/>
          <w:szCs w:val="18"/>
          <w:color w:val="auto"/>
        </w:rPr>
      </w:pPr>
    </w:p>
    <w:p>
      <w:pPr>
        <w:jc w:val="both"/>
        <w:ind w:firstLine="1952"/>
        <w:spacing w:after="0" w:line="246" w:lineRule="auto"/>
        <w:tabs>
          <w:tab w:leader="none" w:pos="2426" w:val="left"/>
        </w:tabs>
        <w:numPr>
          <w:ilvl w:val="1"/>
          <w:numId w:val="383"/>
        </w:numPr>
        <w:rPr>
          <w:rFonts w:ascii="Arial" w:cs="Arial" w:eastAsia="Arial" w:hAnsi="Arial"/>
          <w:sz w:val="20"/>
          <w:szCs w:val="20"/>
          <w:color w:val="auto"/>
        </w:rPr>
      </w:pPr>
      <w:r>
        <w:rPr>
          <w:rFonts w:ascii="Arial" w:cs="Arial" w:eastAsia="Arial" w:hAnsi="Arial"/>
          <w:sz w:val="20"/>
          <w:szCs w:val="20"/>
          <w:u w:val="single" w:color="auto"/>
          <w:color w:val="auto"/>
        </w:rPr>
        <w:t>Cash Collateral, Repayment of Swingline Loans</w:t>
      </w:r>
      <w:r>
        <w:rPr>
          <w:rFonts w:ascii="Arial" w:cs="Arial" w:eastAsia="Arial" w:hAnsi="Arial"/>
          <w:sz w:val="20"/>
          <w:szCs w:val="20"/>
          <w:color w:val="auto"/>
        </w:rPr>
        <w:t xml:space="preserve">. If the reallocation described in clause (iv) above cannot, or can only partially, be effected, the Borrower shall, without prejudice to any right or remedy available to it hereunder or under law, (x) </w:t>
      </w:r>
      <w:r>
        <w:rPr>
          <w:rFonts w:ascii="Arial" w:cs="Arial" w:eastAsia="Arial" w:hAnsi="Arial"/>
          <w:sz w:val="20"/>
          <w:szCs w:val="20"/>
          <w:u w:val="single" w:color="auto"/>
          <w:color w:val="auto"/>
        </w:rPr>
        <w:t>first</w:t>
      </w:r>
      <w:r>
        <w:rPr>
          <w:rFonts w:ascii="Arial" w:cs="Arial" w:eastAsia="Arial" w:hAnsi="Arial"/>
          <w:sz w:val="20"/>
          <w:szCs w:val="20"/>
          <w:color w:val="auto"/>
        </w:rPr>
        <w:t xml:space="preserve">, prepay Swingline Loans in an amount equal to the Swingline Lender’s Fronting Exposure and (y) </w:t>
      </w:r>
      <w:r>
        <w:rPr>
          <w:rFonts w:ascii="Arial" w:cs="Arial" w:eastAsia="Arial" w:hAnsi="Arial"/>
          <w:sz w:val="20"/>
          <w:szCs w:val="20"/>
          <w:u w:val="single" w:color="auto"/>
          <w:color w:val="auto"/>
        </w:rPr>
        <w:t>second</w:t>
      </w:r>
      <w:r>
        <w:rPr>
          <w:rFonts w:ascii="Arial" w:cs="Arial" w:eastAsia="Arial" w:hAnsi="Arial"/>
          <w:sz w:val="20"/>
          <w:szCs w:val="20"/>
          <w:color w:val="auto"/>
        </w:rPr>
        <w:t xml:space="preserve">, Cash Collateralize the Issuing Lender’s Fronting Exposure in accordance with the procedures set forth in </w:t>
      </w:r>
      <w:r>
        <w:rPr>
          <w:rFonts w:ascii="Arial" w:cs="Arial" w:eastAsia="Arial" w:hAnsi="Arial"/>
          <w:sz w:val="20"/>
          <w:szCs w:val="20"/>
          <w:u w:val="single" w:color="auto"/>
          <w:color w:val="auto"/>
        </w:rPr>
        <w:t>Section 3.10</w:t>
      </w:r>
      <w:r>
        <w:rPr>
          <w:rFonts w:ascii="Arial" w:cs="Arial" w:eastAsia="Arial" w:hAnsi="Arial"/>
          <w:sz w:val="20"/>
          <w:szCs w:val="20"/>
          <w:color w:val="auto"/>
        </w:rPr>
        <w:t>.</w:t>
      </w:r>
    </w:p>
    <w:p>
      <w:pPr>
        <w:spacing w:after="0" w:line="137" w:lineRule="exact"/>
        <w:rPr>
          <w:rFonts w:ascii="Arial" w:cs="Arial" w:eastAsia="Arial" w:hAnsi="Arial"/>
          <w:sz w:val="20"/>
          <w:szCs w:val="20"/>
          <w:color w:val="auto"/>
        </w:rPr>
      </w:pPr>
    </w:p>
    <w:p>
      <w:pPr>
        <w:jc w:val="both"/>
        <w:ind w:firstLine="1304"/>
        <w:spacing w:after="0" w:line="255" w:lineRule="auto"/>
        <w:tabs>
          <w:tab w:leader="none" w:pos="1724" w:val="left"/>
        </w:tabs>
        <w:numPr>
          <w:ilvl w:val="0"/>
          <w:numId w:val="384"/>
        </w:numPr>
        <w:rPr>
          <w:rFonts w:ascii="Arial" w:cs="Arial" w:eastAsia="Arial" w:hAnsi="Arial"/>
          <w:sz w:val="19"/>
          <w:szCs w:val="19"/>
          <w:color w:val="auto"/>
        </w:rPr>
      </w:pPr>
      <w:r>
        <w:rPr>
          <w:rFonts w:ascii="Arial" w:cs="Arial" w:eastAsia="Arial" w:hAnsi="Arial"/>
          <w:sz w:val="19"/>
          <w:szCs w:val="19"/>
          <w:u w:val="single" w:color="auto"/>
          <w:color w:val="auto"/>
        </w:rPr>
        <w:t>Defaulting Lender Cure</w:t>
      </w:r>
      <w:r>
        <w:rPr>
          <w:rFonts w:ascii="Arial" w:cs="Arial" w:eastAsia="Arial" w:hAnsi="Arial"/>
          <w:sz w:val="19"/>
          <w:szCs w:val="19"/>
          <w:color w:val="auto"/>
        </w:rPr>
        <w:t xml:space="preserve">. If the Borrower, the Administrative Agent, the Swingline Lender and the Issuing Lender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by the Lenders in accordance with their respective Revolving P0ercentages and L/C Percentages, as applicable (without giving effect to </w:t>
      </w:r>
      <w:r>
        <w:rPr>
          <w:rFonts w:ascii="Arial" w:cs="Arial" w:eastAsia="Arial" w:hAnsi="Arial"/>
          <w:sz w:val="19"/>
          <w:szCs w:val="19"/>
          <w:u w:val="single" w:color="auto"/>
          <w:color w:val="auto"/>
        </w:rPr>
        <w:t>Section 2.24(a)(iv)</w:t>
      </w:r>
      <w:r>
        <w:rPr>
          <w:rFonts w:ascii="Arial" w:cs="Arial" w:eastAsia="Arial" w:hAnsi="Arial"/>
          <w:sz w:val="19"/>
          <w:szCs w:val="19"/>
          <w:color w:val="auto"/>
        </w:rPr>
        <w:t xml:space="preserve">), whereupon such Lender will cease to be a Defaulting Lender;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no adjustments will be made retroactively with respect to fees accrued or payments made by or on behalf of the Borrower while such Lender was a Defaulting Lender;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except to the extent otherwise expressly agreed by the affected parties, no change hereunder from Defaulting Lender to Lender will constitute a waiver or release of any claim of any party hereunder arising from such Lender having been a Defaulting Lender.</w:t>
      </w:r>
    </w:p>
    <w:p>
      <w:pPr>
        <w:spacing w:after="0" w:line="132" w:lineRule="exact"/>
        <w:rPr>
          <w:rFonts w:ascii="Arial" w:cs="Arial" w:eastAsia="Arial" w:hAnsi="Arial"/>
          <w:sz w:val="19"/>
          <w:szCs w:val="19"/>
          <w:color w:val="auto"/>
        </w:rPr>
      </w:pPr>
    </w:p>
    <w:p>
      <w:pPr>
        <w:jc w:val="both"/>
        <w:ind w:firstLine="1304"/>
        <w:spacing w:after="0" w:line="246" w:lineRule="auto"/>
        <w:tabs>
          <w:tab w:leader="none" w:pos="1754" w:val="left"/>
        </w:tabs>
        <w:numPr>
          <w:ilvl w:val="0"/>
          <w:numId w:val="384"/>
        </w:numPr>
        <w:rPr>
          <w:rFonts w:ascii="Arial" w:cs="Arial" w:eastAsia="Arial" w:hAnsi="Arial"/>
          <w:sz w:val="20"/>
          <w:szCs w:val="20"/>
          <w:color w:val="auto"/>
        </w:rPr>
      </w:pPr>
      <w:r>
        <w:rPr>
          <w:rFonts w:ascii="Arial" w:cs="Arial" w:eastAsia="Arial" w:hAnsi="Arial"/>
          <w:sz w:val="20"/>
          <w:szCs w:val="20"/>
          <w:u w:val="single" w:color="auto"/>
          <w:color w:val="auto"/>
        </w:rPr>
        <w:t>New Swingline Loans/Letters of Credit</w:t>
      </w:r>
      <w:r>
        <w:rPr>
          <w:rFonts w:ascii="Arial" w:cs="Arial" w:eastAsia="Arial" w:hAnsi="Arial"/>
          <w:sz w:val="20"/>
          <w:szCs w:val="20"/>
          <w:color w:val="auto"/>
        </w:rPr>
        <w:t>. So long as any Lender is a Defaulting Lender, (i) the Swingline Lender shall not be required to fund any Swingline Loans unless it is satisfied that it will have no Fronting Exposure after giving effect to such Swingline Loan, and (ii) the Issuing Lender shall not be required to issue, extend, renew or increase any Letter of Credit unless it is satisfied that it will have no Fronting Exposure in respect of Letters of Credit after giving effect thereto.</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ectPr>
          <w:pgSz w:w="11900" w:h="16838" w:orient="portrait"/>
          <w:cols w:equalWidth="0" w:num="1">
            <w:col w:w="11240"/>
          </w:cols>
          <w:pgMar w:left="320" w:top="771" w:right="339" w:bottom="1440" w:gutter="0" w:footer="0" w:header="0"/>
        </w:sectPr>
      </w:pPr>
    </w:p>
    <w:bookmarkStart w:id="446" w:name="page447"/>
    <w:bookmarkEnd w:id="446"/>
    <w:p>
      <w:pPr>
        <w:jc w:val="both"/>
        <w:ind w:firstLine="1304"/>
        <w:spacing w:after="0" w:line="257" w:lineRule="auto"/>
        <w:tabs>
          <w:tab w:leader="none" w:pos="1751" w:val="left"/>
        </w:tabs>
        <w:numPr>
          <w:ilvl w:val="0"/>
          <w:numId w:val="385"/>
        </w:numPr>
        <w:rPr>
          <w:rFonts w:ascii="Arial" w:cs="Arial" w:eastAsia="Arial" w:hAnsi="Arial"/>
          <w:sz w:val="19"/>
          <w:szCs w:val="19"/>
          <w:color w:val="auto"/>
        </w:rPr>
      </w:pPr>
      <w:r>
        <w:rPr>
          <w:rFonts w:ascii="Arial" w:cs="Arial" w:eastAsia="Arial" w:hAnsi="Arial"/>
          <w:sz w:val="19"/>
          <w:szCs w:val="19"/>
          <w:u w:val="single" w:color="auto"/>
          <w:color w:val="auto"/>
        </w:rPr>
        <w:t>Termination of Defaulting Lender</w:t>
      </w:r>
      <w:r>
        <w:rPr>
          <w:rFonts w:ascii="Arial" w:cs="Arial" w:eastAsia="Arial" w:hAnsi="Arial"/>
          <w:sz w:val="19"/>
          <w:szCs w:val="19"/>
          <w:color w:val="auto"/>
        </w:rPr>
        <w:t xml:space="preserve">. The Borrower may terminate the unused amount of the Revolving Commitment of any Revolving Lender that is a Defaulting Lender upon not less than 10 Business Days’ prior notice to the Administrative Agent (which shall promptly notify the Lenders thereof), and in such event the provisions of </w:t>
      </w:r>
      <w:r>
        <w:rPr>
          <w:rFonts w:ascii="Arial" w:cs="Arial" w:eastAsia="Arial" w:hAnsi="Arial"/>
          <w:sz w:val="19"/>
          <w:szCs w:val="19"/>
          <w:u w:val="single" w:color="auto"/>
          <w:color w:val="auto"/>
        </w:rPr>
        <w:t>Section 2.24(a)(ii)</w:t>
      </w:r>
      <w:r>
        <w:rPr>
          <w:rFonts w:ascii="Arial" w:cs="Arial" w:eastAsia="Arial" w:hAnsi="Arial"/>
          <w:sz w:val="19"/>
          <w:szCs w:val="19"/>
          <w:color w:val="auto"/>
        </w:rPr>
        <w:t xml:space="preserve"> will apply to all amounts thereafter paid by the Borrower for the account of such Defaulting Lender under this Agreement (whether on account of principal, interest, fees, indemnity or other amounts);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 no Event of Default shall have occurred and be continuing, and (ii) such termination shall not be deemed to be a waiver or release of any claim the Borrower, the Administrative Agent, the Issuing Lender, the Swingline Lender or any other Lender may have against such Defaulting Lender.</w:t>
      </w:r>
    </w:p>
    <w:p>
      <w:pPr>
        <w:spacing w:after="0" w:line="1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2.25</w:t>
      </w:r>
      <w:r>
        <w:rPr>
          <w:sz w:val="20"/>
          <w:szCs w:val="20"/>
          <w:color w:val="auto"/>
        </w:rPr>
        <w:tab/>
      </w:r>
      <w:r>
        <w:rPr>
          <w:rFonts w:ascii="Arial" w:cs="Arial" w:eastAsia="Arial" w:hAnsi="Arial"/>
          <w:sz w:val="18"/>
          <w:szCs w:val="18"/>
          <w:b w:val="1"/>
          <w:bCs w:val="1"/>
          <w:color w:val="auto"/>
        </w:rPr>
        <w:t>Joint and Several Liability of the Borrowers</w:t>
      </w:r>
      <w:r>
        <w:rPr>
          <w:rFonts w:ascii="Arial" w:cs="Arial" w:eastAsia="Arial" w:hAnsi="Arial"/>
          <w:sz w:val="18"/>
          <w:szCs w:val="18"/>
          <w:color w:val="auto"/>
        </w:rPr>
        <w:t>.</w:t>
      </w:r>
    </w:p>
    <w:p>
      <w:pPr>
        <w:spacing w:after="0" w:line="168" w:lineRule="exact"/>
        <w:rPr>
          <w:sz w:val="20"/>
          <w:szCs w:val="20"/>
          <w:color w:val="auto"/>
        </w:rPr>
      </w:pPr>
    </w:p>
    <w:p>
      <w:pPr>
        <w:jc w:val="both"/>
        <w:ind w:firstLine="1304"/>
        <w:spacing w:after="0" w:line="291" w:lineRule="auto"/>
        <w:tabs>
          <w:tab w:leader="none" w:pos="1743" w:val="left"/>
        </w:tabs>
        <w:numPr>
          <w:ilvl w:val="0"/>
          <w:numId w:val="386"/>
        </w:numPr>
        <w:rPr>
          <w:rFonts w:ascii="Arial" w:cs="Arial" w:eastAsia="Arial" w:hAnsi="Arial"/>
          <w:sz w:val="18"/>
          <w:szCs w:val="18"/>
          <w:color w:val="auto"/>
        </w:rPr>
      </w:pPr>
      <w:r>
        <w:rPr>
          <w:rFonts w:ascii="Arial" w:cs="Arial" w:eastAsia="Arial" w:hAnsi="Arial"/>
          <w:sz w:val="18"/>
          <w:szCs w:val="18"/>
          <w:color w:val="auto"/>
        </w:rPr>
        <w:t>Each Borrower is accepting joint and several liability hereunder and under the other Loan Documents in consideration of the financial accommodations to be provided by the Lenders under this Agreement, for the mutual benefit, directly and indirectly, of each Borrower and in consideration of the undertakings of the other Borrowers to accept joint and several liability for the Obligations.</w:t>
      </w:r>
    </w:p>
    <w:p>
      <w:pPr>
        <w:spacing w:after="0" w:line="97" w:lineRule="exact"/>
        <w:rPr>
          <w:rFonts w:ascii="Arial" w:cs="Arial" w:eastAsia="Arial" w:hAnsi="Arial"/>
          <w:sz w:val="18"/>
          <w:szCs w:val="18"/>
          <w:color w:val="auto"/>
        </w:rPr>
      </w:pPr>
    </w:p>
    <w:p>
      <w:pPr>
        <w:jc w:val="both"/>
        <w:ind w:firstLine="1304"/>
        <w:spacing w:after="0" w:line="263" w:lineRule="auto"/>
        <w:tabs>
          <w:tab w:leader="none" w:pos="1732" w:val="left"/>
        </w:tabs>
        <w:numPr>
          <w:ilvl w:val="0"/>
          <w:numId w:val="386"/>
        </w:numPr>
        <w:rPr>
          <w:rFonts w:ascii="Arial" w:cs="Arial" w:eastAsia="Arial" w:hAnsi="Arial"/>
          <w:sz w:val="19"/>
          <w:szCs w:val="19"/>
          <w:color w:val="auto"/>
        </w:rPr>
      </w:pPr>
      <w:r>
        <w:rPr>
          <w:rFonts w:ascii="Arial" w:cs="Arial" w:eastAsia="Arial" w:hAnsi="Arial"/>
          <w:sz w:val="19"/>
          <w:szCs w:val="19"/>
          <w:color w:val="auto"/>
        </w:rPr>
        <w:t xml:space="preserve">Each Borrower, jointly and severally, hereby irrevocably and unconditionally accepts, not merely as a surety but also as a co-debtor, joint and several liability with the other Borrowers, with respect to the payment and performance of all of the Obligations (including any Obligations arising under this </w:t>
      </w:r>
      <w:r>
        <w:rPr>
          <w:rFonts w:ascii="Arial" w:cs="Arial" w:eastAsia="Arial" w:hAnsi="Arial"/>
          <w:sz w:val="19"/>
          <w:szCs w:val="19"/>
          <w:u w:val="single" w:color="auto"/>
          <w:color w:val="auto"/>
        </w:rPr>
        <w:t>Section 2.25</w:t>
      </w:r>
      <w:r>
        <w:rPr>
          <w:rFonts w:ascii="Arial" w:cs="Arial" w:eastAsia="Arial" w:hAnsi="Arial"/>
          <w:sz w:val="19"/>
          <w:szCs w:val="19"/>
          <w:color w:val="auto"/>
        </w:rPr>
        <w:t>), it being the intention of the parties hereto that all the Obligations shall be the joint and several obligations of each Borrower without preferences or distinction among them.</w:t>
      </w:r>
    </w:p>
    <w:p>
      <w:pPr>
        <w:spacing w:after="0" w:line="122" w:lineRule="exact"/>
        <w:rPr>
          <w:rFonts w:ascii="Arial" w:cs="Arial" w:eastAsia="Arial" w:hAnsi="Arial"/>
          <w:sz w:val="19"/>
          <w:szCs w:val="19"/>
          <w:color w:val="auto"/>
        </w:rPr>
      </w:pPr>
    </w:p>
    <w:p>
      <w:pPr>
        <w:jc w:val="both"/>
        <w:ind w:firstLine="1304"/>
        <w:spacing w:after="0" w:line="250" w:lineRule="auto"/>
        <w:tabs>
          <w:tab w:leader="none" w:pos="1786" w:val="left"/>
        </w:tabs>
        <w:numPr>
          <w:ilvl w:val="0"/>
          <w:numId w:val="386"/>
        </w:numPr>
        <w:rPr>
          <w:rFonts w:ascii="Arial" w:cs="Arial" w:eastAsia="Arial" w:hAnsi="Arial"/>
          <w:sz w:val="20"/>
          <w:szCs w:val="20"/>
          <w:color w:val="auto"/>
        </w:rPr>
      </w:pPr>
      <w:r>
        <w:rPr>
          <w:rFonts w:ascii="Arial" w:cs="Arial" w:eastAsia="Arial" w:hAnsi="Arial"/>
          <w:sz w:val="20"/>
          <w:szCs w:val="20"/>
          <w:color w:val="auto"/>
        </w:rPr>
        <w:t>If and to the extent that any Borrower shall fail to make any payment with respect to any of the Obligations as and when due or to perform any of the Obligations in accordance with the terms thereof, then in each such event the other Borrowers will make such payment with respect to, or perform, such Obligations.</w:t>
      </w:r>
    </w:p>
    <w:p>
      <w:pPr>
        <w:spacing w:after="0" w:line="131" w:lineRule="exact"/>
        <w:rPr>
          <w:rFonts w:ascii="Arial" w:cs="Arial" w:eastAsia="Arial" w:hAnsi="Arial"/>
          <w:sz w:val="20"/>
          <w:szCs w:val="20"/>
          <w:color w:val="auto"/>
        </w:rPr>
      </w:pPr>
    </w:p>
    <w:p>
      <w:pPr>
        <w:jc w:val="both"/>
        <w:ind w:firstLine="1304"/>
        <w:spacing w:after="0" w:line="250" w:lineRule="auto"/>
        <w:tabs>
          <w:tab w:leader="none" w:pos="1760" w:val="left"/>
        </w:tabs>
        <w:numPr>
          <w:ilvl w:val="0"/>
          <w:numId w:val="386"/>
        </w:numPr>
        <w:rPr>
          <w:rFonts w:ascii="Arial" w:cs="Arial" w:eastAsia="Arial" w:hAnsi="Arial"/>
          <w:sz w:val="20"/>
          <w:szCs w:val="20"/>
          <w:color w:val="auto"/>
        </w:rPr>
      </w:pPr>
      <w:r>
        <w:rPr>
          <w:rFonts w:ascii="Arial" w:cs="Arial" w:eastAsia="Arial" w:hAnsi="Arial"/>
          <w:sz w:val="20"/>
          <w:szCs w:val="20"/>
          <w:color w:val="auto"/>
        </w:rPr>
        <w:t xml:space="preserve">The Obligations of each Borrower under the provisions of this </w:t>
      </w:r>
      <w:r>
        <w:rPr>
          <w:rFonts w:ascii="Arial" w:cs="Arial" w:eastAsia="Arial" w:hAnsi="Arial"/>
          <w:sz w:val="20"/>
          <w:szCs w:val="20"/>
          <w:u w:val="single" w:color="auto"/>
          <w:color w:val="auto"/>
        </w:rPr>
        <w:t>Section 2.25</w:t>
      </w:r>
      <w:r>
        <w:rPr>
          <w:rFonts w:ascii="Arial" w:cs="Arial" w:eastAsia="Arial" w:hAnsi="Arial"/>
          <w:sz w:val="20"/>
          <w:szCs w:val="20"/>
          <w:color w:val="auto"/>
        </w:rPr>
        <w:t xml:space="preserve"> constitute the absolute and unconditional, full recourse Obligations of each Borrower enforceable against each Borrower to the full extent of its properties and assets, irrespective of the validity, regularity or enforceability of this Agreement or any other circumstances whatsoever.</w:t>
      </w:r>
    </w:p>
    <w:p>
      <w:pPr>
        <w:spacing w:after="0" w:line="131" w:lineRule="exact"/>
        <w:rPr>
          <w:rFonts w:ascii="Arial" w:cs="Arial" w:eastAsia="Arial" w:hAnsi="Arial"/>
          <w:sz w:val="20"/>
          <w:szCs w:val="20"/>
          <w:color w:val="auto"/>
        </w:rPr>
      </w:pPr>
    </w:p>
    <w:p>
      <w:pPr>
        <w:jc w:val="both"/>
        <w:ind w:firstLine="1304"/>
        <w:spacing w:after="0" w:line="269" w:lineRule="auto"/>
        <w:tabs>
          <w:tab w:leader="none" w:pos="1781" w:val="left"/>
        </w:tabs>
        <w:numPr>
          <w:ilvl w:val="0"/>
          <w:numId w:val="386"/>
        </w:numPr>
        <w:rPr>
          <w:rFonts w:ascii="Arial" w:cs="Arial" w:eastAsia="Arial" w:hAnsi="Arial"/>
          <w:sz w:val="18"/>
          <w:szCs w:val="18"/>
          <w:color w:val="auto"/>
        </w:rPr>
      </w:pPr>
      <w:r>
        <w:rPr>
          <w:rFonts w:ascii="Arial" w:cs="Arial" w:eastAsia="Arial" w:hAnsi="Arial"/>
          <w:sz w:val="18"/>
          <w:szCs w:val="18"/>
          <w:color w:val="auto"/>
        </w:rPr>
        <w:t xml:space="preserve">Except as otherwise expressly provided in this Agreement, each Borrower hereby waives notice of acceptance of its joint and several liability, notice of any Loans made or Letters of Credit issued under or pursuant to this Agreement, notice of the occurrence of any Default, Event of Default, or of any demand for any payment under this Agreement, notice of any action at any time taken or omitted by the Administrative Agent or Lenders under or in respect of any of the Obligations, any requirement of diligence or to mitigate damages and, generally, to the extent permitted by applicable law, all demands, notices and other formalities of every kind in connection with this Agreement (except as otherwise provided in this Agreement). Each Borrower hereby assents to, and waives notice of, any extension or postponement of the time for the payment of any of the Obligations, the acceptance of any payment of any of the Obligations, the acceptance of any partial payment thereon, any waiver, consent or other action or acquiescence by the Administrative Agent or Lenders at any time or times in respect of any default by any Borrower in the performance or satisfaction of any term, covenant, condition or provision of this Agreement, any and all other indulgences whatsoever by the Administrative Agent or Lenders in respect of any of the Obligations, and the taking, addition, substitution or release, in whole or in part, at any time or times, of any security for any of the Obligations or the addition, substitution or release, in whole or in part, of any Borrower. Without limiting the generality of the foregoing, each Borrower assents to any other action or delay in acting or failure to act on the part of the Administrative Agent or Lender with respect to the failure by any Borrower to comply with any of its respective Obligations, including, without limitation, any failure strictly or diligently to assert any right or to pursue any remedy or to comply fully with applicable laws or regulations thereunder, which might, but for the provisions of this </w:t>
      </w:r>
      <w:r>
        <w:rPr>
          <w:rFonts w:ascii="Arial" w:cs="Arial" w:eastAsia="Arial" w:hAnsi="Arial"/>
          <w:sz w:val="18"/>
          <w:szCs w:val="18"/>
          <w:u w:val="single" w:color="auto"/>
          <w:color w:val="auto"/>
        </w:rPr>
        <w:t>Section 2.25</w:t>
      </w:r>
      <w:r>
        <w:rPr>
          <w:rFonts w:ascii="Arial" w:cs="Arial" w:eastAsia="Arial" w:hAnsi="Arial"/>
          <w:sz w:val="18"/>
          <w:szCs w:val="18"/>
          <w:color w:val="auto"/>
        </w:rPr>
        <w:t xml:space="preserve"> afford grounds for terminating, discharging or relieving any Borrower, in whole or in part, from any of its Obligations under this </w:t>
      </w:r>
      <w:r>
        <w:rPr>
          <w:rFonts w:ascii="Arial" w:cs="Arial" w:eastAsia="Arial" w:hAnsi="Arial"/>
          <w:sz w:val="18"/>
          <w:szCs w:val="18"/>
          <w:u w:val="single" w:color="auto"/>
          <w:color w:val="auto"/>
        </w:rPr>
        <w:t>Section 2.25</w:t>
      </w:r>
      <w:r>
        <w:rPr>
          <w:rFonts w:ascii="Arial" w:cs="Arial" w:eastAsia="Arial" w:hAnsi="Arial"/>
          <w:sz w:val="18"/>
          <w:szCs w:val="18"/>
          <w:color w:val="auto"/>
        </w:rPr>
        <w:t>, it being the intention of each Borrower that, so long as any of the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ectPr>
          <w:pgSz w:w="11900" w:h="16838" w:orient="portrait"/>
          <w:cols w:equalWidth="0" w:num="1">
            <w:col w:w="11240"/>
          </w:cols>
          <w:pgMar w:left="320" w:top="771" w:right="339" w:bottom="1440" w:gutter="0" w:footer="0" w:header="0"/>
        </w:sectPr>
      </w:pPr>
    </w:p>
    <w:bookmarkStart w:id="447" w:name="page448"/>
    <w:bookmarkEnd w:id="447"/>
    <w:p>
      <w:pPr>
        <w:jc w:val="both"/>
        <w:spacing w:after="0" w:line="246" w:lineRule="auto"/>
        <w:rPr>
          <w:sz w:val="20"/>
          <w:szCs w:val="20"/>
          <w:color w:val="auto"/>
        </w:rPr>
      </w:pPr>
      <w:r>
        <w:rPr>
          <w:rFonts w:ascii="Arial" w:cs="Arial" w:eastAsia="Arial" w:hAnsi="Arial"/>
          <w:sz w:val="20"/>
          <w:szCs w:val="20"/>
          <w:color w:val="auto"/>
        </w:rPr>
        <w:t xml:space="preserve">Obligations hereunder remain unsatisfied, the Obligations of each Borrower under this </w:t>
      </w:r>
      <w:r>
        <w:rPr>
          <w:rFonts w:ascii="Arial" w:cs="Arial" w:eastAsia="Arial" w:hAnsi="Arial"/>
          <w:sz w:val="20"/>
          <w:szCs w:val="20"/>
          <w:u w:val="single" w:color="auto"/>
          <w:color w:val="auto"/>
        </w:rPr>
        <w:t>Section 2.25</w:t>
      </w:r>
      <w:r>
        <w:rPr>
          <w:rFonts w:ascii="Arial" w:cs="Arial" w:eastAsia="Arial" w:hAnsi="Arial"/>
          <w:sz w:val="20"/>
          <w:szCs w:val="20"/>
          <w:color w:val="auto"/>
        </w:rPr>
        <w:t xml:space="preserve"> shall not be discharged except by performance and then only to the extent of such performance. The Obligations of each Borrower under this </w:t>
      </w:r>
      <w:r>
        <w:rPr>
          <w:rFonts w:ascii="Arial" w:cs="Arial" w:eastAsia="Arial" w:hAnsi="Arial"/>
          <w:sz w:val="20"/>
          <w:szCs w:val="20"/>
          <w:u w:val="single" w:color="auto"/>
          <w:color w:val="auto"/>
        </w:rPr>
        <w:t>Section 2.25</w:t>
      </w:r>
      <w:r>
        <w:rPr>
          <w:rFonts w:ascii="Arial" w:cs="Arial" w:eastAsia="Arial" w:hAnsi="Arial"/>
          <w:sz w:val="20"/>
          <w:szCs w:val="20"/>
          <w:color w:val="auto"/>
        </w:rPr>
        <w:t xml:space="preserve"> shall not be diminished or rendered unenforceable by any winding up, reorganization, arrangement, liquidation, reconstruction or similar proceeding with respect to any Borrower, the Administrative Agent or any Lender.</w:t>
      </w:r>
    </w:p>
    <w:p>
      <w:pPr>
        <w:spacing w:after="0" w:line="137" w:lineRule="exact"/>
        <w:rPr>
          <w:sz w:val="20"/>
          <w:szCs w:val="20"/>
          <w:color w:val="auto"/>
        </w:rPr>
      </w:pPr>
    </w:p>
    <w:p>
      <w:pPr>
        <w:jc w:val="both"/>
        <w:ind w:firstLine="1304"/>
        <w:spacing w:after="0" w:line="259" w:lineRule="auto"/>
        <w:tabs>
          <w:tab w:leader="none" w:pos="1822" w:val="left"/>
        </w:tabs>
        <w:numPr>
          <w:ilvl w:val="0"/>
          <w:numId w:val="387"/>
        </w:numPr>
        <w:rPr>
          <w:rFonts w:ascii="Arial" w:cs="Arial" w:eastAsia="Arial" w:hAnsi="Arial"/>
          <w:sz w:val="19"/>
          <w:szCs w:val="19"/>
          <w:color w:val="auto"/>
        </w:rPr>
      </w:pPr>
      <w:r>
        <w:rPr>
          <w:rFonts w:ascii="Arial" w:cs="Arial" w:eastAsia="Arial" w:hAnsi="Arial"/>
          <w:sz w:val="19"/>
          <w:szCs w:val="19"/>
          <w:color w:val="auto"/>
        </w:rPr>
        <w:t>Each Borrower represents and warrants to the Administrative Agent and Lenders that such Borrower is currently informed of the financial condition of the Borrowers and of all other circumstances which a diligent inquiry would reveal and which bear upon the risk of nonpayment of the Obligations. Each Borrower further represents and warrants to the Administrative Agent and Lenders that such Borrower has read and understands the terms and conditions of the Loan Documents. Each Borrower hereby covenants that such Borrower will continue to keep informed of the Borrowers’ financial condition, the financial condition of other guarantors, if any, and of all other circumstances which bear upon the risk of nonpayment or nonperformance of the Obligations.</w:t>
      </w:r>
    </w:p>
    <w:p>
      <w:pPr>
        <w:spacing w:after="0" w:line="124" w:lineRule="exact"/>
        <w:rPr>
          <w:rFonts w:ascii="Arial" w:cs="Arial" w:eastAsia="Arial" w:hAnsi="Arial"/>
          <w:sz w:val="19"/>
          <w:szCs w:val="19"/>
          <w:color w:val="auto"/>
        </w:rPr>
      </w:pPr>
    </w:p>
    <w:p>
      <w:pPr>
        <w:jc w:val="both"/>
        <w:ind w:firstLine="1304"/>
        <w:spacing w:after="0" w:line="276" w:lineRule="auto"/>
        <w:tabs>
          <w:tab w:leader="none" w:pos="1748" w:val="left"/>
        </w:tabs>
        <w:numPr>
          <w:ilvl w:val="0"/>
          <w:numId w:val="387"/>
        </w:numPr>
        <w:rPr>
          <w:rFonts w:ascii="Arial" w:cs="Arial" w:eastAsia="Arial" w:hAnsi="Arial"/>
          <w:sz w:val="18"/>
          <w:szCs w:val="18"/>
          <w:color w:val="auto"/>
        </w:rPr>
      </w:pPr>
      <w:r>
        <w:rPr>
          <w:rFonts w:ascii="Arial" w:cs="Arial" w:eastAsia="Arial" w:hAnsi="Arial"/>
          <w:sz w:val="18"/>
          <w:szCs w:val="18"/>
          <w:color w:val="auto"/>
        </w:rPr>
        <w:t>Each Borrower waives all rights and defenses (i) arising out of an election of remedies by the Administrative Agent or any Lender, even though that election of remedies, such as a nonjudicial foreclosure with respect to security for a guaranteed obligation, has destroyed such Borrower’s rights of subrogation and reimbursement against any applicable Loan Party by the operation of Section 580 or 726 of the California Code of Civil Procedure or otherwise, and (ii) relating to any suretyship defenses available to it under the Uniform Commercial Code or any other applicable law, including, without limitation, the benefit of California Civil Code Section 2815 permitting revocation as to future transactions and the benefit of California Civil Code Sections 1432, 2787 through 2855, 2899 and 3433.</w:t>
      </w:r>
    </w:p>
    <w:p>
      <w:pPr>
        <w:spacing w:after="0" w:line="110" w:lineRule="exact"/>
        <w:rPr>
          <w:rFonts w:ascii="Arial" w:cs="Arial" w:eastAsia="Arial" w:hAnsi="Arial"/>
          <w:sz w:val="18"/>
          <w:szCs w:val="18"/>
          <w:color w:val="auto"/>
        </w:rPr>
      </w:pPr>
    </w:p>
    <w:p>
      <w:pPr>
        <w:ind w:firstLine="1304"/>
        <w:spacing w:after="0" w:line="260" w:lineRule="auto"/>
        <w:tabs>
          <w:tab w:leader="none" w:pos="1729" w:val="left"/>
        </w:tabs>
        <w:numPr>
          <w:ilvl w:val="0"/>
          <w:numId w:val="387"/>
        </w:numPr>
        <w:rPr>
          <w:rFonts w:ascii="Arial" w:cs="Arial" w:eastAsia="Arial" w:hAnsi="Arial"/>
          <w:sz w:val="20"/>
          <w:szCs w:val="20"/>
          <w:color w:val="auto"/>
        </w:rPr>
      </w:pPr>
      <w:r>
        <w:rPr>
          <w:rFonts w:ascii="Arial" w:cs="Arial" w:eastAsia="Arial" w:hAnsi="Arial"/>
          <w:sz w:val="20"/>
          <w:szCs w:val="20"/>
          <w:color w:val="auto"/>
        </w:rPr>
        <w:t>Each Borrower waives all rights and defenses that such Borrower may have because the Obligations are secured by real property at any time. This means, among other things:</w:t>
      </w:r>
    </w:p>
    <w:p>
      <w:pPr>
        <w:spacing w:after="0" w:line="122" w:lineRule="exact"/>
        <w:rPr>
          <w:rFonts w:ascii="Arial" w:cs="Arial" w:eastAsia="Arial" w:hAnsi="Arial"/>
          <w:sz w:val="20"/>
          <w:szCs w:val="20"/>
          <w:color w:val="auto"/>
        </w:rPr>
      </w:pPr>
    </w:p>
    <w:p>
      <w:pPr>
        <w:ind w:firstLine="1952"/>
        <w:spacing w:after="0" w:line="260" w:lineRule="auto"/>
        <w:tabs>
          <w:tab w:leader="none" w:pos="2341" w:val="left"/>
        </w:tabs>
        <w:numPr>
          <w:ilvl w:val="1"/>
          <w:numId w:val="387"/>
        </w:numPr>
        <w:rPr>
          <w:rFonts w:ascii="Arial" w:cs="Arial" w:eastAsia="Arial" w:hAnsi="Arial"/>
          <w:sz w:val="20"/>
          <w:szCs w:val="20"/>
          <w:color w:val="auto"/>
        </w:rPr>
      </w:pPr>
      <w:r>
        <w:rPr>
          <w:rFonts w:ascii="Arial" w:cs="Arial" w:eastAsia="Arial" w:hAnsi="Arial"/>
          <w:sz w:val="20"/>
          <w:szCs w:val="20"/>
          <w:color w:val="auto"/>
        </w:rPr>
        <w:t>The Administrative Agent and Lenders may collect from such Borrower without first foreclosing on any real or personal property Collateral pledged by the Borrowers.</w:t>
      </w:r>
    </w:p>
    <w:p>
      <w:pPr>
        <w:spacing w:after="0" w:line="122" w:lineRule="exact"/>
        <w:rPr>
          <w:rFonts w:ascii="Arial" w:cs="Arial" w:eastAsia="Arial" w:hAnsi="Arial"/>
          <w:sz w:val="20"/>
          <w:szCs w:val="20"/>
          <w:color w:val="auto"/>
        </w:rPr>
      </w:pPr>
    </w:p>
    <w:p>
      <w:pPr>
        <w:ind w:left="2420" w:hanging="468"/>
        <w:spacing w:after="0"/>
        <w:tabs>
          <w:tab w:leader="none" w:pos="2420" w:val="left"/>
        </w:tabs>
        <w:numPr>
          <w:ilvl w:val="1"/>
          <w:numId w:val="387"/>
        </w:numPr>
        <w:rPr>
          <w:rFonts w:ascii="Arial" w:cs="Arial" w:eastAsia="Arial" w:hAnsi="Arial"/>
          <w:sz w:val="18"/>
          <w:szCs w:val="18"/>
          <w:color w:val="auto"/>
        </w:rPr>
      </w:pPr>
      <w:r>
        <w:rPr>
          <w:rFonts w:ascii="Arial" w:cs="Arial" w:eastAsia="Arial" w:hAnsi="Arial"/>
          <w:sz w:val="18"/>
          <w:szCs w:val="18"/>
          <w:color w:val="auto"/>
        </w:rPr>
        <w:t>If the Administrative Agent or any Lender forecloses on any Collateral consisting of real property pledged by</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 Borrowers:</w:t>
      </w:r>
    </w:p>
    <w:p>
      <w:pPr>
        <w:spacing w:after="0" w:line="145" w:lineRule="exact"/>
        <w:rPr>
          <w:rFonts w:ascii="Arial" w:cs="Arial" w:eastAsia="Arial" w:hAnsi="Arial"/>
          <w:sz w:val="18"/>
          <w:szCs w:val="18"/>
          <w:color w:val="auto"/>
        </w:rPr>
      </w:pPr>
    </w:p>
    <w:p>
      <w:pPr>
        <w:ind w:right="20" w:firstLine="2600"/>
        <w:spacing w:after="0" w:line="260" w:lineRule="auto"/>
        <w:tabs>
          <w:tab w:leader="none" w:pos="3070" w:val="left"/>
        </w:tabs>
        <w:numPr>
          <w:ilvl w:val="2"/>
          <w:numId w:val="387"/>
        </w:numPr>
        <w:rPr>
          <w:rFonts w:ascii="Arial" w:cs="Arial" w:eastAsia="Arial" w:hAnsi="Arial"/>
          <w:sz w:val="20"/>
          <w:szCs w:val="20"/>
          <w:color w:val="auto"/>
        </w:rPr>
      </w:pPr>
      <w:r>
        <w:rPr>
          <w:rFonts w:ascii="Arial" w:cs="Arial" w:eastAsia="Arial" w:hAnsi="Arial"/>
          <w:sz w:val="20"/>
          <w:szCs w:val="20"/>
          <w:color w:val="auto"/>
        </w:rPr>
        <w:t>The amount of the Obligations may be reduced only by the price for which that collateral is sold at the foreclosure sale, even if the collateral is worth more than the sale price.</w:t>
      </w:r>
    </w:p>
    <w:p>
      <w:pPr>
        <w:spacing w:after="0" w:line="122" w:lineRule="exact"/>
        <w:rPr>
          <w:rFonts w:ascii="Arial" w:cs="Arial" w:eastAsia="Arial" w:hAnsi="Arial"/>
          <w:sz w:val="20"/>
          <w:szCs w:val="20"/>
          <w:color w:val="auto"/>
        </w:rPr>
      </w:pPr>
    </w:p>
    <w:p>
      <w:pPr>
        <w:ind w:right="340" w:firstLine="2600"/>
        <w:spacing w:after="0" w:line="316" w:lineRule="auto"/>
        <w:tabs>
          <w:tab w:leader="none" w:pos="3050" w:val="left"/>
        </w:tabs>
        <w:numPr>
          <w:ilvl w:val="2"/>
          <w:numId w:val="387"/>
        </w:numPr>
        <w:rPr>
          <w:rFonts w:ascii="Arial" w:cs="Arial" w:eastAsia="Arial" w:hAnsi="Arial"/>
          <w:sz w:val="18"/>
          <w:szCs w:val="18"/>
          <w:color w:val="auto"/>
        </w:rPr>
      </w:pPr>
      <w:r>
        <w:rPr>
          <w:rFonts w:ascii="Arial" w:cs="Arial" w:eastAsia="Arial" w:hAnsi="Arial"/>
          <w:sz w:val="18"/>
          <w:szCs w:val="18"/>
          <w:color w:val="auto"/>
        </w:rPr>
        <w:t>The Administrative Agent and Lenders may collect from such Borrower even if the Administrative Agent or Lenders, by foreclosing on real property, has destroyed any right such Borrower may have to collect from the other Borrowers.</w:t>
      </w:r>
    </w:p>
    <w:p>
      <w:pPr>
        <w:spacing w:after="0" w:line="7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is an unconditional and irrevocable waiver of any rights and defenses such Borrower may have because the Obligations are secured by real property. These rights and defenses include, but are not limited to, any rights or defenses based upon Section 580a, 580b, 580d or 726 of the California Code of Civil Procedure.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ectPr>
          <w:pgSz w:w="11900" w:h="16838" w:orient="portrait"/>
          <w:cols w:equalWidth="0" w:num="1">
            <w:col w:w="11240"/>
          </w:cols>
          <w:pgMar w:left="320" w:top="771" w:right="339" w:bottom="1440" w:gutter="0" w:footer="0" w:header="0"/>
        </w:sectPr>
      </w:pPr>
    </w:p>
    <w:bookmarkStart w:id="448" w:name="page449"/>
    <w:bookmarkEnd w:id="448"/>
    <w:p>
      <w:pPr>
        <w:jc w:val="both"/>
        <w:ind w:firstLine="1304"/>
        <w:spacing w:after="0" w:line="272" w:lineRule="auto"/>
        <w:tabs>
          <w:tab w:leader="none" w:pos="1812" w:val="left"/>
        </w:tabs>
        <w:numPr>
          <w:ilvl w:val="0"/>
          <w:numId w:val="388"/>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2.25</w:t>
      </w:r>
      <w:r>
        <w:rPr>
          <w:rFonts w:ascii="Arial" w:cs="Arial" w:eastAsia="Arial" w:hAnsi="Arial"/>
          <w:sz w:val="18"/>
          <w:szCs w:val="18"/>
          <w:color w:val="auto"/>
        </w:rPr>
        <w:t xml:space="preserve"> are made for the benefit of the Administrative Agent, the Lenders, and their respective successors and assigns, and may be enforced by it or them from time to time against any or all the Borrowers as often as occasion therefor may arise and without requirement on the part of the Administrative Agent, any Lender, any successor or any assign first to marshal any of its or their claims or to exercise any of its or their rights against any Borrower or to exhaust any remedies available to it or them against any Borrower or to resort to any other source or means of obtaining payment of any of the Obligations hereunder or to elect any other remedy. The provisions of this </w:t>
      </w:r>
      <w:r>
        <w:rPr>
          <w:rFonts w:ascii="Arial" w:cs="Arial" w:eastAsia="Arial" w:hAnsi="Arial"/>
          <w:sz w:val="18"/>
          <w:szCs w:val="18"/>
          <w:u w:val="single" w:color="auto"/>
          <w:color w:val="auto"/>
        </w:rPr>
        <w:t>Section 2.25</w:t>
      </w:r>
      <w:r>
        <w:rPr>
          <w:rFonts w:ascii="Arial" w:cs="Arial" w:eastAsia="Arial" w:hAnsi="Arial"/>
          <w:sz w:val="18"/>
          <w:szCs w:val="18"/>
          <w:color w:val="auto"/>
        </w:rPr>
        <w:t xml:space="preserve"> shall remain in effect until all of the Obligations shall have been paid in full or otherwise fully satisfied. If at any time, any payment, or any part thereof, made in respect of any of the Obligations, is rescinded or must otherwise be restored or returned by the Administrative Agent or any Lender upon the insolvency, bankruptcy or reorganization of any Borrower, or otherwise, the provisions of this </w:t>
      </w:r>
      <w:r>
        <w:rPr>
          <w:rFonts w:ascii="Arial" w:cs="Arial" w:eastAsia="Arial" w:hAnsi="Arial"/>
          <w:sz w:val="18"/>
          <w:szCs w:val="18"/>
          <w:u w:val="single" w:color="auto"/>
          <w:color w:val="auto"/>
        </w:rPr>
        <w:t>Section 2.25</w:t>
      </w:r>
      <w:r>
        <w:rPr>
          <w:rFonts w:ascii="Arial" w:cs="Arial" w:eastAsia="Arial" w:hAnsi="Arial"/>
          <w:sz w:val="18"/>
          <w:szCs w:val="18"/>
          <w:color w:val="auto"/>
        </w:rPr>
        <w:t xml:space="preserve"> will forthwith be reinstated in effect, as though such payment had not been made.</w:t>
      </w:r>
    </w:p>
    <w:p>
      <w:pPr>
        <w:spacing w:after="0" w:line="116" w:lineRule="exact"/>
        <w:rPr>
          <w:rFonts w:ascii="Arial" w:cs="Arial" w:eastAsia="Arial" w:hAnsi="Arial"/>
          <w:sz w:val="18"/>
          <w:szCs w:val="18"/>
          <w:color w:val="auto"/>
        </w:rPr>
      </w:pPr>
    </w:p>
    <w:p>
      <w:pPr>
        <w:jc w:val="both"/>
        <w:ind w:firstLine="1304"/>
        <w:spacing w:after="0" w:line="269" w:lineRule="auto"/>
        <w:tabs>
          <w:tab w:leader="none" w:pos="1728" w:val="left"/>
        </w:tabs>
        <w:numPr>
          <w:ilvl w:val="0"/>
          <w:numId w:val="388"/>
        </w:numPr>
        <w:rPr>
          <w:rFonts w:ascii="Arial" w:cs="Arial" w:eastAsia="Arial" w:hAnsi="Arial"/>
          <w:sz w:val="18"/>
          <w:szCs w:val="18"/>
          <w:color w:val="auto"/>
        </w:rPr>
      </w:pPr>
      <w:r>
        <w:rPr>
          <w:rFonts w:ascii="Arial" w:cs="Arial" w:eastAsia="Arial" w:hAnsi="Arial"/>
          <w:sz w:val="18"/>
          <w:szCs w:val="18"/>
          <w:color w:val="auto"/>
        </w:rPr>
        <w:t xml:space="preserve">Each Borrower hereby agrees that it will not enforce any of its rights of contribution or subrogation against any other Borrower with respect to any liability incurred by it hereunder or under any of the other Loan Documents, any payments made by it to the Administrative Agent or Lenders with respect to any of the Obligations or any collateral security therefor until such time as all of the Obligations have been paid in full in cash. Any claim which any Borrower may have against any other Borrower with respect to any payments to the Administrative Agent or Lender hereunder or under any other Loan Documents are hereby expressly made subordinate and junior in right of payment, without limitation as to any increases in the Obligations arising hereunder or thereunder, to the prior payment in full in cash of the Obligations and, in the event of any insolvency, bankruptcy, receivership, liquidation, reorganization or other similar proceeding under the laws of any jurisdiction relating to any Borrower, its debts or its assets, whether voluntary or involuntary, all such Obligations shall be paid in full in cash before any payment or distribution of any character, whether in cash, securities or other property, shall be made to any other Borrower therefor. Notwithstanding anything to the contrary contained in this </w:t>
      </w:r>
      <w:r>
        <w:rPr>
          <w:rFonts w:ascii="Arial" w:cs="Arial" w:eastAsia="Arial" w:hAnsi="Arial"/>
          <w:sz w:val="18"/>
          <w:szCs w:val="18"/>
          <w:u w:val="single" w:color="auto"/>
          <w:color w:val="auto"/>
        </w:rPr>
        <w:t>Section 2.25</w:t>
      </w:r>
      <w:r>
        <w:rPr>
          <w:rFonts w:ascii="Arial" w:cs="Arial" w:eastAsia="Arial" w:hAnsi="Arial"/>
          <w:sz w:val="18"/>
          <w:szCs w:val="18"/>
          <w:color w:val="auto"/>
        </w:rPr>
        <w:t>, no Borrower shall exercise any rights of subrogation, contribution, indemnity, reimbursement or other similar rights against, and shall not proceed or seek recourse against or with respect to any property or asset of, any other Borrower (the “</w:t>
      </w:r>
      <w:r>
        <w:rPr>
          <w:rFonts w:ascii="Arial" w:cs="Arial" w:eastAsia="Arial" w:hAnsi="Arial"/>
          <w:sz w:val="18"/>
          <w:szCs w:val="18"/>
          <w:b w:val="1"/>
          <w:bCs w:val="1"/>
          <w:i w:val="1"/>
          <w:iCs w:val="1"/>
          <w:color w:val="auto"/>
        </w:rPr>
        <w:t>Foreclosed Borrower</w:t>
      </w:r>
      <w:r>
        <w:rPr>
          <w:rFonts w:ascii="Arial" w:cs="Arial" w:eastAsia="Arial" w:hAnsi="Arial"/>
          <w:sz w:val="18"/>
          <w:szCs w:val="18"/>
          <w:color w:val="auto"/>
        </w:rPr>
        <w:t>”), including after payment in full of the Obligations, if all or any portion of the Obligations have been satisfied in connection with an exercise of remedies in respect of the Capital Stock of such Foreclosed Borrower whether pursuant to the Security Documents or otherwise.</w:t>
      </w:r>
    </w:p>
    <w:p>
      <w:pPr>
        <w:spacing w:after="0" w:line="127" w:lineRule="exact"/>
        <w:rPr>
          <w:rFonts w:ascii="Arial" w:cs="Arial" w:eastAsia="Arial" w:hAnsi="Arial"/>
          <w:sz w:val="18"/>
          <w:szCs w:val="18"/>
          <w:color w:val="auto"/>
        </w:rPr>
      </w:pPr>
    </w:p>
    <w:p>
      <w:pPr>
        <w:jc w:val="both"/>
        <w:ind w:firstLine="1304"/>
        <w:spacing w:after="0" w:line="273" w:lineRule="auto"/>
        <w:tabs>
          <w:tab w:leader="none" w:pos="1747" w:val="left"/>
        </w:tabs>
        <w:numPr>
          <w:ilvl w:val="0"/>
          <w:numId w:val="388"/>
        </w:numPr>
        <w:rPr>
          <w:rFonts w:ascii="Arial" w:cs="Arial" w:eastAsia="Arial" w:hAnsi="Arial"/>
          <w:sz w:val="18"/>
          <w:szCs w:val="18"/>
          <w:color w:val="auto"/>
        </w:rPr>
      </w:pPr>
      <w:r>
        <w:rPr>
          <w:rFonts w:ascii="Arial" w:cs="Arial" w:eastAsia="Arial" w:hAnsi="Arial"/>
          <w:sz w:val="18"/>
          <w:szCs w:val="18"/>
          <w:color w:val="auto"/>
        </w:rPr>
        <w:t>Each Borrower hereby agrees that, after the occurrence and during the continuance of any Default or Event of Default, the payment of any amounts due with respect to the indebtedness owing by any Borrower to any other Borrower is hereby subordinated to the prior payment in full in cash of the Obligations. Each Borrower hereby agrees that after the occurrence and during the continuance of any Default or Event of Default, such Borrower will not demand, sue for or otherwise attempt to collect any indebtedness of any other Borrower owing to such Borrower until the Obligations shall have been paid in full in cash. If, notwithstanding the foregoing sentence, such Borrower shall collect, enforce or receive any amounts in respect of such indebtedness, such amounts shall be collected, enforced and received by such Borrower as trustee for the Administrative Agent, and such Borrower shall deliver any such amounts to the Administrative Agent for application to the Obligations in accordance with the terms of this Agreement.</w:t>
      </w:r>
    </w:p>
    <w:p>
      <w:pPr>
        <w:spacing w:after="0" w:line="114" w:lineRule="exact"/>
        <w:rPr>
          <w:rFonts w:ascii="Arial" w:cs="Arial" w:eastAsia="Arial" w:hAnsi="Arial"/>
          <w:sz w:val="18"/>
          <w:szCs w:val="18"/>
          <w:color w:val="auto"/>
        </w:rPr>
      </w:pPr>
    </w:p>
    <w:p>
      <w:pPr>
        <w:jc w:val="both"/>
        <w:ind w:firstLine="1304"/>
        <w:spacing w:after="0" w:line="257" w:lineRule="auto"/>
        <w:tabs>
          <w:tab w:leader="none" w:pos="1760" w:val="left"/>
        </w:tabs>
        <w:numPr>
          <w:ilvl w:val="0"/>
          <w:numId w:val="388"/>
        </w:numPr>
        <w:rPr>
          <w:rFonts w:ascii="Arial" w:cs="Arial" w:eastAsia="Arial" w:hAnsi="Arial"/>
          <w:sz w:val="19"/>
          <w:szCs w:val="19"/>
          <w:color w:val="auto"/>
        </w:rPr>
      </w:pPr>
      <w:r>
        <w:rPr>
          <w:rFonts w:ascii="Arial" w:cs="Arial" w:eastAsia="Arial" w:hAnsi="Arial"/>
          <w:sz w:val="19"/>
          <w:szCs w:val="19"/>
          <w:color w:val="auto"/>
        </w:rPr>
        <w:t>Subject to the foregoing, to the extent that any Borrower shall, under this Agreement as a joint and several obligor, repay any of the Obligations made to another Borrower hereunder or other Obligations incurred directly and primarily by any other Borrower (an “</w:t>
      </w:r>
      <w:r>
        <w:rPr>
          <w:rFonts w:ascii="Arial" w:cs="Arial" w:eastAsia="Arial" w:hAnsi="Arial"/>
          <w:sz w:val="19"/>
          <w:szCs w:val="19"/>
          <w:b w:val="1"/>
          <w:bCs w:val="1"/>
          <w:i w:val="1"/>
          <w:iCs w:val="1"/>
          <w:color w:val="auto"/>
        </w:rPr>
        <w:t>Accommodation Payment</w:t>
      </w:r>
      <w:r>
        <w:rPr>
          <w:rFonts w:ascii="Arial" w:cs="Arial" w:eastAsia="Arial" w:hAnsi="Arial"/>
          <w:sz w:val="19"/>
          <w:szCs w:val="19"/>
          <w:color w:val="auto"/>
        </w:rPr>
        <w:t>”), then the Borrower making such Accommodation Payment shall be entitled to contribution and indemnification from, and be reimbursed by, each other Borrower in an amount, for each of such other Borrower, equal to a fraction of such Accommodation Payment, the numerator of which fraction is such other Borrower’s Allocable Amount and the denominator of which is the sum of the Allocable Amounts of all of the Borrowers. As of any date of determination, the “</w:t>
      </w:r>
      <w:r>
        <w:rPr>
          <w:rFonts w:ascii="Arial" w:cs="Arial" w:eastAsia="Arial" w:hAnsi="Arial"/>
          <w:sz w:val="19"/>
          <w:szCs w:val="19"/>
          <w:b w:val="1"/>
          <w:bCs w:val="1"/>
          <w:i w:val="1"/>
          <w:iCs w:val="1"/>
          <w:color w:val="auto"/>
        </w:rPr>
        <w:t>Allocable Amount</w:t>
      </w:r>
      <w:r>
        <w:rPr>
          <w:rFonts w:ascii="Arial" w:cs="Arial" w:eastAsia="Arial" w:hAnsi="Arial"/>
          <w:sz w:val="19"/>
          <w:szCs w:val="19"/>
          <w:color w:val="auto"/>
        </w:rPr>
        <w:t>” of each Borrower shall be equal to the maximum amount of liability for Accommodation Payments which</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ectPr>
          <w:pgSz w:w="11900" w:h="16838" w:orient="portrait"/>
          <w:cols w:equalWidth="0" w:num="1">
            <w:col w:w="11240"/>
          </w:cols>
          <w:pgMar w:left="320" w:top="771" w:right="339" w:bottom="1440" w:gutter="0" w:footer="0" w:header="0"/>
        </w:sectPr>
      </w:pPr>
    </w:p>
    <w:bookmarkStart w:id="449" w:name="page450"/>
    <w:bookmarkEnd w:id="449"/>
    <w:p>
      <w:pPr>
        <w:jc w:val="both"/>
        <w:spacing w:after="0" w:line="260" w:lineRule="auto"/>
        <w:rPr>
          <w:sz w:val="20"/>
          <w:szCs w:val="20"/>
          <w:color w:val="auto"/>
        </w:rPr>
      </w:pPr>
      <w:r>
        <w:rPr>
          <w:rFonts w:ascii="Arial" w:cs="Arial" w:eastAsia="Arial" w:hAnsi="Arial"/>
          <w:sz w:val="19"/>
          <w:szCs w:val="19"/>
          <w:color w:val="auto"/>
        </w:rPr>
        <w:t>could be asserted against such Borrower hereunder without (a) rendering such Borrower “insolvent” within the meaning of Section 101(31) of the Bankruptcy Code, Section 2 of the Uniform Fraudulent Transfer Act (“</w:t>
      </w:r>
      <w:r>
        <w:rPr>
          <w:rFonts w:ascii="Arial" w:cs="Arial" w:eastAsia="Arial" w:hAnsi="Arial"/>
          <w:sz w:val="19"/>
          <w:szCs w:val="19"/>
          <w:b w:val="1"/>
          <w:bCs w:val="1"/>
          <w:i w:val="1"/>
          <w:iCs w:val="1"/>
          <w:color w:val="auto"/>
        </w:rPr>
        <w:t>UFTA</w:t>
      </w:r>
      <w:r>
        <w:rPr>
          <w:rFonts w:ascii="Arial" w:cs="Arial" w:eastAsia="Arial" w:hAnsi="Arial"/>
          <w:sz w:val="19"/>
          <w:szCs w:val="19"/>
          <w:color w:val="auto"/>
        </w:rPr>
        <w:t>”) or Section 2 of the Uniform Fraudulent Conveyance Act (“</w:t>
      </w:r>
      <w:r>
        <w:rPr>
          <w:rFonts w:ascii="Arial" w:cs="Arial" w:eastAsia="Arial" w:hAnsi="Arial"/>
          <w:sz w:val="19"/>
          <w:szCs w:val="19"/>
          <w:b w:val="1"/>
          <w:bCs w:val="1"/>
          <w:i w:val="1"/>
          <w:iCs w:val="1"/>
          <w:color w:val="auto"/>
        </w:rPr>
        <w:t>UFCA</w:t>
      </w:r>
      <w:r>
        <w:rPr>
          <w:rFonts w:ascii="Arial" w:cs="Arial" w:eastAsia="Arial" w:hAnsi="Arial"/>
          <w:sz w:val="19"/>
          <w:szCs w:val="19"/>
          <w:color w:val="auto"/>
        </w:rPr>
        <w:t>”), (b) leaving such Borrower with unreasonably small capital or assets, within the meaning of Section 548 of the Bankruptcy Code, Section 4 of the UFTA, or Section 5 of the UFCA, or (c) leaving such Borrower unable to pay its debts as they become due within the meaning of Section 548 of the Bankruptcy Code or Section 4 of the UFTA, or Section 5 of the UFCA.</w:t>
      </w:r>
    </w:p>
    <w:p>
      <w:pPr>
        <w:spacing w:after="0" w:line="126" w:lineRule="exact"/>
        <w:rPr>
          <w:sz w:val="20"/>
          <w:szCs w:val="20"/>
          <w:color w:val="auto"/>
        </w:rPr>
      </w:pPr>
    </w:p>
    <w:p>
      <w:pPr>
        <w:jc w:val="both"/>
        <w:ind w:firstLine="1304"/>
        <w:spacing w:after="0" w:line="256" w:lineRule="auto"/>
        <w:tabs>
          <w:tab w:leader="none" w:pos="1813" w:val="left"/>
        </w:tabs>
        <w:numPr>
          <w:ilvl w:val="0"/>
          <w:numId w:val="389"/>
        </w:numPr>
        <w:rPr>
          <w:rFonts w:ascii="Arial" w:cs="Arial" w:eastAsia="Arial" w:hAnsi="Arial"/>
          <w:sz w:val="19"/>
          <w:szCs w:val="19"/>
          <w:color w:val="auto"/>
        </w:rPr>
      </w:pPr>
      <w:r>
        <w:rPr>
          <w:rFonts w:ascii="Arial" w:cs="Arial" w:eastAsia="Arial" w:hAnsi="Arial"/>
          <w:sz w:val="19"/>
          <w:szCs w:val="19"/>
          <w:color w:val="auto"/>
        </w:rPr>
        <w:t>Each entity composing the Borrower hereby irrevocably appoints NerdWallet as the borrowing agent and attorney-in-fact for all entities composing the Borrower (the “</w:t>
      </w:r>
      <w:r>
        <w:rPr>
          <w:rFonts w:ascii="Arial" w:cs="Arial" w:eastAsia="Arial" w:hAnsi="Arial"/>
          <w:sz w:val="19"/>
          <w:szCs w:val="19"/>
          <w:b w:val="1"/>
          <w:bCs w:val="1"/>
          <w:i w:val="1"/>
          <w:iCs w:val="1"/>
          <w:color w:val="auto"/>
        </w:rPr>
        <w:t>Administrative Borrower</w:t>
      </w:r>
      <w:r>
        <w:rPr>
          <w:rFonts w:ascii="Arial" w:cs="Arial" w:eastAsia="Arial" w:hAnsi="Arial"/>
          <w:sz w:val="19"/>
          <w:szCs w:val="19"/>
          <w:color w:val="auto"/>
        </w:rPr>
        <w:t>”), which appointment shall remain in full force and effect unless and until the Administrative Agent shall have received prior written notice signed by each entity composing the Borrower that such appointment has been revoked and that another entity composing the Borrower has been appointed Administrative Borrower. Each entity composing the Borrower hereby irrevocably appoints and authorizes the Administrative Borrower (a) to provide Agent with all notices with respect to Loans and Letters of Credit obtained for the benefit of any entity composing the Borrower and all other notices and instructions under this Agreement and the other Loan Documents, and (b) to take such action as the Administrative Borrower deems appropriate on its behalf to obtain Loans and Letters of Credit and to exercise such other powers as are reasonably incidental thereto to carry out the purposes of this Agreement and the other Loan Documents.</w:t>
      </w:r>
    </w:p>
    <w:p>
      <w:pPr>
        <w:spacing w:after="0" w:line="12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2.26 Notes</w:t>
      </w:r>
      <w:r>
        <w:rPr>
          <w:rFonts w:ascii="Arial" w:cs="Arial" w:eastAsia="Arial" w:hAnsi="Arial"/>
          <w:sz w:val="20"/>
          <w:szCs w:val="20"/>
          <w:color w:val="auto"/>
        </w:rPr>
        <w:t>. If so requested by any Lender by written notice to the Borrower (with a copy to the Administrative Agent),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Borrower shall execute and deliver to such Lender (and/or, if applicable and if so specified in such notice, to any Person who is an assignee of such Lender pursuant to </w:t>
      </w:r>
      <w:r>
        <w:rPr>
          <w:rFonts w:ascii="Arial" w:cs="Arial" w:eastAsia="Arial" w:hAnsi="Arial"/>
          <w:sz w:val="20"/>
          <w:szCs w:val="20"/>
          <w:u w:val="single" w:color="auto"/>
          <w:color w:val="auto"/>
        </w:rPr>
        <w:t>Section 10.6</w:t>
      </w:r>
      <w:r>
        <w:rPr>
          <w:rFonts w:ascii="Arial" w:cs="Arial" w:eastAsia="Arial" w:hAnsi="Arial"/>
          <w:sz w:val="20"/>
          <w:szCs w:val="20"/>
          <w:color w:val="auto"/>
        </w:rPr>
        <w:t>) (promptly after the Borrower’s receipt of such notice) a Note or Notes to evidence such Lender’s Loans.</w:t>
      </w:r>
    </w:p>
    <w:p>
      <w:pPr>
        <w:spacing w:after="0" w:line="12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2.27</w:t>
      </w:r>
      <w:r>
        <w:rPr>
          <w:sz w:val="20"/>
          <w:szCs w:val="20"/>
          <w:color w:val="auto"/>
        </w:rPr>
        <w:tab/>
      </w:r>
      <w:r>
        <w:rPr>
          <w:rFonts w:ascii="Arial" w:cs="Arial" w:eastAsia="Arial" w:hAnsi="Arial"/>
          <w:sz w:val="18"/>
          <w:szCs w:val="18"/>
          <w:b w:val="1"/>
          <w:bCs w:val="1"/>
          <w:color w:val="auto"/>
        </w:rPr>
        <w:t>Incremental Facility</w:t>
      </w:r>
      <w:r>
        <w:rPr>
          <w:rFonts w:ascii="Arial" w:cs="Arial" w:eastAsia="Arial" w:hAnsi="Arial"/>
          <w:sz w:val="18"/>
          <w:szCs w:val="18"/>
          <w:color w:val="auto"/>
        </w:rPr>
        <w:t>.</w:t>
      </w:r>
    </w:p>
    <w:p>
      <w:pPr>
        <w:spacing w:after="0" w:line="168" w:lineRule="exact"/>
        <w:rPr>
          <w:sz w:val="20"/>
          <w:szCs w:val="20"/>
          <w:color w:val="auto"/>
        </w:rPr>
      </w:pPr>
    </w:p>
    <w:p>
      <w:pPr>
        <w:jc w:val="both"/>
        <w:ind w:firstLine="1304"/>
        <w:spacing w:after="0" w:line="269" w:lineRule="auto"/>
        <w:tabs>
          <w:tab w:leader="none" w:pos="1731" w:val="left"/>
        </w:tabs>
        <w:numPr>
          <w:ilvl w:val="0"/>
          <w:numId w:val="390"/>
        </w:numPr>
        <w:rPr>
          <w:rFonts w:ascii="Arial" w:cs="Arial" w:eastAsia="Arial" w:hAnsi="Arial"/>
          <w:sz w:val="18"/>
          <w:szCs w:val="18"/>
          <w:color w:val="auto"/>
        </w:rPr>
      </w:pPr>
      <w:r>
        <w:rPr>
          <w:rFonts w:ascii="Arial" w:cs="Arial" w:eastAsia="Arial" w:hAnsi="Arial"/>
          <w:sz w:val="18"/>
          <w:szCs w:val="18"/>
          <w:color w:val="auto"/>
        </w:rPr>
        <w:t xml:space="preserve">At any time during the Revolving Commitment Period, the Borrower may request from time to time from one or more existing Lenders or from other Eligible Assignees reasonably acceptable to the Administrative Agent, the Issuing Lender, the Swingline Lender and the Borrower (but subject to the conditions set forth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below) that the Total Revolving Commitments be increased by an amount not to exceed the Available Revolving Increase Amount (each such increase, an “</w:t>
      </w:r>
      <w:r>
        <w:rPr>
          <w:rFonts w:ascii="Arial" w:cs="Arial" w:eastAsia="Arial" w:hAnsi="Arial"/>
          <w:sz w:val="18"/>
          <w:szCs w:val="18"/>
          <w:b w:val="1"/>
          <w:bCs w:val="1"/>
          <w:i w:val="1"/>
          <w:iCs w:val="1"/>
          <w:color w:val="auto"/>
        </w:rPr>
        <w:t>Increase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Borrower may not request an Increase on more than three occasions during the Revolving Commitment Period. No Lender shall be obligated to increase its Revolving Commitments in connection with a proposed Increase. The Administrative Agent shall invite each Lender to provide a portion of the Increase ratably in accordance with its Revolving Percentage of each requested Increase (it being agreed that no Lender shall be obligated to provide an Increase and that any Lender may elect to participate in such Increase in an amount that is less than its Revolving Percentage of such requested Increase or more than its Revolving Percentage of such requested Increase if other Lenders have elected not to participate in any applicable requested Increase in accordance with their Revolving Percentage) and to the extent, 5 Business Days after receipt of invitation, sufficient Lenders do not agree to provide the full amount of such Increase, then the Administrative Agent may invite any prospective lender that satisfies the criteria of being an “Eligible Assignee” to become a Lender in connection with the proposed Increase. Any Increase shall be in an amount of at least $5,000,000 (or, if the Available Revolving Increase Amount is less than $5,000,000, such remaining Available Revolving Increase Amount) and integral multiples of $1,000,000 in excess thereof. Additionally, for the avoidance of doubt, it is understood and agreed that in no event shall the aggregate amount of the Increases to the Revolving Commitments exceed the Available Revolving Increase Amount during the term of the Agreement. Each request for an Increase delivered by the Borrower to the Administrative Agent shall set forth the amount and proposed terms of the Increase.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ectPr>
          <w:pgSz w:w="11900" w:h="16838" w:orient="portrait"/>
          <w:cols w:equalWidth="0" w:num="1">
            <w:col w:w="11240"/>
          </w:cols>
          <w:pgMar w:left="320" w:top="771" w:right="339" w:bottom="1440" w:gutter="0" w:footer="0" w:header="0"/>
        </w:sectPr>
      </w:pPr>
    </w:p>
    <w:bookmarkStart w:id="450" w:name="page451"/>
    <w:bookmarkEnd w:id="450"/>
    <w:p>
      <w:pPr>
        <w:ind w:left="1840" w:hanging="536"/>
        <w:spacing w:after="0"/>
        <w:tabs>
          <w:tab w:leader="none" w:pos="184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Each of the following shall be conditions precedent to any Increase of the Revolving Commitments in connection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therewith:</w:t>
      </w:r>
    </w:p>
    <w:p>
      <w:pPr>
        <w:spacing w:after="0" w:line="146" w:lineRule="exact"/>
        <w:rPr>
          <w:sz w:val="20"/>
          <w:szCs w:val="20"/>
          <w:color w:val="auto"/>
        </w:rPr>
      </w:pPr>
    </w:p>
    <w:p>
      <w:pPr>
        <w:jc w:val="both"/>
        <w:ind w:firstLine="1952"/>
        <w:spacing w:after="0" w:line="278" w:lineRule="auto"/>
        <w:tabs>
          <w:tab w:leader="none" w:pos="2385" w:val="left"/>
        </w:tabs>
        <w:numPr>
          <w:ilvl w:val="0"/>
          <w:numId w:val="392"/>
        </w:numPr>
        <w:rPr>
          <w:rFonts w:ascii="Arial" w:cs="Arial" w:eastAsia="Arial" w:hAnsi="Arial"/>
          <w:sz w:val="18"/>
          <w:szCs w:val="18"/>
          <w:color w:val="auto"/>
        </w:rPr>
      </w:pPr>
      <w:r>
        <w:rPr>
          <w:rFonts w:ascii="Arial" w:cs="Arial" w:eastAsia="Arial" w:hAnsi="Arial"/>
          <w:sz w:val="18"/>
          <w:szCs w:val="18"/>
          <w:color w:val="auto"/>
        </w:rPr>
        <w:t xml:space="preserve">any Increase shall be on the same terms (including the interest rate, and maturity date), as applicable, as, and pursuant to documentation applicable to, the Revolving Facility then in effect;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any such Increase may provide for terms (including interest rate) more favorable to such Increase lenders, if any existing Revolving Loans at the time of such Increase are also provided the benefit of such more favorable terms (and the consent of any existing Revolving Lender shall not be required to implement such terms);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any fees shall be agreed between the Borrower and the lenders providing such Increase;</w:t>
      </w:r>
    </w:p>
    <w:p>
      <w:pPr>
        <w:spacing w:after="0" w:line="110" w:lineRule="exact"/>
        <w:rPr>
          <w:rFonts w:ascii="Arial" w:cs="Arial" w:eastAsia="Arial" w:hAnsi="Arial"/>
          <w:sz w:val="18"/>
          <w:szCs w:val="18"/>
          <w:color w:val="auto"/>
        </w:rPr>
      </w:pPr>
    </w:p>
    <w:p>
      <w:pPr>
        <w:jc w:val="both"/>
        <w:ind w:firstLine="1952"/>
        <w:spacing w:after="0" w:line="250" w:lineRule="auto"/>
        <w:tabs>
          <w:tab w:leader="none" w:pos="2457" w:val="left"/>
        </w:tabs>
        <w:numPr>
          <w:ilvl w:val="0"/>
          <w:numId w:val="392"/>
        </w:numPr>
        <w:rPr>
          <w:rFonts w:ascii="Arial" w:cs="Arial" w:eastAsia="Arial" w:hAnsi="Arial"/>
          <w:sz w:val="20"/>
          <w:szCs w:val="20"/>
          <w:color w:val="auto"/>
        </w:rPr>
      </w:pPr>
      <w:r>
        <w:rPr>
          <w:rFonts w:ascii="Arial" w:cs="Arial" w:eastAsia="Arial" w:hAnsi="Arial"/>
          <w:sz w:val="20"/>
          <w:szCs w:val="20"/>
          <w:color w:val="auto"/>
        </w:rPr>
        <w:t>the Borrower shall have delivered a written request for such Increase at least 10 Business Days prior to the requested establishment of such Increase (or such later date as may be reasonably approved by the Administrative Agent), which request shall set forth the amount and proposed terms of the Increase;</w:t>
      </w:r>
    </w:p>
    <w:p>
      <w:pPr>
        <w:spacing w:after="0" w:line="131" w:lineRule="exact"/>
        <w:rPr>
          <w:rFonts w:ascii="Arial" w:cs="Arial" w:eastAsia="Arial" w:hAnsi="Arial"/>
          <w:sz w:val="20"/>
          <w:szCs w:val="20"/>
          <w:color w:val="auto"/>
        </w:rPr>
      </w:pPr>
    </w:p>
    <w:p>
      <w:pPr>
        <w:jc w:val="both"/>
        <w:ind w:firstLine="1952"/>
        <w:spacing w:after="0" w:line="257" w:lineRule="auto"/>
        <w:tabs>
          <w:tab w:leader="none" w:pos="2572" w:val="left"/>
        </w:tabs>
        <w:numPr>
          <w:ilvl w:val="0"/>
          <w:numId w:val="392"/>
        </w:numPr>
        <w:rPr>
          <w:rFonts w:ascii="Arial" w:cs="Arial" w:eastAsia="Arial" w:hAnsi="Arial"/>
          <w:sz w:val="19"/>
          <w:szCs w:val="19"/>
          <w:color w:val="auto"/>
        </w:rPr>
      </w:pPr>
      <w:r>
        <w:rPr>
          <w:rFonts w:ascii="Arial" w:cs="Arial" w:eastAsia="Arial" w:hAnsi="Arial"/>
          <w:sz w:val="19"/>
          <w:szCs w:val="19"/>
          <w:color w:val="auto"/>
        </w:rPr>
        <w:t xml:space="preserve">each lender agreeing to such Increase, the Borrower and the Administrative Agent shall have signed an Increase Joinder (any Increase Joinder may, with the consent of the Administrative Agent, the Borrower and the lenders agreeing to such Increase, effect such amendments to this Agreement and the other Loan Documents as may be necessary or appropriate to effectuate the provisions of this </w:t>
      </w:r>
      <w:r>
        <w:rPr>
          <w:rFonts w:ascii="Arial" w:cs="Arial" w:eastAsia="Arial" w:hAnsi="Arial"/>
          <w:sz w:val="19"/>
          <w:szCs w:val="19"/>
          <w:u w:val="single" w:color="auto"/>
          <w:color w:val="auto"/>
        </w:rPr>
        <w:t>Section 2.27</w:t>
      </w:r>
      <w:r>
        <w:rPr>
          <w:rFonts w:ascii="Arial" w:cs="Arial" w:eastAsia="Arial" w:hAnsi="Arial"/>
          <w:sz w:val="19"/>
          <w:szCs w:val="19"/>
          <w:color w:val="auto"/>
        </w:rPr>
        <w:t xml:space="preserve"> (including the preceding clause (ii))) and the Borrower shall have executed any Notes requested by any Lender in connection with the making of the Increase. Notwithstanding anything to the contrary in this Agreement or in any other Loan Document, an Increase Joinder reasonably satisfactory to the Administrative Agent, and the amendments to this Agreement effected thereby, shall not require the consent of any Lender other than the Lender(s) agreeing to establish such Increase;</w:t>
      </w:r>
    </w:p>
    <w:p>
      <w:pPr>
        <w:spacing w:after="0" w:line="130" w:lineRule="exact"/>
        <w:rPr>
          <w:rFonts w:ascii="Arial" w:cs="Arial" w:eastAsia="Arial" w:hAnsi="Arial"/>
          <w:sz w:val="19"/>
          <w:szCs w:val="19"/>
          <w:color w:val="auto"/>
        </w:rPr>
      </w:pPr>
    </w:p>
    <w:p>
      <w:pPr>
        <w:jc w:val="both"/>
        <w:ind w:firstLine="1952"/>
        <w:spacing w:after="0" w:line="257" w:lineRule="auto"/>
        <w:tabs>
          <w:tab w:leader="none" w:pos="2559" w:val="left"/>
        </w:tabs>
        <w:numPr>
          <w:ilvl w:val="0"/>
          <w:numId w:val="392"/>
        </w:numPr>
        <w:rPr>
          <w:rFonts w:ascii="Arial" w:cs="Arial" w:eastAsia="Arial" w:hAnsi="Arial"/>
          <w:sz w:val="19"/>
          <w:szCs w:val="19"/>
          <w:color w:val="auto"/>
        </w:rPr>
      </w:pPr>
      <w:r>
        <w:rPr>
          <w:rFonts w:ascii="Arial" w:cs="Arial" w:eastAsia="Arial" w:hAnsi="Arial"/>
          <w:sz w:val="19"/>
          <w:szCs w:val="19"/>
          <w:color w:val="auto"/>
        </w:rPr>
        <w:t xml:space="preserve">immediately after giving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effect to such Increase and the use of proceeds thereof, each of the conditions precedent in </w:t>
      </w:r>
      <w:r>
        <w:rPr>
          <w:rFonts w:ascii="Arial" w:cs="Arial" w:eastAsia="Arial" w:hAnsi="Arial"/>
          <w:sz w:val="19"/>
          <w:szCs w:val="19"/>
          <w:u w:val="single" w:color="auto"/>
          <w:color w:val="auto"/>
        </w:rPr>
        <w:t>Section 5.2(a)</w:t>
      </w:r>
      <w:r>
        <w:rPr>
          <w:rFonts w:ascii="Arial" w:cs="Arial" w:eastAsia="Arial" w:hAnsi="Arial"/>
          <w:sz w:val="19"/>
          <w:szCs w:val="19"/>
          <w:color w:val="auto"/>
        </w:rPr>
        <w:t xml:space="preserve"> are satisfied (other than in connection with Limited Condition Acquisitions, in which case (i)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5.2(a)</w:t>
      </w:r>
      <w:r>
        <w:rPr>
          <w:rFonts w:ascii="Arial" w:cs="Arial" w:eastAsia="Arial" w:hAnsi="Arial"/>
          <w:sz w:val="19"/>
          <w:szCs w:val="19"/>
          <w:color w:val="auto"/>
        </w:rPr>
        <w:t xml:space="preserve"> shall be satisfied only in connection with the Specified Representations and (ii) the Specified Acquisition Agreement Representations shall be true and correct on the date Loans are made under the Increase, but only to the extent that the Borrower (or any of its Affiliates) has the right (taking into account any applicable cure provisions) to terminate its (or such Affiliates’) obligations under the Limited Condition Acquisition, or to decline to consummate the Limited Condition Acquisition Agreement (in each case, in accordance with the terms thereof) as a result of a breach of such Specified Acquisition Agreement Representations);</w:t>
      </w:r>
    </w:p>
    <w:p>
      <w:pPr>
        <w:spacing w:after="0" w:line="130" w:lineRule="exact"/>
        <w:rPr>
          <w:rFonts w:ascii="Arial" w:cs="Arial" w:eastAsia="Arial" w:hAnsi="Arial"/>
          <w:sz w:val="19"/>
          <w:szCs w:val="19"/>
          <w:color w:val="auto"/>
        </w:rPr>
      </w:pPr>
    </w:p>
    <w:p>
      <w:pPr>
        <w:jc w:val="both"/>
        <w:ind w:firstLine="1952"/>
        <w:spacing w:after="0" w:line="257" w:lineRule="auto"/>
        <w:tabs>
          <w:tab w:leader="none" w:pos="2411" w:val="left"/>
        </w:tabs>
        <w:numPr>
          <w:ilvl w:val="0"/>
          <w:numId w:val="392"/>
        </w:numPr>
        <w:rPr>
          <w:rFonts w:ascii="Arial" w:cs="Arial" w:eastAsia="Arial" w:hAnsi="Arial"/>
          <w:sz w:val="19"/>
          <w:szCs w:val="19"/>
          <w:color w:val="auto"/>
        </w:rPr>
      </w:pPr>
      <w:r>
        <w:rPr>
          <w:rFonts w:ascii="Arial" w:cs="Arial" w:eastAsia="Arial" w:hAnsi="Arial"/>
          <w:sz w:val="19"/>
          <w:szCs w:val="19"/>
          <w:color w:val="auto"/>
        </w:rPr>
        <w:t xml:space="preserve">immediately after giving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effect to such Increase and the use of proceeds thereof, (A) no Default or Event of Default shall have occurred and be continuing at the time of such Increase (other than in connection with Limited Condition Acquisitions, in which case there shall be no Default or Event of Default as of the LCA Test Date and no Event of Default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(f)</w:t>
      </w:r>
      <w:r>
        <w:rPr>
          <w:rFonts w:ascii="Arial" w:cs="Arial" w:eastAsia="Arial" w:hAnsi="Arial"/>
          <w:sz w:val="19"/>
          <w:szCs w:val="19"/>
          <w:color w:val="auto"/>
        </w:rPr>
        <w:t xml:space="preserve"> immediately after giving effect to such Increase and the use of proceeds thereof) and (B) the Borrower shall be in compliance with the financial covenants set forth in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hereof as of the end of the most recently ended month and quarter for which financial statements are required to be delivered prior to such Increase, and the Borrower shall have delivered to the Administrative Agent a Compliance Certificate evidencing compliance with the requirements of this </w:t>
      </w:r>
      <w:r>
        <w:rPr>
          <w:rFonts w:ascii="Arial" w:cs="Arial" w:eastAsia="Arial" w:hAnsi="Arial"/>
          <w:sz w:val="19"/>
          <w:szCs w:val="19"/>
          <w:u w:val="single" w:color="auto"/>
          <w:color w:val="auto"/>
        </w:rPr>
        <w:t>clause (v)</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a Limited Condition Acquisition, such calculation shall be made in compliance with </w:t>
      </w:r>
      <w:r>
        <w:rPr>
          <w:rFonts w:ascii="Arial" w:cs="Arial" w:eastAsia="Arial" w:hAnsi="Arial"/>
          <w:sz w:val="19"/>
          <w:szCs w:val="19"/>
          <w:u w:val="single" w:color="auto"/>
          <w:color w:val="auto"/>
        </w:rPr>
        <w:t>Section 1.6</w:t>
      </w:r>
      <w:r>
        <w:rPr>
          <w:rFonts w:ascii="Arial" w:cs="Arial" w:eastAsia="Arial" w:hAnsi="Arial"/>
          <w:sz w:val="19"/>
          <w:szCs w:val="19"/>
          <w:color w:val="auto"/>
        </w:rPr>
        <w:t>);</w:t>
      </w:r>
    </w:p>
    <w:p>
      <w:pPr>
        <w:spacing w:after="0" w:line="126" w:lineRule="exact"/>
        <w:rPr>
          <w:rFonts w:ascii="Arial" w:cs="Arial" w:eastAsia="Arial" w:hAnsi="Arial"/>
          <w:sz w:val="19"/>
          <w:szCs w:val="19"/>
          <w:color w:val="auto"/>
        </w:rPr>
      </w:pPr>
    </w:p>
    <w:p>
      <w:pPr>
        <w:jc w:val="both"/>
        <w:ind w:firstLine="1952"/>
        <w:spacing w:after="0" w:line="250" w:lineRule="auto"/>
        <w:tabs>
          <w:tab w:leader="none" w:pos="2487" w:val="left"/>
        </w:tabs>
        <w:numPr>
          <w:ilvl w:val="0"/>
          <w:numId w:val="392"/>
        </w:numPr>
        <w:rPr>
          <w:rFonts w:ascii="Arial" w:cs="Arial" w:eastAsia="Arial" w:hAnsi="Arial"/>
          <w:sz w:val="20"/>
          <w:szCs w:val="20"/>
          <w:color w:val="auto"/>
        </w:rPr>
      </w:pPr>
      <w:r>
        <w:rPr>
          <w:rFonts w:ascii="Arial" w:cs="Arial" w:eastAsia="Arial" w:hAnsi="Arial"/>
          <w:sz w:val="20"/>
          <w:szCs w:val="20"/>
          <w:color w:val="auto"/>
        </w:rPr>
        <w:t>in connection with such Increase, the Borrower shall pay to the Administrative Agent, for the benefit of the Administrative Agent or the Increase lenders, as applicable, all fees that the Borrower has agreed to pay in connection with such Increase (including pursuant to the Fee Letter and the Existing Fee Letter); and</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ectPr>
          <w:pgSz w:w="11900" w:h="16838" w:orient="portrait"/>
          <w:cols w:equalWidth="0" w:num="1">
            <w:col w:w="11240"/>
          </w:cols>
          <w:pgMar w:left="320" w:top="771" w:right="339" w:bottom="1440" w:gutter="0" w:footer="0" w:header="0"/>
        </w:sectPr>
      </w:pPr>
    </w:p>
    <w:bookmarkStart w:id="451" w:name="page452"/>
    <w:bookmarkEnd w:id="451"/>
    <w:p>
      <w:pPr>
        <w:jc w:val="both"/>
        <w:ind w:firstLine="1952"/>
        <w:spacing w:after="0" w:line="263" w:lineRule="auto"/>
        <w:tabs>
          <w:tab w:leader="none" w:pos="2546" w:val="left"/>
        </w:tabs>
        <w:numPr>
          <w:ilvl w:val="1"/>
          <w:numId w:val="393"/>
        </w:numPr>
        <w:rPr>
          <w:rFonts w:ascii="Arial" w:cs="Arial" w:eastAsia="Arial" w:hAnsi="Arial"/>
          <w:sz w:val="19"/>
          <w:szCs w:val="19"/>
          <w:color w:val="auto"/>
        </w:rPr>
      </w:pPr>
      <w:r>
        <w:rPr>
          <w:rFonts w:ascii="Arial" w:cs="Arial" w:eastAsia="Arial" w:hAnsi="Arial"/>
          <w:sz w:val="19"/>
          <w:szCs w:val="19"/>
          <w:color w:val="auto"/>
        </w:rPr>
        <w:t xml:space="preserve">upon each Increase in accordance with this </w:t>
      </w:r>
      <w:r>
        <w:rPr>
          <w:rFonts w:ascii="Arial" w:cs="Arial" w:eastAsia="Arial" w:hAnsi="Arial"/>
          <w:sz w:val="19"/>
          <w:szCs w:val="19"/>
          <w:u w:val="single" w:color="auto"/>
          <w:color w:val="auto"/>
        </w:rPr>
        <w:t>Section 2.27</w:t>
      </w:r>
      <w:r>
        <w:rPr>
          <w:rFonts w:ascii="Arial" w:cs="Arial" w:eastAsia="Arial" w:hAnsi="Arial"/>
          <w:sz w:val="19"/>
          <w:szCs w:val="19"/>
          <w:color w:val="auto"/>
        </w:rPr>
        <w:t>, all outstanding Loans, participations hereunder in Letters of Credit and participations hereunder in Swingline Loans held by each Lender shall be reallocated among the Lenders (including any newly added Lenders) in accordance with the Lenders’ respective revised Revolving Percentages and L/C Percentages, pursuant to procedures reasonably determined by the Administrative Agent in consultation with the Borrower.</w:t>
      </w:r>
    </w:p>
    <w:p>
      <w:pPr>
        <w:spacing w:after="0" w:line="122" w:lineRule="exact"/>
        <w:rPr>
          <w:rFonts w:ascii="Arial" w:cs="Arial" w:eastAsia="Arial" w:hAnsi="Arial"/>
          <w:sz w:val="19"/>
          <w:szCs w:val="19"/>
          <w:color w:val="auto"/>
        </w:rPr>
      </w:pPr>
    </w:p>
    <w:p>
      <w:pPr>
        <w:jc w:val="both"/>
        <w:ind w:firstLine="1304"/>
        <w:spacing w:after="0" w:line="244" w:lineRule="auto"/>
        <w:tabs>
          <w:tab w:leader="none" w:pos="1829" w:val="left"/>
        </w:tabs>
        <w:numPr>
          <w:ilvl w:val="0"/>
          <w:numId w:val="394"/>
        </w:numPr>
        <w:rPr>
          <w:rFonts w:ascii="Arial" w:cs="Arial" w:eastAsia="Arial" w:hAnsi="Arial"/>
          <w:sz w:val="20"/>
          <w:szCs w:val="20"/>
          <w:color w:val="auto"/>
        </w:rPr>
      </w:pPr>
      <w:r>
        <w:rPr>
          <w:rFonts w:ascii="Arial" w:cs="Arial" w:eastAsia="Arial" w:hAnsi="Arial"/>
          <w:sz w:val="20"/>
          <w:szCs w:val="20"/>
          <w:color w:val="auto"/>
        </w:rPr>
        <w:t xml:space="preserve">Upon the effectiveness of any Increase, (i) all references in this Agreement and any other Loan Document to the Revolving Loans shall be deemed, unless the context otherwise requires, to include such Increase advanced pursuant to this </w:t>
      </w:r>
      <w:r>
        <w:rPr>
          <w:rFonts w:ascii="Arial" w:cs="Arial" w:eastAsia="Arial" w:hAnsi="Arial"/>
          <w:sz w:val="20"/>
          <w:szCs w:val="20"/>
          <w:u w:val="single" w:color="auto"/>
          <w:color w:val="auto"/>
        </w:rPr>
        <w:t>Section 2.27</w:t>
      </w:r>
      <w:r>
        <w:rPr>
          <w:rFonts w:ascii="Arial" w:cs="Arial" w:eastAsia="Arial" w:hAnsi="Arial"/>
          <w:sz w:val="20"/>
          <w:szCs w:val="20"/>
          <w:color w:val="auto"/>
        </w:rPr>
        <w:t xml:space="preserve"> and any amendments effected through the Increase Joinder and (ii) all references in this Agreement and any other Loan Document to the Revolving Commitment shall be deemed, unless the context otherwise requires, to include the commitment to advance an amount equal to such Increase pursuant to this </w:t>
      </w:r>
      <w:r>
        <w:rPr>
          <w:rFonts w:ascii="Arial" w:cs="Arial" w:eastAsia="Arial" w:hAnsi="Arial"/>
          <w:sz w:val="20"/>
          <w:szCs w:val="20"/>
          <w:u w:val="single" w:color="auto"/>
          <w:color w:val="auto"/>
        </w:rPr>
        <w:t>Section 2.27</w:t>
      </w:r>
      <w:r>
        <w:rPr>
          <w:rFonts w:ascii="Arial" w:cs="Arial" w:eastAsia="Arial" w:hAnsi="Arial"/>
          <w:sz w:val="20"/>
          <w:szCs w:val="20"/>
          <w:color w:val="auto"/>
        </w:rPr>
        <w:t>.</w:t>
      </w:r>
    </w:p>
    <w:p>
      <w:pPr>
        <w:spacing w:after="0" w:line="140" w:lineRule="exact"/>
        <w:rPr>
          <w:rFonts w:ascii="Arial" w:cs="Arial" w:eastAsia="Arial" w:hAnsi="Arial"/>
          <w:sz w:val="20"/>
          <w:szCs w:val="20"/>
          <w:color w:val="auto"/>
        </w:rPr>
      </w:pPr>
    </w:p>
    <w:p>
      <w:pPr>
        <w:jc w:val="both"/>
        <w:ind w:firstLine="1304"/>
        <w:spacing w:after="0" w:line="259" w:lineRule="auto"/>
        <w:tabs>
          <w:tab w:leader="none" w:pos="1733" w:val="left"/>
        </w:tabs>
        <w:numPr>
          <w:ilvl w:val="0"/>
          <w:numId w:val="394"/>
        </w:numPr>
        <w:rPr>
          <w:rFonts w:ascii="Arial" w:cs="Arial" w:eastAsia="Arial" w:hAnsi="Arial"/>
          <w:sz w:val="19"/>
          <w:szCs w:val="19"/>
          <w:color w:val="auto"/>
        </w:rPr>
      </w:pPr>
      <w:r>
        <w:rPr>
          <w:rFonts w:ascii="Arial" w:cs="Arial" w:eastAsia="Arial" w:hAnsi="Arial"/>
          <w:sz w:val="19"/>
          <w:szCs w:val="19"/>
          <w:color w:val="auto"/>
        </w:rPr>
        <w:t xml:space="preserve">The Revolving Loans and Revolving Commitments established pursuant to this </w:t>
      </w:r>
      <w:r>
        <w:rPr>
          <w:rFonts w:ascii="Arial" w:cs="Arial" w:eastAsia="Arial" w:hAnsi="Arial"/>
          <w:sz w:val="19"/>
          <w:szCs w:val="19"/>
          <w:u w:val="single" w:color="auto"/>
          <w:color w:val="auto"/>
        </w:rPr>
        <w:t>Section 2.27</w:t>
      </w:r>
      <w:r>
        <w:rPr>
          <w:rFonts w:ascii="Arial" w:cs="Arial" w:eastAsia="Arial" w:hAnsi="Arial"/>
          <w:sz w:val="19"/>
          <w:szCs w:val="19"/>
          <w:color w:val="auto"/>
        </w:rPr>
        <w:t xml:space="preserve"> shall constitute Revolving Loans and Revolving Commitments under, and shall be entitled to all the benefits afforded by, this Agreement and the other Loan Documents, and shall, without limiting the foregoing, benefit equally and ratably from any guarantees and the security interests created by the Loan Documents. The Borrower shall take any actions reasonably required by Administrative Agent to ensure and demonstrate that the Liens and security interests granted by the Loan Documents continue to be perfected under the UCC or otherwise after giving effect to the establishment of any such new Revolving Commitments.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LETTERS OF CREDIT</w:t>
      </w:r>
    </w:p>
    <w:p>
      <w:pPr>
        <w:spacing w:after="0" w:line="14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3.1</w:t>
      </w:r>
      <w:r>
        <w:rPr>
          <w:sz w:val="20"/>
          <w:szCs w:val="20"/>
          <w:color w:val="auto"/>
        </w:rPr>
        <w:tab/>
      </w:r>
      <w:r>
        <w:rPr>
          <w:rFonts w:ascii="Arial" w:cs="Arial" w:eastAsia="Arial" w:hAnsi="Arial"/>
          <w:sz w:val="18"/>
          <w:szCs w:val="18"/>
          <w:b w:val="1"/>
          <w:bCs w:val="1"/>
          <w:color w:val="auto"/>
        </w:rPr>
        <w:t>L/C Commitment</w:t>
      </w:r>
      <w:r>
        <w:rPr>
          <w:rFonts w:ascii="Arial" w:cs="Arial" w:eastAsia="Arial" w:hAnsi="Arial"/>
          <w:sz w:val="18"/>
          <w:szCs w:val="18"/>
          <w:color w:val="auto"/>
        </w:rPr>
        <w:t>.</w:t>
      </w:r>
    </w:p>
    <w:p>
      <w:pPr>
        <w:spacing w:after="0" w:line="168" w:lineRule="exact"/>
        <w:rPr>
          <w:sz w:val="20"/>
          <w:szCs w:val="20"/>
          <w:color w:val="auto"/>
        </w:rPr>
      </w:pPr>
    </w:p>
    <w:p>
      <w:pPr>
        <w:jc w:val="both"/>
        <w:ind w:firstLine="1304"/>
        <w:spacing w:after="0" w:line="270" w:lineRule="auto"/>
        <w:tabs>
          <w:tab w:leader="none" w:pos="1746" w:val="left"/>
        </w:tabs>
        <w:numPr>
          <w:ilvl w:val="0"/>
          <w:numId w:val="395"/>
        </w:numPr>
        <w:rPr>
          <w:rFonts w:ascii="Arial" w:cs="Arial" w:eastAsia="Arial" w:hAnsi="Arial"/>
          <w:sz w:val="18"/>
          <w:szCs w:val="18"/>
          <w:color w:val="auto"/>
        </w:rPr>
      </w:pPr>
      <w:r>
        <w:rPr>
          <w:rFonts w:ascii="Arial" w:cs="Arial" w:eastAsia="Arial" w:hAnsi="Arial"/>
          <w:sz w:val="18"/>
          <w:szCs w:val="18"/>
          <w:color w:val="auto"/>
        </w:rPr>
        <w:t>Subject to the terms and conditions hereof, the Issuing Lender agrees to issue letters of credit (“</w:t>
      </w:r>
      <w:r>
        <w:rPr>
          <w:rFonts w:ascii="Arial" w:cs="Arial" w:eastAsia="Arial" w:hAnsi="Arial"/>
          <w:sz w:val="18"/>
          <w:szCs w:val="18"/>
          <w:b w:val="1"/>
          <w:bCs w:val="1"/>
          <w:i w:val="1"/>
          <w:iCs w:val="1"/>
          <w:color w:val="auto"/>
        </w:rPr>
        <w:t>Letters of Credit</w:t>
      </w:r>
      <w:r>
        <w:rPr>
          <w:rFonts w:ascii="Arial" w:cs="Arial" w:eastAsia="Arial" w:hAnsi="Arial"/>
          <w:sz w:val="18"/>
          <w:szCs w:val="18"/>
          <w:color w:val="auto"/>
        </w:rPr>
        <w:t xml:space="preserve">”) for the account of the Borrower (or any other Group Member so long as the Borrower is the applicant on the applicable Application and such Group Member has furnished any documentation required by the Issuing Lender pursuant to “know-your-customer” or any internal requirements) on any Business Day during the Letter of Credit Availability Period in such form as may reasonably be approved from time to time by the Issuing Lender;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Issuing Lender shall have no obligation to issue any Letter of Credit if, after giving effect to such issuance, the L/C Exposure would exceed either the Total L/C Commitments or the Available Revolving Commitment at such time. Each Letter of Credit shall (i) be denominated in Dollars or in an Alternative Currency (it being agreed that the Issuing Lender shall have no obligation to issue, renew or extend a Letter of Credit in an Alternative Currency if the Issuing Lender as of any date of determination does not issue Letters of Credit in such Alternative Currency), and (ii) unless otherwise agreed to by the Issuing Lender, expire no later than the earlier of (x) the first anniversary of its date of issuance and (y) the Letter of Credit Maturity Date,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any Letter of Credit with a one-year term may provide for the renewal thereof for additional one-year periods (which shall in no event extend beyond the date referred to in clause (y) above unless the Issuing Lender otherwise agrees).</w:t>
      </w:r>
    </w:p>
    <w:p>
      <w:pPr>
        <w:spacing w:after="0" w:line="121" w:lineRule="exact"/>
        <w:rPr>
          <w:rFonts w:ascii="Arial" w:cs="Arial" w:eastAsia="Arial" w:hAnsi="Arial"/>
          <w:sz w:val="18"/>
          <w:szCs w:val="18"/>
          <w:color w:val="auto"/>
        </w:rPr>
      </w:pPr>
    </w:p>
    <w:p>
      <w:pPr>
        <w:ind w:left="1720" w:hanging="416"/>
        <w:spacing w:after="0"/>
        <w:tabs>
          <w:tab w:leader="none" w:pos="1720" w:val="left"/>
        </w:tabs>
        <w:numPr>
          <w:ilvl w:val="0"/>
          <w:numId w:val="395"/>
        </w:numPr>
        <w:rPr>
          <w:rFonts w:ascii="Arial" w:cs="Arial" w:eastAsia="Arial" w:hAnsi="Arial"/>
          <w:sz w:val="20"/>
          <w:szCs w:val="20"/>
          <w:color w:val="auto"/>
        </w:rPr>
      </w:pPr>
      <w:r>
        <w:rPr>
          <w:rFonts w:ascii="Arial" w:cs="Arial" w:eastAsia="Arial" w:hAnsi="Arial"/>
          <w:sz w:val="20"/>
          <w:szCs w:val="20"/>
          <w:color w:val="auto"/>
        </w:rPr>
        <w:t>The Issuing Lender shall not at any time be obligated to issue any Letter of Credit if:</w:t>
      </w:r>
    </w:p>
    <w:p>
      <w:pPr>
        <w:spacing w:after="0" w:line="161" w:lineRule="exact"/>
        <w:rPr>
          <w:rFonts w:ascii="Arial" w:cs="Arial" w:eastAsia="Arial" w:hAnsi="Arial"/>
          <w:sz w:val="20"/>
          <w:szCs w:val="20"/>
          <w:color w:val="auto"/>
        </w:rPr>
      </w:pPr>
    </w:p>
    <w:p>
      <w:pPr>
        <w:ind w:firstLine="1952"/>
        <w:spacing w:after="0" w:line="260" w:lineRule="auto"/>
        <w:tabs>
          <w:tab w:leader="none" w:pos="2341" w:val="left"/>
        </w:tabs>
        <w:numPr>
          <w:ilvl w:val="1"/>
          <w:numId w:val="395"/>
        </w:numPr>
        <w:rPr>
          <w:rFonts w:ascii="Arial" w:cs="Arial" w:eastAsia="Arial" w:hAnsi="Arial"/>
          <w:sz w:val="20"/>
          <w:szCs w:val="20"/>
          <w:color w:val="auto"/>
        </w:rPr>
      </w:pPr>
      <w:r>
        <w:rPr>
          <w:rFonts w:ascii="Arial" w:cs="Arial" w:eastAsia="Arial" w:hAnsi="Arial"/>
          <w:sz w:val="20"/>
          <w:szCs w:val="20"/>
          <w:color w:val="auto"/>
        </w:rPr>
        <w:t>such issuance would conflict with, or cause the Issuing Lender or any L/C Lender to exceed any limits imposed by, any applicable Requirement of Law;</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ectPr>
          <w:pgSz w:w="11900" w:h="16838" w:orient="portrait"/>
          <w:cols w:equalWidth="0" w:num="1">
            <w:col w:w="11240"/>
          </w:cols>
          <w:pgMar w:left="320" w:top="771" w:right="339" w:bottom="1440" w:gutter="0" w:footer="0" w:header="0"/>
        </w:sectPr>
      </w:pPr>
    </w:p>
    <w:bookmarkStart w:id="452" w:name="page453"/>
    <w:bookmarkEnd w:id="452"/>
    <w:p>
      <w:pPr>
        <w:jc w:val="both"/>
        <w:ind w:firstLine="1952"/>
        <w:spacing w:after="0" w:line="257" w:lineRule="auto"/>
        <w:tabs>
          <w:tab w:leader="none" w:pos="2412" w:val="left"/>
        </w:tabs>
        <w:numPr>
          <w:ilvl w:val="0"/>
          <w:numId w:val="396"/>
        </w:numPr>
        <w:rPr>
          <w:rFonts w:ascii="Arial" w:cs="Arial" w:eastAsia="Arial" w:hAnsi="Arial"/>
          <w:sz w:val="19"/>
          <w:szCs w:val="19"/>
          <w:color w:val="auto"/>
        </w:rPr>
      </w:pPr>
      <w:r>
        <w:rPr>
          <w:rFonts w:ascii="Arial" w:cs="Arial" w:eastAsia="Arial" w:hAnsi="Arial"/>
          <w:sz w:val="19"/>
          <w:szCs w:val="19"/>
          <w:color w:val="auto"/>
        </w:rPr>
        <w:t>any order, judgment or decree of any Governmental Authority or arbitrator shall by its terms purport to enjoin or restrain the Issuing Lender from issuing, amending or reinstating such Letter of Credit, or any law, rule or regulation applicable to the Issuing Lender or any request, guideline or directive (whether or not having the force of law) from any Governmental Authority with jurisdiction over the Issuing Lender shall prohibit, or request that the Issuing Lender refrain from, the issuance, amendment, renewal or reinstatement of letters of credit generally or such Letter of Credit in particular or shall impose upon the Issuing Lender with respect to such Letter of Credit any restriction, reserve or capital requirement (for which the Issuing Lender is not otherwise compensated) not in effect on the Closing Date, or shall impose upon the Issuing Lender any unreimbursed loss, cost or expense which was not applicable on the Closing Date and which the Issuing Lender in good faith deems material to it;</w:t>
      </w:r>
    </w:p>
    <w:p>
      <w:pPr>
        <w:spacing w:after="0" w:line="126" w:lineRule="exact"/>
        <w:rPr>
          <w:rFonts w:ascii="Arial" w:cs="Arial" w:eastAsia="Arial" w:hAnsi="Arial"/>
          <w:sz w:val="19"/>
          <w:szCs w:val="19"/>
          <w:color w:val="auto"/>
        </w:rPr>
      </w:pPr>
    </w:p>
    <w:p>
      <w:pPr>
        <w:jc w:val="both"/>
        <w:ind w:firstLine="1952"/>
        <w:spacing w:after="0" w:line="250" w:lineRule="auto"/>
        <w:tabs>
          <w:tab w:leader="none" w:pos="2460" w:val="left"/>
        </w:tabs>
        <w:numPr>
          <w:ilvl w:val="0"/>
          <w:numId w:val="396"/>
        </w:numPr>
        <w:rPr>
          <w:rFonts w:ascii="Arial" w:cs="Arial" w:eastAsia="Arial" w:hAnsi="Arial"/>
          <w:sz w:val="20"/>
          <w:szCs w:val="20"/>
          <w:color w:val="auto"/>
        </w:rPr>
      </w:pPr>
      <w:r>
        <w:rPr>
          <w:rFonts w:ascii="Arial" w:cs="Arial" w:eastAsia="Arial" w:hAnsi="Arial"/>
          <w:sz w:val="20"/>
          <w:szCs w:val="20"/>
          <w:color w:val="auto"/>
        </w:rPr>
        <w:t xml:space="preserve">the Issuing Lender has received written notice from any Lender, the Administrative Agent or the Borrower, at least 1 Business Day prior to the requested date of issuance, amendment, renewal or reinstatement of such Letter of Credit, that one or more of the applicable conditions contained in </w:t>
      </w:r>
      <w:r>
        <w:rPr>
          <w:rFonts w:ascii="Arial" w:cs="Arial" w:eastAsia="Arial" w:hAnsi="Arial"/>
          <w:sz w:val="20"/>
          <w:szCs w:val="20"/>
          <w:u w:val="single" w:color="auto"/>
          <w:color w:val="auto"/>
        </w:rPr>
        <w:t>Section 5.2</w:t>
      </w:r>
      <w:r>
        <w:rPr>
          <w:rFonts w:ascii="Arial" w:cs="Arial" w:eastAsia="Arial" w:hAnsi="Arial"/>
          <w:sz w:val="20"/>
          <w:szCs w:val="20"/>
          <w:color w:val="auto"/>
        </w:rPr>
        <w:t xml:space="preserve"> shall not then be satisfied;</w:t>
      </w:r>
    </w:p>
    <w:p>
      <w:pPr>
        <w:spacing w:after="0" w:line="131" w:lineRule="exact"/>
        <w:rPr>
          <w:rFonts w:ascii="Arial" w:cs="Arial" w:eastAsia="Arial" w:hAnsi="Arial"/>
          <w:sz w:val="20"/>
          <w:szCs w:val="20"/>
          <w:color w:val="auto"/>
        </w:rPr>
      </w:pPr>
    </w:p>
    <w:p>
      <w:pPr>
        <w:ind w:firstLine="1952"/>
        <w:spacing w:after="0" w:line="316" w:lineRule="auto"/>
        <w:tabs>
          <w:tab w:leader="none" w:pos="2469" w:val="left"/>
        </w:tabs>
        <w:numPr>
          <w:ilvl w:val="0"/>
          <w:numId w:val="396"/>
        </w:numPr>
        <w:rPr>
          <w:rFonts w:ascii="Arial" w:cs="Arial" w:eastAsia="Arial" w:hAnsi="Arial"/>
          <w:sz w:val="18"/>
          <w:szCs w:val="18"/>
          <w:color w:val="auto"/>
        </w:rPr>
      </w:pPr>
      <w:r>
        <w:rPr>
          <w:rFonts w:ascii="Arial" w:cs="Arial" w:eastAsia="Arial" w:hAnsi="Arial"/>
          <w:sz w:val="18"/>
          <w:szCs w:val="18"/>
          <w:color w:val="auto"/>
        </w:rPr>
        <w:t>any requested Letter of Credit is not in form and substance acceptable to the Issuing Lender, or the issuance, amendment or renewal of a Letter of Credit shall violate any applicable laws or regulations or any applicable policies of the Issuing Lender;</w:t>
      </w:r>
    </w:p>
    <w:p>
      <w:pPr>
        <w:spacing w:after="0" w:line="75" w:lineRule="exact"/>
        <w:rPr>
          <w:rFonts w:ascii="Arial" w:cs="Arial" w:eastAsia="Arial" w:hAnsi="Arial"/>
          <w:sz w:val="18"/>
          <w:szCs w:val="18"/>
          <w:color w:val="auto"/>
        </w:rPr>
      </w:pPr>
    </w:p>
    <w:p>
      <w:pPr>
        <w:ind w:left="2420" w:hanging="468"/>
        <w:spacing w:after="0"/>
        <w:tabs>
          <w:tab w:leader="none" w:pos="242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such Letter of Credit contains any provisions providing for automatic reinstatement of the stated amount after</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any drawing thereunder;</w:t>
      </w:r>
    </w:p>
    <w:p>
      <w:pPr>
        <w:spacing w:after="0" w:line="145" w:lineRule="exact"/>
        <w:rPr>
          <w:rFonts w:ascii="Arial" w:cs="Arial" w:eastAsia="Arial" w:hAnsi="Arial"/>
          <w:sz w:val="18"/>
          <w:szCs w:val="18"/>
          <w:color w:val="auto"/>
        </w:rPr>
      </w:pPr>
    </w:p>
    <w:p>
      <w:pPr>
        <w:ind w:left="2440" w:hanging="488"/>
        <w:spacing w:after="0"/>
        <w:tabs>
          <w:tab w:leader="none" w:pos="2440" w:val="left"/>
        </w:tabs>
        <w:numPr>
          <w:ilvl w:val="0"/>
          <w:numId w:val="396"/>
        </w:numPr>
        <w:rPr>
          <w:rFonts w:ascii="Arial" w:cs="Arial" w:eastAsia="Arial" w:hAnsi="Arial"/>
          <w:sz w:val="20"/>
          <w:szCs w:val="20"/>
          <w:color w:val="auto"/>
        </w:rPr>
      </w:pPr>
      <w:r>
        <w:rPr>
          <w:rFonts w:ascii="Arial" w:cs="Arial" w:eastAsia="Arial" w:hAnsi="Arial"/>
          <w:sz w:val="20"/>
          <w:szCs w:val="20"/>
          <w:color w:val="auto"/>
        </w:rPr>
        <w:t>such Letter of Credit is not denominated in Dollars or an Alternative Currency;</w:t>
      </w:r>
    </w:p>
    <w:p>
      <w:pPr>
        <w:spacing w:after="0" w:line="161" w:lineRule="exact"/>
        <w:rPr>
          <w:rFonts w:ascii="Arial" w:cs="Arial" w:eastAsia="Arial" w:hAnsi="Arial"/>
          <w:sz w:val="20"/>
          <w:szCs w:val="20"/>
          <w:color w:val="auto"/>
        </w:rPr>
      </w:pPr>
    </w:p>
    <w:p>
      <w:pPr>
        <w:ind w:firstLine="1952"/>
        <w:spacing w:after="0" w:line="260" w:lineRule="auto"/>
        <w:tabs>
          <w:tab w:leader="none" w:pos="2500" w:val="left"/>
        </w:tabs>
        <w:numPr>
          <w:ilvl w:val="0"/>
          <w:numId w:val="396"/>
        </w:numPr>
        <w:rPr>
          <w:rFonts w:ascii="Arial" w:cs="Arial" w:eastAsia="Arial" w:hAnsi="Arial"/>
          <w:sz w:val="20"/>
          <w:szCs w:val="20"/>
          <w:color w:val="auto"/>
        </w:rPr>
      </w:pPr>
      <w:r>
        <w:rPr>
          <w:rFonts w:ascii="Arial" w:cs="Arial" w:eastAsia="Arial" w:hAnsi="Arial"/>
          <w:sz w:val="20"/>
          <w:szCs w:val="20"/>
          <w:color w:val="auto"/>
        </w:rPr>
        <w:t>except as otherwise agreed by the Administrative Agent and the Issuing Lender, such Letter of Credit is in an initial face amount less than $250,000; or</w:t>
      </w:r>
    </w:p>
    <w:p>
      <w:pPr>
        <w:spacing w:after="0" w:line="122" w:lineRule="exact"/>
        <w:rPr>
          <w:rFonts w:ascii="Arial" w:cs="Arial" w:eastAsia="Arial" w:hAnsi="Arial"/>
          <w:sz w:val="20"/>
          <w:szCs w:val="20"/>
          <w:color w:val="auto"/>
        </w:rPr>
      </w:pPr>
    </w:p>
    <w:p>
      <w:pPr>
        <w:jc w:val="both"/>
        <w:ind w:firstLine="1952"/>
        <w:spacing w:after="0" w:line="278" w:lineRule="auto"/>
        <w:tabs>
          <w:tab w:leader="none" w:pos="2629" w:val="left"/>
        </w:tabs>
        <w:numPr>
          <w:ilvl w:val="0"/>
          <w:numId w:val="396"/>
        </w:numPr>
        <w:rPr>
          <w:rFonts w:ascii="Arial" w:cs="Arial" w:eastAsia="Arial" w:hAnsi="Arial"/>
          <w:sz w:val="18"/>
          <w:szCs w:val="18"/>
          <w:color w:val="auto"/>
        </w:rPr>
      </w:pPr>
      <w:r>
        <w:rPr>
          <w:rFonts w:ascii="Arial" w:cs="Arial" w:eastAsia="Arial" w:hAnsi="Arial"/>
          <w:sz w:val="18"/>
          <w:szCs w:val="18"/>
          <w:color w:val="auto"/>
        </w:rPr>
        <w:t xml:space="preserve">any Lender is at that time a Defaulting Lender, unless the Issuing Lender has entered into arrangements, including the delivery of Cash Collateral pursuant to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satisfactory to the Issuing Lender (in its sole discretion) with the Borrower or such Defaulting Lender to eliminate the Issuing Lender’s actual or potential Fronting Exposure (after giving effect to </w:t>
      </w:r>
      <w:r>
        <w:rPr>
          <w:rFonts w:ascii="Arial" w:cs="Arial" w:eastAsia="Arial" w:hAnsi="Arial"/>
          <w:sz w:val="18"/>
          <w:szCs w:val="18"/>
          <w:u w:val="single" w:color="auto"/>
          <w:color w:val="auto"/>
        </w:rPr>
        <w:t>Section 2.24(a)(iv)</w:t>
      </w:r>
      <w:r>
        <w:rPr>
          <w:rFonts w:ascii="Arial" w:cs="Arial" w:eastAsia="Arial" w:hAnsi="Arial"/>
          <w:sz w:val="18"/>
          <w:szCs w:val="18"/>
          <w:color w:val="auto"/>
        </w:rPr>
        <w:t>) with respect to the Defaulting Lender arising from either the Letter of Credit then proposed to be issued or such Letter of Credit and all other L/C Exposure as to which the Issuing Lender has actual or potential Fronting Exposure, as it may elect in its sole discretion.</w:t>
      </w:r>
    </w:p>
    <w:p>
      <w:pPr>
        <w:spacing w:after="0" w:line="1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b w:val="1"/>
          <w:bCs w:val="1"/>
          <w:color w:val="auto"/>
        </w:rPr>
        <w:t>3.2 Procedure for Issuance of Letters of Credit</w:t>
      </w:r>
      <w:r>
        <w:rPr>
          <w:rFonts w:ascii="Arial" w:cs="Arial" w:eastAsia="Arial" w:hAnsi="Arial"/>
          <w:sz w:val="19"/>
          <w:szCs w:val="19"/>
          <w:color w:val="auto"/>
        </w:rPr>
        <w:t>. The Borrower may from time to time request that the Issuing Lender issue a</w:t>
      </w:r>
      <w:r>
        <w:rPr>
          <w:rFonts w:ascii="Arial" w:cs="Arial" w:eastAsia="Arial" w:hAnsi="Arial"/>
          <w:sz w:val="19"/>
          <w:szCs w:val="19"/>
          <w:b w:val="1"/>
          <w:bCs w:val="1"/>
          <w:color w:val="auto"/>
        </w:rPr>
        <w:t xml:space="preserve"> </w:t>
      </w:r>
      <w:r>
        <w:rPr>
          <w:rFonts w:ascii="Arial" w:cs="Arial" w:eastAsia="Arial" w:hAnsi="Arial"/>
          <w:sz w:val="19"/>
          <w:szCs w:val="19"/>
          <w:color w:val="auto"/>
        </w:rPr>
        <w:t>Letter of Credit for the account of the Borrower by delivering to the Issuing Lender at its address for notices specified herein an Application therefor, completed to the satisfaction of the Issuing Lender, and such other certificates, documents and other papers and information as the Issuing Lender may request. Upon receipt of any Application, the Issuing Lender will process such Application and the certificates, documents and other papers and information delivered to it in connection therewith in accordance with its customary procedures and shall promptly issue the Letter of Credit requested thereby (but in no event shall the Issuing Lender be required to issue any Letter of Credit earlier than 3 Business Days (or such longer period as is required by the Issuing Lender in the case of a Letter of Credit denominated in an Alternative Currency) after its receipt of the Application therefor and all such other certificates, documents and other papers and information relating thereto) by issuing the original of such Letter of Credit to the beneficiary thereof or as otherwise may be agreed to by the Issuing Lender and the Borrower. The Issuing Lender shall furnish a copy of such Letter of Credit to the Borrower promptly following the issuance thereof. The Issuing Lender shall promptly furnish to the Administrative Agent, which shall in turn promptly furnish to the Lenders, notice of the issuance of each Letter of Credit (including the amount thereof).</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ectPr>
          <w:pgSz w:w="11900" w:h="16838" w:orient="portrait"/>
          <w:cols w:equalWidth="0" w:num="1">
            <w:col w:w="11240"/>
          </w:cols>
          <w:pgMar w:left="320" w:top="771" w:right="339" w:bottom="1440" w:gutter="0" w:footer="0" w:header="0"/>
        </w:sectPr>
      </w:pPr>
    </w:p>
    <w:bookmarkStart w:id="453" w:name="page454"/>
    <w:bookmarkEnd w:id="453"/>
    <w:p>
      <w:pPr>
        <w:ind w:left="660"/>
        <w:spacing w:after="0"/>
        <w:tabs>
          <w:tab w:leader="none" w:pos="1080" w:val="left"/>
        </w:tabs>
        <w:rPr>
          <w:sz w:val="20"/>
          <w:szCs w:val="20"/>
          <w:color w:val="auto"/>
        </w:rPr>
      </w:pPr>
      <w:r>
        <w:rPr>
          <w:rFonts w:ascii="Arial" w:cs="Arial" w:eastAsia="Arial" w:hAnsi="Arial"/>
          <w:sz w:val="20"/>
          <w:szCs w:val="20"/>
          <w:b w:val="1"/>
          <w:bCs w:val="1"/>
          <w:color w:val="auto"/>
        </w:rPr>
        <w:t>3.3</w:t>
      </w:r>
      <w:r>
        <w:rPr>
          <w:sz w:val="20"/>
          <w:szCs w:val="20"/>
          <w:color w:val="auto"/>
        </w:rPr>
        <w:tab/>
      </w:r>
      <w:r>
        <w:rPr>
          <w:rFonts w:ascii="Arial" w:cs="Arial" w:eastAsia="Arial" w:hAnsi="Arial"/>
          <w:sz w:val="16"/>
          <w:szCs w:val="16"/>
          <w:b w:val="1"/>
          <w:bCs w:val="1"/>
          <w:color w:val="auto"/>
        </w:rPr>
        <w:t>Fees and Other Charges</w:t>
      </w:r>
      <w:r>
        <w:rPr>
          <w:rFonts w:ascii="Arial" w:cs="Arial" w:eastAsia="Arial" w:hAnsi="Arial"/>
          <w:sz w:val="16"/>
          <w:szCs w:val="16"/>
          <w:color w:val="auto"/>
        </w:rPr>
        <w:t>.</w:t>
      </w:r>
    </w:p>
    <w:p>
      <w:pPr>
        <w:spacing w:after="0" w:line="168" w:lineRule="exact"/>
        <w:rPr>
          <w:sz w:val="20"/>
          <w:szCs w:val="20"/>
          <w:color w:val="auto"/>
        </w:rPr>
      </w:pPr>
    </w:p>
    <w:p>
      <w:pPr>
        <w:jc w:val="both"/>
        <w:ind w:firstLine="1304"/>
        <w:spacing w:after="0" w:line="272" w:lineRule="auto"/>
        <w:tabs>
          <w:tab w:leader="none" w:pos="1729" w:val="left"/>
        </w:tabs>
        <w:numPr>
          <w:ilvl w:val="1"/>
          <w:numId w:val="397"/>
        </w:numPr>
        <w:rPr>
          <w:rFonts w:ascii="Arial" w:cs="Arial" w:eastAsia="Arial" w:hAnsi="Arial"/>
          <w:sz w:val="18"/>
          <w:szCs w:val="18"/>
          <w:color w:val="auto"/>
        </w:rPr>
      </w:pPr>
      <w:r>
        <w:rPr>
          <w:rFonts w:ascii="Arial" w:cs="Arial" w:eastAsia="Arial" w:hAnsi="Arial"/>
          <w:sz w:val="18"/>
          <w:szCs w:val="18"/>
          <w:color w:val="auto"/>
        </w:rPr>
        <w:t>The Borrower agrees to pay, with respect to each Existing Letter of Credit and each outstanding Letter of Credit issued for the account of (or at the request of) the Borrower, (i) a fronting fee of 0.125% per annum on the Dollar Equivalent of the daily amount available to be drawn under each such Letter of Credit to the Issuing Lender for its own account (a “</w:t>
      </w:r>
      <w:r>
        <w:rPr>
          <w:rFonts w:ascii="Arial" w:cs="Arial" w:eastAsia="Arial" w:hAnsi="Arial"/>
          <w:sz w:val="18"/>
          <w:szCs w:val="18"/>
          <w:b w:val="1"/>
          <w:bCs w:val="1"/>
          <w:i w:val="1"/>
          <w:iCs w:val="1"/>
          <w:color w:val="auto"/>
        </w:rPr>
        <w:t>Letter of Credit Fronting Fee</w:t>
      </w:r>
      <w:r>
        <w:rPr>
          <w:rFonts w:ascii="Arial" w:cs="Arial" w:eastAsia="Arial" w:hAnsi="Arial"/>
          <w:sz w:val="18"/>
          <w:szCs w:val="18"/>
          <w:color w:val="auto"/>
        </w:rPr>
        <w:t>”), and</w:t>
      </w:r>
    </w:p>
    <w:p>
      <w:pPr>
        <w:jc w:val="both"/>
        <w:ind w:firstLine="8"/>
        <w:spacing w:after="0" w:line="269" w:lineRule="auto"/>
        <w:tabs>
          <w:tab w:leader="none" w:pos="296" w:val="left"/>
        </w:tabs>
        <w:numPr>
          <w:ilvl w:val="0"/>
          <w:numId w:val="398"/>
        </w:numPr>
        <w:rPr>
          <w:rFonts w:ascii="Arial" w:cs="Arial" w:eastAsia="Arial" w:hAnsi="Arial"/>
          <w:sz w:val="18"/>
          <w:szCs w:val="18"/>
          <w:color w:val="auto"/>
        </w:rPr>
      </w:pPr>
      <w:r>
        <w:rPr>
          <w:rFonts w:ascii="Arial" w:cs="Arial" w:eastAsia="Arial" w:hAnsi="Arial"/>
          <w:sz w:val="18"/>
          <w:szCs w:val="18"/>
          <w:color w:val="auto"/>
        </w:rPr>
        <w:t xml:space="preserve">a letter of credit fee equal to (A) (I) at any time there is only one (1) Lender, 2.00% per annum, and (II) at all other times, the Applicable Margin for Eurodollar Loans; </w:t>
      </w:r>
      <w:r>
        <w:rPr>
          <w:rFonts w:ascii="Arial" w:cs="Arial" w:eastAsia="Arial" w:hAnsi="Arial"/>
          <w:sz w:val="18"/>
          <w:szCs w:val="18"/>
          <w:u w:val="single" w:color="auto"/>
          <w:color w:val="auto"/>
        </w:rPr>
        <w:t>multiplied</w:t>
      </w:r>
      <w:r>
        <w:rPr>
          <w:rFonts w:ascii="Arial" w:cs="Arial" w:eastAsia="Arial" w:hAnsi="Arial"/>
          <w:sz w:val="18"/>
          <w:szCs w:val="18"/>
          <w:color w:val="auto"/>
        </w:rPr>
        <w:t xml:space="preserve"> by (B) the Dollar Equivalent of the daily amount available to be drawn under each such Letter of Credit on the drawable amount of such Letter of Credit to the Administrative Agent for the ratable account of the L/C Lenders (determined in accordance with their respective L/C Percentages) (a “</w:t>
      </w:r>
      <w:r>
        <w:rPr>
          <w:rFonts w:ascii="Arial" w:cs="Arial" w:eastAsia="Arial" w:hAnsi="Arial"/>
          <w:sz w:val="18"/>
          <w:szCs w:val="18"/>
          <w:b w:val="1"/>
          <w:bCs w:val="1"/>
          <w:i w:val="1"/>
          <w:iCs w:val="1"/>
          <w:color w:val="auto"/>
        </w:rPr>
        <w:t>Letter of Credit Fee</w:t>
      </w:r>
      <w:r>
        <w:rPr>
          <w:rFonts w:ascii="Arial" w:cs="Arial" w:eastAsia="Arial" w:hAnsi="Arial"/>
          <w:sz w:val="18"/>
          <w:szCs w:val="18"/>
          <w:color w:val="auto"/>
        </w:rPr>
        <w:t>”), in each case payable quarterly in arrears on the last Business Day of each calendar quarter and on the Letter of Credit Maturity Date (each, an “</w:t>
      </w:r>
      <w:r>
        <w:rPr>
          <w:rFonts w:ascii="Arial" w:cs="Arial" w:eastAsia="Arial" w:hAnsi="Arial"/>
          <w:sz w:val="18"/>
          <w:szCs w:val="18"/>
          <w:b w:val="1"/>
          <w:bCs w:val="1"/>
          <w:i w:val="1"/>
          <w:iCs w:val="1"/>
          <w:color w:val="auto"/>
        </w:rPr>
        <w:t>L/C Fee Payment Date</w:t>
      </w:r>
      <w:r>
        <w:rPr>
          <w:rFonts w:ascii="Arial" w:cs="Arial" w:eastAsia="Arial" w:hAnsi="Arial"/>
          <w:sz w:val="18"/>
          <w:szCs w:val="18"/>
          <w:color w:val="auto"/>
        </w:rPr>
        <w:t>”) after the issuance date of such Letter of Credit, and (iii) the Issuing Lender’s standard and reasonable fees with respect to the issuance, amendment, renewal or extension of any Letter of Credit issued for the account of (or at the request of) the Borrower or processing of drawings thereunder (the fees in this clause (iii), collectively, the “</w:t>
      </w:r>
      <w:r>
        <w:rPr>
          <w:rFonts w:ascii="Arial" w:cs="Arial" w:eastAsia="Arial" w:hAnsi="Arial"/>
          <w:sz w:val="18"/>
          <w:szCs w:val="18"/>
          <w:b w:val="1"/>
          <w:bCs w:val="1"/>
          <w:i w:val="1"/>
          <w:iCs w:val="1"/>
          <w:color w:val="auto"/>
        </w:rPr>
        <w:t>Issuing Lender Fees</w:t>
      </w:r>
      <w:r>
        <w:rPr>
          <w:rFonts w:ascii="Arial" w:cs="Arial" w:eastAsia="Arial" w:hAnsi="Arial"/>
          <w:sz w:val="18"/>
          <w:szCs w:val="18"/>
          <w:color w:val="auto"/>
        </w:rPr>
        <w:t xml:space="preserve">”). All Letter of Credit Fronting Fees and Letter of Credit Fees shall be computed on the basis of the actual number of days elapsed in a year of 360 days. For purposes of computing the Dollar Equivalent of the daily amount available to be drawn under any Letter of Credit, the amount of such Letter of Credit shall be determined in accordance with </w:t>
      </w:r>
      <w:r>
        <w:rPr>
          <w:rFonts w:ascii="Arial" w:cs="Arial" w:eastAsia="Arial" w:hAnsi="Arial"/>
          <w:sz w:val="18"/>
          <w:szCs w:val="18"/>
          <w:u w:val="single" w:color="auto"/>
          <w:color w:val="auto"/>
        </w:rPr>
        <w:t>Section 1.5</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jc w:val="both"/>
        <w:ind w:firstLine="1304"/>
        <w:spacing w:after="0" w:line="250" w:lineRule="auto"/>
        <w:tabs>
          <w:tab w:leader="none" w:pos="1877" w:val="left"/>
        </w:tabs>
        <w:numPr>
          <w:ilvl w:val="1"/>
          <w:numId w:val="398"/>
        </w:numPr>
        <w:rPr>
          <w:rFonts w:ascii="Arial" w:cs="Arial" w:eastAsia="Arial" w:hAnsi="Arial"/>
          <w:sz w:val="20"/>
          <w:szCs w:val="20"/>
          <w:color w:val="auto"/>
        </w:rPr>
      </w:pPr>
      <w:r>
        <w:rPr>
          <w:rFonts w:ascii="Arial" w:cs="Arial" w:eastAsia="Arial" w:hAnsi="Arial"/>
          <w:sz w:val="20"/>
          <w:szCs w:val="20"/>
          <w:color w:val="auto"/>
        </w:rPr>
        <w:t>In addition to the foregoing fees, the Borrower shall pay or reimburse the Issuing Lender for such normal and customary costs and expenses as are incurred or charged by the Issuing Lender in issuing, negotiating, effecting payment under, amending or otherwise administering any Letter of Credit.</w:t>
      </w:r>
    </w:p>
    <w:p>
      <w:pPr>
        <w:spacing w:after="0" w:line="131" w:lineRule="exact"/>
        <w:rPr>
          <w:rFonts w:ascii="Arial" w:cs="Arial" w:eastAsia="Arial" w:hAnsi="Arial"/>
          <w:sz w:val="20"/>
          <w:szCs w:val="20"/>
          <w:color w:val="auto"/>
        </w:rPr>
      </w:pPr>
    </w:p>
    <w:p>
      <w:pPr>
        <w:jc w:val="both"/>
        <w:ind w:firstLine="1304"/>
        <w:spacing w:after="0" w:line="246" w:lineRule="auto"/>
        <w:tabs>
          <w:tab w:leader="none" w:pos="1740" w:val="left"/>
        </w:tabs>
        <w:numPr>
          <w:ilvl w:val="1"/>
          <w:numId w:val="398"/>
        </w:numPr>
        <w:rPr>
          <w:rFonts w:ascii="Arial" w:cs="Arial" w:eastAsia="Arial" w:hAnsi="Arial"/>
          <w:sz w:val="20"/>
          <w:szCs w:val="20"/>
          <w:color w:val="auto"/>
        </w:rPr>
      </w:pPr>
      <w:r>
        <w:rPr>
          <w:rFonts w:ascii="Arial" w:cs="Arial" w:eastAsia="Arial" w:hAnsi="Arial"/>
          <w:sz w:val="20"/>
          <w:szCs w:val="20"/>
          <w:color w:val="auto"/>
        </w:rPr>
        <w:t>The Borrower shall furnish to the Issuing Lender and the Administrative Agent such other documents and information pertaining to any requested Letter of Credit issuance, amendment or renewal, including any L/C-Related Documents, as the Issuing Lender or the Administrative Agent may reasonably require. This Agreement shall control in the event of any conflict with any L/C-Related Document (other than any Letter of Credit).</w:t>
      </w:r>
    </w:p>
    <w:p>
      <w:pPr>
        <w:spacing w:after="0" w:line="137" w:lineRule="exact"/>
        <w:rPr>
          <w:rFonts w:ascii="Arial" w:cs="Arial" w:eastAsia="Arial" w:hAnsi="Arial"/>
          <w:sz w:val="20"/>
          <w:szCs w:val="20"/>
          <w:color w:val="auto"/>
        </w:rPr>
      </w:pPr>
    </w:p>
    <w:p>
      <w:pPr>
        <w:jc w:val="both"/>
        <w:ind w:firstLine="1304"/>
        <w:spacing w:after="0" w:line="244" w:lineRule="auto"/>
        <w:tabs>
          <w:tab w:leader="none" w:pos="1725" w:val="left"/>
        </w:tabs>
        <w:numPr>
          <w:ilvl w:val="1"/>
          <w:numId w:val="398"/>
        </w:numPr>
        <w:rPr>
          <w:rFonts w:ascii="Arial" w:cs="Arial" w:eastAsia="Arial" w:hAnsi="Arial"/>
          <w:sz w:val="20"/>
          <w:szCs w:val="20"/>
          <w:color w:val="auto"/>
        </w:rPr>
      </w:pPr>
      <w:r>
        <w:rPr>
          <w:rFonts w:ascii="Arial" w:cs="Arial" w:eastAsia="Arial" w:hAnsi="Arial"/>
          <w:sz w:val="20"/>
          <w:szCs w:val="20"/>
          <w:color w:val="auto"/>
        </w:rPr>
        <w:t xml:space="preserve">Any Letter of Credit Fees otherwise payable for the account of a Defaulting Lender with respect to any Letter of Credit as to which such Defaulting Lender has not provided Cash Collateral satisfactory to the Issuing Lender pursuant to </w:t>
      </w:r>
      <w:r>
        <w:rPr>
          <w:rFonts w:ascii="Arial" w:cs="Arial" w:eastAsia="Arial" w:hAnsi="Arial"/>
          <w:sz w:val="20"/>
          <w:szCs w:val="20"/>
          <w:u w:val="single" w:color="auto"/>
          <w:color w:val="auto"/>
        </w:rPr>
        <w:t>Section 3.10</w:t>
      </w:r>
      <w:r>
        <w:rPr>
          <w:rFonts w:ascii="Arial" w:cs="Arial" w:eastAsia="Arial" w:hAnsi="Arial"/>
          <w:sz w:val="20"/>
          <w:szCs w:val="20"/>
          <w:color w:val="auto"/>
        </w:rPr>
        <w:t xml:space="preserve"> shall be payable, to the maximum extent permitted by applicable law, to the other L/C Lenders in accordance with the upward adjustments in their respective L/C Percentages allocable to such Letter of Credit pursuant to </w:t>
      </w:r>
      <w:r>
        <w:rPr>
          <w:rFonts w:ascii="Arial" w:cs="Arial" w:eastAsia="Arial" w:hAnsi="Arial"/>
          <w:sz w:val="20"/>
          <w:szCs w:val="20"/>
          <w:u w:val="single" w:color="auto"/>
          <w:color w:val="auto"/>
        </w:rPr>
        <w:t>Section 2.24(a)(iv)</w:t>
      </w:r>
      <w:r>
        <w:rPr>
          <w:rFonts w:ascii="Arial" w:cs="Arial" w:eastAsia="Arial" w:hAnsi="Arial"/>
          <w:sz w:val="20"/>
          <w:szCs w:val="20"/>
          <w:color w:val="auto"/>
        </w:rPr>
        <w:t>, with the balance of such fee, if any, payable to the Issuing Lender for its own account.</w:t>
      </w:r>
    </w:p>
    <w:p>
      <w:pPr>
        <w:spacing w:after="0" w:line="140" w:lineRule="exact"/>
        <w:rPr>
          <w:rFonts w:ascii="Arial" w:cs="Arial" w:eastAsia="Arial" w:hAnsi="Arial"/>
          <w:sz w:val="20"/>
          <w:szCs w:val="20"/>
          <w:color w:val="auto"/>
        </w:rPr>
      </w:pPr>
    </w:p>
    <w:p>
      <w:pPr>
        <w:ind w:left="1720" w:hanging="416"/>
        <w:spacing w:after="0"/>
        <w:tabs>
          <w:tab w:leader="none" w:pos="1720" w:val="left"/>
        </w:tabs>
        <w:numPr>
          <w:ilvl w:val="1"/>
          <w:numId w:val="398"/>
        </w:numPr>
        <w:rPr>
          <w:rFonts w:ascii="Arial" w:cs="Arial" w:eastAsia="Arial" w:hAnsi="Arial"/>
          <w:sz w:val="20"/>
          <w:szCs w:val="20"/>
          <w:color w:val="auto"/>
        </w:rPr>
      </w:pPr>
      <w:r>
        <w:rPr>
          <w:rFonts w:ascii="Arial" w:cs="Arial" w:eastAsia="Arial" w:hAnsi="Arial"/>
          <w:sz w:val="20"/>
          <w:szCs w:val="20"/>
          <w:color w:val="auto"/>
        </w:rPr>
        <w:t xml:space="preserve">All fees payable under this </w:t>
      </w:r>
      <w:r>
        <w:rPr>
          <w:rFonts w:ascii="Arial" w:cs="Arial" w:eastAsia="Arial" w:hAnsi="Arial"/>
          <w:sz w:val="20"/>
          <w:szCs w:val="20"/>
          <w:u w:val="single" w:color="auto"/>
          <w:color w:val="auto"/>
        </w:rPr>
        <w:t>Section 3.3</w:t>
      </w:r>
      <w:r>
        <w:rPr>
          <w:rFonts w:ascii="Arial" w:cs="Arial" w:eastAsia="Arial" w:hAnsi="Arial"/>
          <w:sz w:val="20"/>
          <w:szCs w:val="20"/>
          <w:color w:val="auto"/>
        </w:rPr>
        <w:t xml:space="preserve"> shall be fully earned on the date paid and nonrefundable.</w:t>
      </w:r>
    </w:p>
    <w:p>
      <w:pPr>
        <w:spacing w:after="0" w:line="15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3.4</w:t>
      </w:r>
      <w:r>
        <w:rPr>
          <w:sz w:val="20"/>
          <w:szCs w:val="20"/>
          <w:color w:val="auto"/>
        </w:rPr>
        <w:tab/>
      </w:r>
      <w:r>
        <w:rPr>
          <w:rFonts w:ascii="Arial" w:cs="Arial" w:eastAsia="Arial" w:hAnsi="Arial"/>
          <w:sz w:val="18"/>
          <w:szCs w:val="18"/>
          <w:b w:val="1"/>
          <w:bCs w:val="1"/>
          <w:color w:val="auto"/>
        </w:rPr>
        <w:t>L/C Participations; Existing Letters of Credit</w:t>
      </w:r>
      <w:r>
        <w:rPr>
          <w:rFonts w:ascii="Arial" w:cs="Arial" w:eastAsia="Arial" w:hAnsi="Arial"/>
          <w:sz w:val="18"/>
          <w:szCs w:val="18"/>
          <w:color w:val="auto"/>
        </w:rPr>
        <w:t>.</w:t>
      </w:r>
    </w:p>
    <w:p>
      <w:pPr>
        <w:spacing w:after="0" w:line="162" w:lineRule="exact"/>
        <w:rPr>
          <w:sz w:val="20"/>
          <w:szCs w:val="20"/>
          <w:color w:val="auto"/>
        </w:rPr>
      </w:pPr>
    </w:p>
    <w:p>
      <w:pPr>
        <w:jc w:val="both"/>
        <w:ind w:firstLine="1304"/>
        <w:spacing w:after="0" w:line="272" w:lineRule="auto"/>
        <w:tabs>
          <w:tab w:leader="none" w:pos="1794" w:val="left"/>
        </w:tabs>
        <w:numPr>
          <w:ilvl w:val="0"/>
          <w:numId w:val="399"/>
        </w:numPr>
        <w:rPr>
          <w:rFonts w:ascii="Arial" w:cs="Arial" w:eastAsia="Arial" w:hAnsi="Arial"/>
          <w:sz w:val="18"/>
          <w:szCs w:val="18"/>
          <w:color w:val="auto"/>
        </w:rPr>
      </w:pPr>
      <w:r>
        <w:rPr>
          <w:rFonts w:ascii="Arial" w:cs="Arial" w:eastAsia="Arial" w:hAnsi="Arial"/>
          <w:sz w:val="18"/>
          <w:szCs w:val="18"/>
          <w:b w:val="1"/>
          <w:bCs w:val="1"/>
          <w:color w:val="auto"/>
        </w:rPr>
        <w:t>L/C Participations</w:t>
      </w:r>
      <w:r>
        <w:rPr>
          <w:rFonts w:ascii="Arial" w:cs="Arial" w:eastAsia="Arial" w:hAnsi="Arial"/>
          <w:sz w:val="18"/>
          <w:szCs w:val="18"/>
          <w:color w:val="auto"/>
        </w:rPr>
        <w:t>. The Issuing Lender irrevocably agrees to grant and hereby grants to each L/C Lender, and,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induce the Issuing Lender to issue Letters of Credit, each L/C Lender irrevocably agrees to accept and purchase and hereby accepts and purchases from the Issuing Lender, on the terms and conditions set forth below, for such L/C Lender’s own account and risk an undivided interest equal to such L/C Lender’s L/C Percentage in the Issuing Lender’s obligations and rights under and in respect of each Letter of Credit and the amount of each draft paid by the Issuing Lender thereunder. Each L/C Lender agrees with the Issuing Lender that, if a draft is paid under any Letter of Credit for which the Issuing Lender is not reimbursed in full by the Borrower pursuant to </w:t>
      </w:r>
      <w:r>
        <w:rPr>
          <w:rFonts w:ascii="Arial" w:cs="Arial" w:eastAsia="Arial" w:hAnsi="Arial"/>
          <w:sz w:val="18"/>
          <w:szCs w:val="18"/>
          <w:u w:val="single" w:color="auto"/>
          <w:color w:val="auto"/>
        </w:rPr>
        <w:t>Section 3.5(a)</w:t>
      </w:r>
      <w:r>
        <w:rPr>
          <w:rFonts w:ascii="Arial" w:cs="Arial" w:eastAsia="Arial" w:hAnsi="Arial"/>
          <w:sz w:val="18"/>
          <w:szCs w:val="18"/>
          <w:color w:val="auto"/>
        </w:rPr>
        <w:t>, such L/C Lender shall pay to the Issuing Lender upon demand at the Issuing Lender’s address for notices specified herein an amount equal to such L/C Lender’s L/C Percentage of the amount of such draft, or any part thereof, that is not so reimbursed. Each L/C Lender’s obligation to pay such amount shall be absolute and unconditional and shall not be affected by any circumstance, including (i) any setoff, counterclaim, recoupment, defense or other right that such L/C Lender may have against the Issuing</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ectPr>
          <w:pgSz w:w="11900" w:h="16838" w:orient="portrait"/>
          <w:cols w:equalWidth="0" w:num="1">
            <w:col w:w="11240"/>
          </w:cols>
          <w:pgMar w:left="320" w:top="765" w:right="339" w:bottom="1440" w:gutter="0" w:footer="0" w:header="0"/>
        </w:sectPr>
      </w:pPr>
    </w:p>
    <w:bookmarkStart w:id="454" w:name="page455"/>
    <w:bookmarkEnd w:id="454"/>
    <w:p>
      <w:pPr>
        <w:jc w:val="both"/>
        <w:spacing w:after="0" w:line="275" w:lineRule="auto"/>
        <w:rPr>
          <w:sz w:val="20"/>
          <w:szCs w:val="20"/>
          <w:color w:val="auto"/>
        </w:rPr>
      </w:pPr>
      <w:r>
        <w:rPr>
          <w:rFonts w:ascii="Arial" w:cs="Arial" w:eastAsia="Arial" w:hAnsi="Arial"/>
          <w:sz w:val="18"/>
          <w:szCs w:val="18"/>
          <w:color w:val="auto"/>
        </w:rPr>
        <w:t xml:space="preserve">Lender, the Borrower or any other Person for any reason whatsoever, (ii) the occurrence of a Default or an Event of Default or the failure to satisfy any of the other conditions specified in </w:t>
      </w:r>
      <w:r>
        <w:rPr>
          <w:rFonts w:ascii="Arial" w:cs="Arial" w:eastAsia="Arial" w:hAnsi="Arial"/>
          <w:sz w:val="18"/>
          <w:szCs w:val="18"/>
          <w:u w:val="single" w:color="auto"/>
          <w:color w:val="auto"/>
        </w:rPr>
        <w:t>Section 5.2</w:t>
      </w:r>
      <w:r>
        <w:rPr>
          <w:rFonts w:ascii="Arial" w:cs="Arial" w:eastAsia="Arial" w:hAnsi="Arial"/>
          <w:sz w:val="18"/>
          <w:szCs w:val="18"/>
          <w:color w:val="auto"/>
        </w:rPr>
        <w:t>, (iii) any adverse change in the condition (financial or otherwise) of the Borrower,</w:t>
      </w:r>
    </w:p>
    <w:p>
      <w:pPr>
        <w:spacing w:after="0" w:line="1" w:lineRule="exact"/>
        <w:rPr>
          <w:sz w:val="20"/>
          <w:szCs w:val="20"/>
          <w:color w:val="auto"/>
        </w:rPr>
      </w:pPr>
    </w:p>
    <w:p>
      <w:pPr>
        <w:ind w:firstLine="8"/>
        <w:spacing w:after="0" w:line="244" w:lineRule="auto"/>
        <w:tabs>
          <w:tab w:leader="none" w:pos="346" w:val="left"/>
        </w:tabs>
        <w:numPr>
          <w:ilvl w:val="0"/>
          <w:numId w:val="400"/>
        </w:numPr>
        <w:rPr>
          <w:rFonts w:ascii="Arial" w:cs="Arial" w:eastAsia="Arial" w:hAnsi="Arial"/>
          <w:sz w:val="20"/>
          <w:szCs w:val="20"/>
          <w:color w:val="auto"/>
        </w:rPr>
      </w:pPr>
      <w:r>
        <w:rPr>
          <w:rFonts w:ascii="Arial" w:cs="Arial" w:eastAsia="Arial" w:hAnsi="Arial"/>
          <w:sz w:val="20"/>
          <w:szCs w:val="20"/>
          <w:color w:val="auto"/>
        </w:rPr>
        <w:t>any breach of this Agreement or any other Loan Document by the Borrower, any other Loan Party or any other L/C Lender, or (v) any other circumstance, happening or event whatsoever, whether or not similar to any of the foregoing.</w:t>
      </w:r>
    </w:p>
    <w:p>
      <w:pPr>
        <w:spacing w:after="0" w:line="131" w:lineRule="exact"/>
        <w:rPr>
          <w:rFonts w:ascii="Arial" w:cs="Arial" w:eastAsia="Arial" w:hAnsi="Arial"/>
          <w:sz w:val="20"/>
          <w:szCs w:val="20"/>
          <w:color w:val="auto"/>
        </w:rPr>
      </w:pPr>
    </w:p>
    <w:p>
      <w:pPr>
        <w:jc w:val="both"/>
        <w:ind w:firstLine="1304"/>
        <w:spacing w:after="0" w:line="246" w:lineRule="auto"/>
        <w:tabs>
          <w:tab w:leader="none" w:pos="1832" w:val="left"/>
        </w:tabs>
        <w:numPr>
          <w:ilvl w:val="1"/>
          <w:numId w:val="400"/>
        </w:numPr>
        <w:rPr>
          <w:rFonts w:ascii="Arial" w:cs="Arial" w:eastAsia="Arial" w:hAnsi="Arial"/>
          <w:sz w:val="20"/>
          <w:szCs w:val="20"/>
          <w:color w:val="auto"/>
        </w:rPr>
      </w:pPr>
      <w:r>
        <w:rPr>
          <w:rFonts w:ascii="Arial" w:cs="Arial" w:eastAsia="Arial" w:hAnsi="Arial"/>
          <w:sz w:val="20"/>
          <w:szCs w:val="20"/>
          <w:b w:val="1"/>
          <w:bCs w:val="1"/>
          <w:color w:val="auto"/>
        </w:rPr>
        <w:t xml:space="preserve">Existing Letters of Credit. </w:t>
      </w:r>
      <w:r>
        <w:rPr>
          <w:rFonts w:ascii="Arial" w:cs="Arial" w:eastAsia="Arial" w:hAnsi="Arial"/>
          <w:sz w:val="20"/>
          <w:szCs w:val="20"/>
          <w:color w:val="auto"/>
        </w:rPr>
        <w:t>On and after the Closing Date, the Existing Letters of Credit shall be deemed for all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purposes, including for purposes of the fees to be collected pursuant to </w:t>
      </w:r>
      <w:r>
        <w:rPr>
          <w:rFonts w:ascii="Arial" w:cs="Arial" w:eastAsia="Arial" w:hAnsi="Arial"/>
          <w:sz w:val="20"/>
          <w:szCs w:val="20"/>
          <w:u w:val="single" w:color="auto"/>
          <w:color w:val="auto"/>
        </w:rPr>
        <w:t>Sections 3.3(a)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reimbursement of costs and expenses to the extent provided herein and for purposes of being secured by the Collateral, a Letter of Credit outstanding under this Agreement and entitled to the benefits of this Agreement and the other Loan Documents, and shall be governed by the applications and agreements pertaining thereto and by this Agreement (which shall control in the event of a conflict).</w:t>
      </w:r>
    </w:p>
    <w:p>
      <w:pPr>
        <w:spacing w:after="0" w:line="13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3.5</w:t>
      </w:r>
      <w:r>
        <w:rPr>
          <w:sz w:val="20"/>
          <w:szCs w:val="20"/>
          <w:color w:val="auto"/>
        </w:rPr>
        <w:tab/>
      </w:r>
      <w:r>
        <w:rPr>
          <w:rFonts w:ascii="Arial" w:cs="Arial" w:eastAsia="Arial" w:hAnsi="Arial"/>
          <w:sz w:val="16"/>
          <w:szCs w:val="16"/>
          <w:b w:val="1"/>
          <w:bCs w:val="1"/>
          <w:color w:val="auto"/>
        </w:rPr>
        <w:t>Reimbursement</w:t>
      </w:r>
      <w:r>
        <w:rPr>
          <w:rFonts w:ascii="Arial" w:cs="Arial" w:eastAsia="Arial" w:hAnsi="Arial"/>
          <w:sz w:val="16"/>
          <w:szCs w:val="16"/>
          <w:color w:val="auto"/>
        </w:rPr>
        <w:t>.</w:t>
      </w:r>
    </w:p>
    <w:p>
      <w:pPr>
        <w:spacing w:after="0" w:line="168" w:lineRule="exact"/>
        <w:rPr>
          <w:sz w:val="20"/>
          <w:szCs w:val="20"/>
          <w:color w:val="auto"/>
        </w:rPr>
      </w:pPr>
    </w:p>
    <w:p>
      <w:pPr>
        <w:jc w:val="both"/>
        <w:ind w:firstLine="1304"/>
        <w:spacing w:after="0" w:line="269" w:lineRule="auto"/>
        <w:tabs>
          <w:tab w:leader="none" w:pos="1738" w:val="left"/>
        </w:tabs>
        <w:numPr>
          <w:ilvl w:val="0"/>
          <w:numId w:val="401"/>
        </w:numPr>
        <w:rPr>
          <w:rFonts w:ascii="Arial" w:cs="Arial" w:eastAsia="Arial" w:hAnsi="Arial"/>
          <w:sz w:val="18"/>
          <w:szCs w:val="18"/>
          <w:color w:val="auto"/>
        </w:rPr>
      </w:pPr>
      <w:r>
        <w:rPr>
          <w:rFonts w:ascii="Arial" w:cs="Arial" w:eastAsia="Arial" w:hAnsi="Arial"/>
          <w:sz w:val="18"/>
          <w:szCs w:val="18"/>
          <w:color w:val="auto"/>
        </w:rPr>
        <w:t xml:space="preserve">If the Issuing Lender shall make any L/C Disbursement in respect of a Letter of Credit, the Issuing Lender shall notify the Borrower and the Administrative Agent thereof and the Borrower shall pay or cause to be paid to the Issuing Lender an amount equal to the entire amount of such L/C Disbursement not later than the immediately following Business Day. In the case of a Letter of Credit denominated in an Alternative Currency, the Borrower shall reimburse the Issuing Lender in such Alternative Currency, unless (A) the Issuing Lender (at its option) shall have specified in such notice that it will require reimbursement in Dollars, or (B) in the absence of any such requirement for reimbursement in Dollars, the Borrower shall have notified the Issuing Lender promptly following receipt of the notice of drawing that the Borrower will reimburse the Issuing Lender in Dollars. In the case of any such reimbursement in Dollars of a drawing under a Letter of Credit denominated in an Alternative Currency, the Issuing Lender shall notify the Borrower of the Dollar Equivalent of the amount of the drawing promptly following the determination thereof. In the event that a drawing denominated in an Alternative Currency is to be reimbursed in Dollars and the Dollar amount paid by the Borrower shall not be adequate on the date of that payment to purchase in accordance with normal banking procedures a sum denominated in the Alternative Currency equal to the drawing, the Borrower agrees, as a separate and independent obligation, to indemnify the Issuing Lender for the loss resulting from its inability on that date to purchase the Alternative Currency in the full amount of the drawing. Each such payment shall be made to the Issuing Lender at its address for notices referred to herein in Same Day Funds;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Borrower may, subject to the satisfaction of the conditions to borrowing set forth herein, request in accordance with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2.7(a)</w:t>
      </w:r>
      <w:r>
        <w:rPr>
          <w:rFonts w:ascii="Arial" w:cs="Arial" w:eastAsia="Arial" w:hAnsi="Arial"/>
          <w:sz w:val="18"/>
          <w:szCs w:val="18"/>
          <w:color w:val="auto"/>
        </w:rPr>
        <w:t xml:space="preserve"> that such payment be financed with a Revolving Loan or a Swingline Loan, as applicable, in an equivalent amount and, to the extent so financed, the Borrower’s obligations to make such payment shall be discharged and replaced by the resulting Revolving Loan or Swingline Loan.</w:t>
      </w:r>
    </w:p>
    <w:p>
      <w:pPr>
        <w:spacing w:after="0" w:line="119" w:lineRule="exact"/>
        <w:rPr>
          <w:rFonts w:ascii="Arial" w:cs="Arial" w:eastAsia="Arial" w:hAnsi="Arial"/>
          <w:sz w:val="18"/>
          <w:szCs w:val="18"/>
          <w:color w:val="auto"/>
        </w:rPr>
      </w:pPr>
    </w:p>
    <w:p>
      <w:pPr>
        <w:jc w:val="both"/>
        <w:ind w:firstLine="1304"/>
        <w:spacing w:after="0" w:line="255" w:lineRule="auto"/>
        <w:tabs>
          <w:tab w:leader="none" w:pos="1794" w:val="left"/>
        </w:tabs>
        <w:numPr>
          <w:ilvl w:val="0"/>
          <w:numId w:val="401"/>
        </w:numPr>
        <w:rPr>
          <w:rFonts w:ascii="Arial" w:cs="Arial" w:eastAsia="Arial" w:hAnsi="Arial"/>
          <w:sz w:val="19"/>
          <w:szCs w:val="19"/>
          <w:color w:val="auto"/>
        </w:rPr>
      </w:pPr>
      <w:r>
        <w:rPr>
          <w:rFonts w:ascii="Arial" w:cs="Arial" w:eastAsia="Arial" w:hAnsi="Arial"/>
          <w:sz w:val="19"/>
          <w:szCs w:val="19"/>
          <w:color w:val="auto"/>
        </w:rPr>
        <w:t xml:space="preserve">If the Issuing Lender shall not have received from the Borrower the payment that it is required to make pursuant to </w:t>
      </w:r>
      <w:r>
        <w:rPr>
          <w:rFonts w:ascii="Arial" w:cs="Arial" w:eastAsia="Arial" w:hAnsi="Arial"/>
          <w:sz w:val="19"/>
          <w:szCs w:val="19"/>
          <w:u w:val="single" w:color="auto"/>
          <w:color w:val="auto"/>
        </w:rPr>
        <w:t>Section 3.5(a)</w:t>
      </w:r>
      <w:r>
        <w:rPr>
          <w:rFonts w:ascii="Arial" w:cs="Arial" w:eastAsia="Arial" w:hAnsi="Arial"/>
          <w:sz w:val="19"/>
          <w:szCs w:val="19"/>
          <w:color w:val="auto"/>
        </w:rPr>
        <w:t xml:space="preserve"> with respect to a Letter of Credit within the time specified in such Section, the Issuing Lender will promptly notify the Administrative Agent of the L/C Disbursement and the Administrative Agent will promptly notify each L/C Lender of such L/C Disbursement and its L/C Percentage thereof, and each L/C Lender shall pay to the Issuing Lender upon demand at the Issuing Lender’s address for notices specified herein an amount equal to such L/C Lender’s L/C Percentage of such L/C Disbursement (expressed in Dollars in the amount of the Dollar Equivalent thereof in the case of a Letter of Credit denominated in an Alternative Currency) (and the Administrative Agent may apply Cash Collateral provided for this purpose); upon such payment pursuant to this paragraph to reimburse the Issuing Lender for any L/C Disbursement, the Borrower shall be required to reimburse the L/C Lenders for such payments (including interest accrued thereon from the date of such payment until the date of such reimbursement at the rate applicable to Revolving Loans that are ABR Loans plus 2% per annum) on demand;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if at the time of and after giving effect to such payment by the L/C Lenders, the conditions to borrowings and Revolving Loan Conversions set forth in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are satisfied, the Borrower may, by written notice to the Administrative Agent certifying that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ectPr>
          <w:pgSz w:w="11900" w:h="16838" w:orient="portrait"/>
          <w:cols w:equalWidth="0" w:num="1">
            <w:col w:w="11240"/>
          </w:cols>
          <w:pgMar w:left="320" w:top="771" w:right="339" w:bottom="1440" w:gutter="0" w:footer="0" w:header="0"/>
        </w:sectPr>
      </w:pPr>
    </w:p>
    <w:bookmarkStart w:id="455" w:name="page456"/>
    <w:bookmarkEnd w:id="455"/>
    <w:p>
      <w:pPr>
        <w:jc w:val="both"/>
        <w:spacing w:after="0" w:line="274" w:lineRule="auto"/>
        <w:rPr>
          <w:sz w:val="20"/>
          <w:szCs w:val="20"/>
          <w:color w:val="auto"/>
        </w:rPr>
      </w:pPr>
      <w:r>
        <w:rPr>
          <w:rFonts w:ascii="Arial" w:cs="Arial" w:eastAsia="Arial" w:hAnsi="Arial"/>
          <w:sz w:val="18"/>
          <w:szCs w:val="18"/>
          <w:color w:val="auto"/>
        </w:rPr>
        <w:t>such conditions are satisfied and that all interest owing under this paragraph has been paid, request that such payments by the L/C Lenders be converted into Revolving Loans (a “</w:t>
      </w:r>
      <w:r>
        <w:rPr>
          <w:rFonts w:ascii="Arial" w:cs="Arial" w:eastAsia="Arial" w:hAnsi="Arial"/>
          <w:sz w:val="18"/>
          <w:szCs w:val="18"/>
          <w:b w:val="1"/>
          <w:bCs w:val="1"/>
          <w:i w:val="1"/>
          <w:iCs w:val="1"/>
          <w:color w:val="auto"/>
        </w:rPr>
        <w:t>Revolving Loan Conversion</w:t>
      </w:r>
      <w:r>
        <w:rPr>
          <w:rFonts w:ascii="Arial" w:cs="Arial" w:eastAsia="Arial" w:hAnsi="Arial"/>
          <w:sz w:val="18"/>
          <w:szCs w:val="18"/>
          <w:color w:val="auto"/>
        </w:rPr>
        <w:t xml:space="preserve">”), in which case, if such conditions are in fact satisfied, the L/C Lenders shall be deemed to have extended, and the Borrower shall be deemed to have accepted, a Revolving Loan in the aggregate principal amount of such payment without further action on the part of any party, and the Total L/C Commitments shall be permanently reduced by such amount; any amount so paid pursuant to this paragraph shall, on and after the payment date thereof, be deemed to be Revolving Loans for all purposes hereunder;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Issuing Lender, at its option, may effectuate a Revolving Loan Conversion regardless of whether the conditions to borrowings and Revolving Loan Conversions set forth in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are satisfied.</w:t>
      </w:r>
    </w:p>
    <w:p>
      <w:pPr>
        <w:spacing w:after="0" w:line="1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b w:val="1"/>
          <w:bCs w:val="1"/>
          <w:color w:val="auto"/>
        </w:rPr>
        <w:t>3.6 Obligations Absolute</w:t>
      </w:r>
      <w:r>
        <w:rPr>
          <w:rFonts w:ascii="Arial" w:cs="Arial" w:eastAsia="Arial" w:hAnsi="Arial"/>
          <w:sz w:val="19"/>
          <w:szCs w:val="19"/>
          <w:color w:val="auto"/>
        </w:rPr>
        <w:t>. The Borrower’s obligations under this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3</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absolute and unconditional under any and all</w:t>
      </w:r>
      <w:r>
        <w:rPr>
          <w:rFonts w:ascii="Arial" w:cs="Arial" w:eastAsia="Arial" w:hAnsi="Arial"/>
          <w:sz w:val="19"/>
          <w:szCs w:val="19"/>
          <w:b w:val="1"/>
          <w:bCs w:val="1"/>
          <w:color w:val="auto"/>
        </w:rPr>
        <w:t xml:space="preserve"> </w:t>
      </w:r>
      <w:r>
        <w:rPr>
          <w:rFonts w:ascii="Arial" w:cs="Arial" w:eastAsia="Arial" w:hAnsi="Arial"/>
          <w:sz w:val="19"/>
          <w:szCs w:val="19"/>
          <w:color w:val="auto"/>
        </w:rPr>
        <w:t>circumstances and irrespective of any setoff, counterclaim or defense to payment that the Borrower may have or have had against the Issuing Lender, any beneficiary of a Letter of Credit or any other Person. The Borrower also agrees with the Issuing Lender that the Issuing Lender shall not be responsible for, and the Borrower’s obligations hereunder shall not be affected by, among other things, the validity or genuineness of documents or of any endorsements thereon, even though such documents shall in fact prove to be invalid, fraudulent or forged, or any dispute between or among the Borrower and any beneficiary of any Letter of Credit or any other party to which such Letter of Credit may be transferred or any claims whatsoever of the Borrower against any beneficiary of such Letter of Credit or any such transferee. The Issuing Lender shall not be liable for any error, omission, interruption or delay in transmission, dispatch or delivery of any message or advice, however transmitted, in connection with any Letter of Credit, except for errors or omissions found by a final and nonappealable decision of a court of competent jurisdiction to have resulted from the gross negligence or willful misconduct of the Issuing Lender. The Borrower’s obligation under this Section 3 shall not be impacted by any adverse change in the relevant exchange rates or in the availability of the relevant Alternative Currency to the Borrower or any Subsidiary or in the relevant currency markets generally. The Borrower agrees that any action taken or omitted by the Issuing Lender under or in connection with any Letter of Credit or the related drafts or documents, if done in the absence of gross negligence or willful misconduct, shall be binding on the Borrower and shall not result in any liability of the Issuing Lender to the Borrower.</w:t>
      </w:r>
    </w:p>
    <w:p>
      <w:pPr>
        <w:spacing w:after="0" w:line="128"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8"/>
          <w:szCs w:val="18"/>
          <w:color w:val="auto"/>
        </w:rPr>
        <w:t>In addition to amounts payable as elsewhere provided in the Agreement, the Borrower hereby agrees to pay and to protect, indemnify, and save Issuing Lender harmless from and against any and all claims, demands, liabilities, damages, losses, costs, charges and expenses (including reasonable attorneys’ fees) that the Issuing Lender may incur or be subject to as a consequence, direct or indirect, of (a) the issuance of any Letter of Credit, or (b) the failure of Issuing Lender or of any L/C Lender to honor a demand for payment under any Letter of Credit as a result of any act or omission, whether rightful or wrongful, of any present or future de jure or de facto government or Governmental Authority, in each case other than to the extent solely as a result of the gross negligence or willful misconduct of Issuing Lender or such L/C Lender (as finally determined by a court of competent jurisdiction).</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ectPr>
          <w:pgSz w:w="11900" w:h="16838" w:orient="portrait"/>
          <w:cols w:equalWidth="0" w:num="1">
            <w:col w:w="11240"/>
          </w:cols>
          <w:pgMar w:left="320" w:top="771" w:right="339" w:bottom="1440" w:gutter="0" w:footer="0" w:header="0"/>
        </w:sectPr>
      </w:pPr>
    </w:p>
    <w:bookmarkStart w:id="456" w:name="page457"/>
    <w:bookmarkEnd w:id="456"/>
    <w:p>
      <w:pPr>
        <w:jc w:val="both"/>
        <w:ind w:firstLine="648"/>
        <w:spacing w:after="0" w:line="262" w:lineRule="auto"/>
        <w:rPr>
          <w:sz w:val="20"/>
          <w:szCs w:val="20"/>
          <w:color w:val="auto"/>
        </w:rPr>
      </w:pPr>
      <w:r>
        <w:rPr>
          <w:rFonts w:ascii="Arial" w:cs="Arial" w:eastAsia="Arial" w:hAnsi="Arial"/>
          <w:sz w:val="19"/>
          <w:szCs w:val="19"/>
          <w:b w:val="1"/>
          <w:bCs w:val="1"/>
          <w:color w:val="auto"/>
        </w:rPr>
        <w:t>3.7 Letter of Credit Payments</w:t>
      </w:r>
      <w:r>
        <w:rPr>
          <w:rFonts w:ascii="Arial" w:cs="Arial" w:eastAsia="Arial" w:hAnsi="Arial"/>
          <w:sz w:val="19"/>
          <w:szCs w:val="19"/>
          <w:color w:val="auto"/>
        </w:rPr>
        <w:t>. If any draft shall be presented for payment under any Letter of Credit, the Issuing Lender shall</w:t>
      </w:r>
      <w:r>
        <w:rPr>
          <w:rFonts w:ascii="Arial" w:cs="Arial" w:eastAsia="Arial" w:hAnsi="Arial"/>
          <w:sz w:val="19"/>
          <w:szCs w:val="19"/>
          <w:b w:val="1"/>
          <w:bCs w:val="1"/>
          <w:color w:val="auto"/>
        </w:rPr>
        <w:t xml:space="preserve"> </w:t>
      </w:r>
      <w:r>
        <w:rPr>
          <w:rFonts w:ascii="Arial" w:cs="Arial" w:eastAsia="Arial" w:hAnsi="Arial"/>
          <w:sz w:val="19"/>
          <w:szCs w:val="19"/>
          <w:color w:val="auto"/>
        </w:rPr>
        <w:t>promptly notify the Borrower and the Administrative Agent of the date and amount thereof. The responsibility of the Issuing Lender to the Borrower in connection with any draft presented for payment under any Letter of Credit shall, in addition to any payment obligation expressly provided for in such Letter of Credit, be limited to determining that the documents (including each draft) delivered under such Letter of Credit in connection with such presentment are substantially in conformity with such Letter of Credit.</w:t>
      </w:r>
    </w:p>
    <w:p>
      <w:pPr>
        <w:spacing w:after="0" w:line="11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3.8 Applications</w:t>
      </w:r>
      <w:r>
        <w:rPr>
          <w:rFonts w:ascii="Arial" w:cs="Arial" w:eastAsia="Arial" w:hAnsi="Arial"/>
          <w:sz w:val="20"/>
          <w:szCs w:val="20"/>
          <w:color w:val="auto"/>
        </w:rPr>
        <w:t>. To the extent that any provision of any Application related to any Letter of Credit is inconsistent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provisions of this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the provisions of this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shall apply.</w:t>
      </w:r>
    </w:p>
    <w:p>
      <w:pPr>
        <w:spacing w:after="0" w:line="10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color w:val="auto"/>
        </w:rPr>
        <w:t>3.9 Interim Interest</w:t>
      </w:r>
      <w:r>
        <w:rPr>
          <w:rFonts w:ascii="Arial" w:cs="Arial" w:eastAsia="Arial" w:hAnsi="Arial"/>
          <w:sz w:val="20"/>
          <w:szCs w:val="20"/>
          <w:color w:val="auto"/>
        </w:rPr>
        <w:t>. If the Issuing Lender shall make any L/C Disbursement in respect of a Letter of Credit, then, unless either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Borrower shall have reimbursed such L/C Disbursement in full within the time period specified in </w:t>
      </w:r>
      <w:r>
        <w:rPr>
          <w:rFonts w:ascii="Arial" w:cs="Arial" w:eastAsia="Arial" w:hAnsi="Arial"/>
          <w:sz w:val="20"/>
          <w:szCs w:val="20"/>
          <w:u w:val="single" w:color="auto"/>
          <w:color w:val="auto"/>
        </w:rPr>
        <w:t>Section 3.5(a)</w:t>
      </w:r>
      <w:r>
        <w:rPr>
          <w:rFonts w:ascii="Arial" w:cs="Arial" w:eastAsia="Arial" w:hAnsi="Arial"/>
          <w:sz w:val="20"/>
          <w:szCs w:val="20"/>
          <w:color w:val="auto"/>
        </w:rPr>
        <w:t xml:space="preserve"> or the L/C Lenders shall have reimbursed such L/C Disbursement in full on such date as provided in </w:t>
      </w:r>
      <w:r>
        <w:rPr>
          <w:rFonts w:ascii="Arial" w:cs="Arial" w:eastAsia="Arial" w:hAnsi="Arial"/>
          <w:sz w:val="20"/>
          <w:szCs w:val="20"/>
          <w:u w:val="single" w:color="auto"/>
          <w:color w:val="auto"/>
        </w:rPr>
        <w:t>Section 3.5(b)</w:t>
      </w:r>
      <w:r>
        <w:rPr>
          <w:rFonts w:ascii="Arial" w:cs="Arial" w:eastAsia="Arial" w:hAnsi="Arial"/>
          <w:sz w:val="20"/>
          <w:szCs w:val="20"/>
          <w:color w:val="auto"/>
        </w:rPr>
        <w:t xml:space="preserve">, in each case the Dollar Equivalent of the unpaid amount thereof shall bear interest for the account of the Issuing Lender, for each day from and including the date of such L/C Disbursement to but excluding the date of payment by the Borrower, at the rate per annum that would apply to such amount if such amount were a Revolving Loan that is an ABR Loan;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the provisions of </w:t>
      </w:r>
      <w:r>
        <w:rPr>
          <w:rFonts w:ascii="Arial" w:cs="Arial" w:eastAsia="Arial" w:hAnsi="Arial"/>
          <w:sz w:val="20"/>
          <w:szCs w:val="20"/>
          <w:u w:val="single" w:color="auto"/>
          <w:color w:val="auto"/>
        </w:rPr>
        <w:t>Section 2.15(c)</w:t>
      </w:r>
      <w:r>
        <w:rPr>
          <w:rFonts w:ascii="Arial" w:cs="Arial" w:eastAsia="Arial" w:hAnsi="Arial"/>
          <w:sz w:val="20"/>
          <w:szCs w:val="20"/>
          <w:color w:val="auto"/>
        </w:rPr>
        <w:t xml:space="preserve"> shall be applicable to any such amounts not paid when due.</w:t>
      </w:r>
    </w:p>
    <w:p>
      <w:pPr>
        <w:spacing w:after="0" w:line="13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3.10</w:t>
      </w:r>
      <w:r>
        <w:rPr>
          <w:sz w:val="20"/>
          <w:szCs w:val="20"/>
          <w:color w:val="auto"/>
        </w:rPr>
        <w:tab/>
      </w:r>
      <w:r>
        <w:rPr>
          <w:rFonts w:ascii="Arial" w:cs="Arial" w:eastAsia="Arial" w:hAnsi="Arial"/>
          <w:sz w:val="18"/>
          <w:szCs w:val="18"/>
          <w:b w:val="1"/>
          <w:bCs w:val="1"/>
          <w:color w:val="auto"/>
        </w:rPr>
        <w:t>Cash Collateral.</w:t>
      </w:r>
    </w:p>
    <w:p>
      <w:pPr>
        <w:spacing w:after="0" w:line="168" w:lineRule="exact"/>
        <w:rPr>
          <w:sz w:val="20"/>
          <w:szCs w:val="20"/>
          <w:color w:val="auto"/>
        </w:rPr>
      </w:pPr>
    </w:p>
    <w:p>
      <w:pPr>
        <w:jc w:val="both"/>
        <w:ind w:firstLine="1304"/>
        <w:spacing w:after="0" w:line="272" w:lineRule="auto"/>
        <w:tabs>
          <w:tab w:leader="none" w:pos="1767" w:val="left"/>
        </w:tabs>
        <w:numPr>
          <w:ilvl w:val="1"/>
          <w:numId w:val="402"/>
        </w:numPr>
        <w:rPr>
          <w:rFonts w:ascii="Arial" w:cs="Arial" w:eastAsia="Arial" w:hAnsi="Arial"/>
          <w:sz w:val="18"/>
          <w:szCs w:val="18"/>
          <w:color w:val="auto"/>
        </w:rPr>
      </w:pPr>
      <w:r>
        <w:rPr>
          <w:rFonts w:ascii="Arial" w:cs="Arial" w:eastAsia="Arial" w:hAnsi="Arial"/>
          <w:sz w:val="18"/>
          <w:szCs w:val="18"/>
          <w:u w:val="single" w:color="auto"/>
          <w:color w:val="auto"/>
        </w:rPr>
        <w:t>Certain Credit Support Events</w:t>
      </w:r>
      <w:r>
        <w:rPr>
          <w:rFonts w:ascii="Arial" w:cs="Arial" w:eastAsia="Arial" w:hAnsi="Arial"/>
          <w:sz w:val="18"/>
          <w:szCs w:val="18"/>
          <w:color w:val="auto"/>
        </w:rPr>
        <w:t xml:space="preserve">. Upon the request of the Administrative Agent or the Issuing Lender (i) if the Issuing Lender has honored any full or partial drawing request under any Letter of Credit and such drawing has resulted in an L/C Advance by all the L/C Lenders that is not reimbursed by the Borrower or converted into a Revolving Loan or Swingline Loan pursuant to </w:t>
      </w:r>
      <w:r>
        <w:rPr>
          <w:rFonts w:ascii="Arial" w:cs="Arial" w:eastAsia="Arial" w:hAnsi="Arial"/>
          <w:sz w:val="18"/>
          <w:szCs w:val="18"/>
          <w:u w:val="single" w:color="auto"/>
          <w:color w:val="auto"/>
        </w:rPr>
        <w:t>Section 3.5(b)</w:t>
      </w:r>
      <w:r>
        <w:rPr>
          <w:rFonts w:ascii="Arial" w:cs="Arial" w:eastAsia="Arial" w:hAnsi="Arial"/>
          <w:sz w:val="18"/>
          <w:szCs w:val="18"/>
          <w:color w:val="auto"/>
        </w:rPr>
        <w:t>, or</w:t>
      </w:r>
    </w:p>
    <w:p>
      <w:pPr>
        <w:jc w:val="both"/>
        <w:ind w:firstLine="8"/>
        <w:spacing w:after="0" w:line="241" w:lineRule="auto"/>
        <w:tabs>
          <w:tab w:leader="none" w:pos="315" w:val="left"/>
        </w:tabs>
        <w:numPr>
          <w:ilvl w:val="0"/>
          <w:numId w:val="403"/>
        </w:numPr>
        <w:rPr>
          <w:rFonts w:ascii="Arial" w:cs="Arial" w:eastAsia="Arial" w:hAnsi="Arial"/>
          <w:sz w:val="20"/>
          <w:szCs w:val="20"/>
          <w:color w:val="auto"/>
        </w:rPr>
      </w:pPr>
      <w:r>
        <w:rPr>
          <w:rFonts w:ascii="Arial" w:cs="Arial" w:eastAsia="Arial" w:hAnsi="Arial"/>
          <w:sz w:val="20"/>
          <w:szCs w:val="20"/>
          <w:color w:val="auto"/>
        </w:rPr>
        <w:t>if, as of the Letter of Credit Maturity Date, any L/C Exposure for any reason remains outstanding, the Borrower shall, in each case, immediately Cash Collateralize the then effective L/C Exposure in an amount equal to 105% (110% in the case of a Letter of Credit denominated in an Alternative Currency) of such L/C Exposure.</w:t>
      </w:r>
    </w:p>
    <w:p>
      <w:pPr>
        <w:spacing w:after="0" w:line="14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At any time that there shall exist a Defaulting Lender, within 1 Business Day following the request of the Administrative Agent or the Issuing Lender (with a copy to the Administrative Agent), the Borrower shall deliver to the Administrative Agent Cash Collateral in an amount sufficient to cover 105% (110% in the case of a Letter of Credit denominated in an Alternative Currency) of the Fronting Exposure relating to the Letters of Credit (after giving effect to </w:t>
      </w:r>
      <w:r>
        <w:rPr>
          <w:rFonts w:ascii="Arial" w:cs="Arial" w:eastAsia="Arial" w:hAnsi="Arial"/>
          <w:sz w:val="18"/>
          <w:szCs w:val="18"/>
          <w:u w:val="single" w:color="auto"/>
          <w:color w:val="auto"/>
        </w:rPr>
        <w:t>Section 2.24(a)(iv)</w:t>
      </w:r>
      <w:r>
        <w:rPr>
          <w:rFonts w:ascii="Arial" w:cs="Arial" w:eastAsia="Arial" w:hAnsi="Arial"/>
          <w:sz w:val="18"/>
          <w:szCs w:val="18"/>
          <w:color w:val="auto"/>
        </w:rPr>
        <w:t xml:space="preserve"> and any Cash Collateral provided by such Defaulting Lender).</w:t>
      </w:r>
    </w:p>
    <w:p>
      <w:pPr>
        <w:spacing w:after="0" w:line="107" w:lineRule="exact"/>
        <w:rPr>
          <w:sz w:val="20"/>
          <w:szCs w:val="20"/>
          <w:color w:val="auto"/>
        </w:rPr>
      </w:pPr>
    </w:p>
    <w:p>
      <w:pPr>
        <w:jc w:val="both"/>
        <w:ind w:firstLine="1304"/>
        <w:spacing w:after="0" w:line="271" w:lineRule="auto"/>
        <w:tabs>
          <w:tab w:leader="none" w:pos="1738" w:val="left"/>
        </w:tabs>
        <w:numPr>
          <w:ilvl w:val="0"/>
          <w:numId w:val="404"/>
        </w:numPr>
        <w:rPr>
          <w:rFonts w:ascii="Arial" w:cs="Arial" w:eastAsia="Arial" w:hAnsi="Arial"/>
          <w:sz w:val="18"/>
          <w:szCs w:val="18"/>
          <w:color w:val="auto"/>
        </w:rPr>
      </w:pPr>
      <w:r>
        <w:rPr>
          <w:rFonts w:ascii="Arial" w:cs="Arial" w:eastAsia="Arial" w:hAnsi="Arial"/>
          <w:sz w:val="18"/>
          <w:szCs w:val="18"/>
          <w:u w:val="single" w:color="auto"/>
          <w:color w:val="auto"/>
        </w:rPr>
        <w:t>Grant of Security Interest</w:t>
      </w:r>
      <w:r>
        <w:rPr>
          <w:rFonts w:ascii="Arial" w:cs="Arial" w:eastAsia="Arial" w:hAnsi="Arial"/>
          <w:sz w:val="18"/>
          <w:szCs w:val="18"/>
          <w:color w:val="auto"/>
        </w:rPr>
        <w:t xml:space="preserve">. All Cash Collateral (other than credit support not constituting funds subject to deposit) shall be maintained in blocked, non-interest bearing deposit accounts with the Administrative Agent. The Borrower, and to the extent provided by any Lender or Defaulting Lender, such Lender or Defaulting Lender, hereby grants to (and subjects to the control of) the Administrative Agent, for the benefit of the Administrative Agent, the Issuing Lender and the L/C Lenders, and agrees to maintain, a first priority security interest and Lien in all such Cash Collateral and in all proceeds thereof, as security for the Obligations to which such Cash Collateral may be applied pursuant to </w:t>
      </w:r>
      <w:r>
        <w:rPr>
          <w:rFonts w:ascii="Arial" w:cs="Arial" w:eastAsia="Arial" w:hAnsi="Arial"/>
          <w:sz w:val="18"/>
          <w:szCs w:val="18"/>
          <w:u w:val="single" w:color="auto"/>
          <w:color w:val="auto"/>
        </w:rPr>
        <w:t>Section 3.10(c)</w:t>
      </w:r>
      <w:r>
        <w:rPr>
          <w:rFonts w:ascii="Arial" w:cs="Arial" w:eastAsia="Arial" w:hAnsi="Arial"/>
          <w:sz w:val="18"/>
          <w:szCs w:val="18"/>
          <w:color w:val="auto"/>
        </w:rPr>
        <w:t>. If at any time the Administrative Agent determines that Cash Collateral is subject to any right or claim of any Person other than the Administrative Agent or any Issuing Lender as herein provided, or that the total amount of such Cash Collateral is less than 105% (110% in the case of a Letter of Credit denominated in an Alternative Currency) of the applicable L/C Exposure, Fronting Exposure and other Obligations secured thereby, the Borrower or the relevant Lender or Defaulting Lender, as applicable, will, promptly upon demand by the Administrative Agent, pay or provide to the Administrative Agent additional Cash Collateral in an amount sufficient to eliminate such deficiency (after giving effect to any Cash Collateral provided by such Defaulting Lender).</w:t>
      </w:r>
    </w:p>
    <w:p>
      <w:pPr>
        <w:spacing w:after="0" w:line="115" w:lineRule="exact"/>
        <w:rPr>
          <w:rFonts w:ascii="Arial" w:cs="Arial" w:eastAsia="Arial" w:hAnsi="Arial"/>
          <w:sz w:val="18"/>
          <w:szCs w:val="18"/>
          <w:color w:val="auto"/>
        </w:rPr>
      </w:pPr>
    </w:p>
    <w:p>
      <w:pPr>
        <w:ind w:right="20" w:firstLine="1304"/>
        <w:spacing w:after="0" w:line="260" w:lineRule="auto"/>
        <w:tabs>
          <w:tab w:leader="none" w:pos="1713" w:val="left"/>
        </w:tabs>
        <w:numPr>
          <w:ilvl w:val="0"/>
          <w:numId w:val="404"/>
        </w:numPr>
        <w:rPr>
          <w:rFonts w:ascii="Arial" w:cs="Arial" w:eastAsia="Arial" w:hAnsi="Arial"/>
          <w:sz w:val="20"/>
          <w:szCs w:val="20"/>
          <w:color w:val="auto"/>
        </w:rPr>
      </w:pPr>
      <w:r>
        <w:rPr>
          <w:rFonts w:ascii="Arial" w:cs="Arial" w:eastAsia="Arial" w:hAnsi="Arial"/>
          <w:sz w:val="20"/>
          <w:szCs w:val="20"/>
          <w:u w:val="single" w:color="auto"/>
          <w:color w:val="auto"/>
        </w:rPr>
        <w:t>Application</w:t>
      </w:r>
      <w:r>
        <w:rPr>
          <w:rFonts w:ascii="Arial" w:cs="Arial" w:eastAsia="Arial" w:hAnsi="Arial"/>
          <w:sz w:val="20"/>
          <w:szCs w:val="20"/>
          <w:color w:val="auto"/>
        </w:rPr>
        <w:t xml:space="preserve">. Notwithstanding anything to the contrary contained in this Agreement, Cash Collateral provided under any of this </w:t>
      </w:r>
      <w:r>
        <w:rPr>
          <w:rFonts w:ascii="Arial" w:cs="Arial" w:eastAsia="Arial" w:hAnsi="Arial"/>
          <w:sz w:val="20"/>
          <w:szCs w:val="20"/>
          <w:u w:val="single" w:color="auto"/>
          <w:color w:val="auto"/>
        </w:rPr>
        <w:t>Section 3.10</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2.24</w:t>
      </w:r>
      <w:r>
        <w:rPr>
          <w:rFonts w:ascii="Arial" w:cs="Arial" w:eastAsia="Arial" w:hAnsi="Arial"/>
          <w:sz w:val="20"/>
          <w:szCs w:val="20"/>
          <w:color w:val="auto"/>
        </w:rPr>
        <w:t xml:space="preserve"> or otherwise in respect</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ectPr>
          <w:pgSz w:w="11900" w:h="16838" w:orient="portrait"/>
          <w:cols w:equalWidth="0" w:num="1">
            <w:col w:w="11240"/>
          </w:cols>
          <w:pgMar w:left="320" w:top="765" w:right="339" w:bottom="1440" w:gutter="0" w:footer="0" w:header="0"/>
        </w:sectPr>
      </w:pPr>
    </w:p>
    <w:bookmarkStart w:id="457" w:name="page458"/>
    <w:bookmarkEnd w:id="457"/>
    <w:p>
      <w:pPr>
        <w:jc w:val="both"/>
        <w:spacing w:after="0" w:line="269" w:lineRule="auto"/>
        <w:rPr>
          <w:sz w:val="20"/>
          <w:szCs w:val="20"/>
          <w:color w:val="auto"/>
        </w:rPr>
      </w:pPr>
      <w:r>
        <w:rPr>
          <w:rFonts w:ascii="Arial" w:cs="Arial" w:eastAsia="Arial" w:hAnsi="Arial"/>
          <w:sz w:val="19"/>
          <w:szCs w:val="19"/>
          <w:color w:val="auto"/>
        </w:rPr>
        <w:t>of Letters of Credit shall be held and applied to the satisfaction of the specific L/C Exposure,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16" w:lineRule="exact"/>
        <w:rPr>
          <w:sz w:val="20"/>
          <w:szCs w:val="20"/>
          <w:color w:val="auto"/>
        </w:rPr>
      </w:pPr>
    </w:p>
    <w:p>
      <w:pPr>
        <w:jc w:val="both"/>
        <w:ind w:firstLine="1304"/>
        <w:spacing w:after="0" w:line="255" w:lineRule="auto"/>
        <w:tabs>
          <w:tab w:leader="none" w:pos="1724" w:val="left"/>
        </w:tabs>
        <w:numPr>
          <w:ilvl w:val="0"/>
          <w:numId w:val="405"/>
        </w:numPr>
        <w:rPr>
          <w:rFonts w:ascii="Arial" w:cs="Arial" w:eastAsia="Arial" w:hAnsi="Arial"/>
          <w:sz w:val="19"/>
          <w:szCs w:val="19"/>
          <w:color w:val="auto"/>
        </w:rPr>
      </w:pPr>
      <w:r>
        <w:rPr>
          <w:rFonts w:ascii="Arial" w:cs="Arial" w:eastAsia="Arial" w:hAnsi="Arial"/>
          <w:sz w:val="19"/>
          <w:szCs w:val="19"/>
          <w:u w:val="single" w:color="auto"/>
          <w:color w:val="auto"/>
        </w:rPr>
        <w:t>Termination of Requirement</w:t>
      </w:r>
      <w:r>
        <w:rPr>
          <w:rFonts w:ascii="Arial" w:cs="Arial" w:eastAsia="Arial" w:hAnsi="Arial"/>
          <w:sz w:val="19"/>
          <w:szCs w:val="19"/>
          <w:color w:val="auto"/>
        </w:rPr>
        <w:t xml:space="preserve">. Cash Collateral (or the appropriate portion thereof) provided to reduce Fronting Exposure in respect of Letters of Credit or other Obligations shall no longer be required to be held as Cash Collateral pursuant to this </w:t>
      </w:r>
      <w:r>
        <w:rPr>
          <w:rFonts w:ascii="Arial" w:cs="Arial" w:eastAsia="Arial" w:hAnsi="Arial"/>
          <w:sz w:val="19"/>
          <w:szCs w:val="19"/>
          <w:u w:val="single" w:color="auto"/>
          <w:color w:val="auto"/>
        </w:rPr>
        <w:t>Section 3.10</w:t>
      </w:r>
      <w:r>
        <w:rPr>
          <w:rFonts w:ascii="Arial" w:cs="Arial" w:eastAsia="Arial" w:hAnsi="Arial"/>
          <w:sz w:val="19"/>
          <w:szCs w:val="19"/>
          <w:color w:val="auto"/>
        </w:rPr>
        <w:t xml:space="preserve"> following (i) the elimination of the applicable Fronting Exposure and other Obligations giving rise thereto (including by the termination of the Defaulting Lender status of the applicable Lender), or (ii) a determination by the Administrative Agent and the Issuing Lender that there exists excess Cash Collateral;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(A) that Cash Collateral furnished by or on behalf of a Loan Party shall not be released during the existence of an Event of Default, and (B) that, subject to </w:t>
      </w:r>
      <w:r>
        <w:rPr>
          <w:rFonts w:ascii="Arial" w:cs="Arial" w:eastAsia="Arial" w:hAnsi="Arial"/>
          <w:sz w:val="19"/>
          <w:szCs w:val="19"/>
          <w:u w:val="single" w:color="auto"/>
          <w:color w:val="auto"/>
        </w:rPr>
        <w:t>Section 2.24</w:t>
      </w:r>
      <w:r>
        <w:rPr>
          <w:rFonts w:ascii="Arial" w:cs="Arial" w:eastAsia="Arial" w:hAnsi="Arial"/>
          <w:sz w:val="19"/>
          <w:szCs w:val="19"/>
          <w:color w:val="auto"/>
        </w:rPr>
        <w:t xml:space="preserve">, the Person providing such Cash Collateral and the Issuing Lender may agree that such Cash Collateral shall not be released but instead shall be held to support future anticipated Fronting Exposure or other obligations,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to the extent that such Cash Collateral was provided by the Borrower or any other Loan Party, such Cash Collateral shall remain subject to any security interest and Lien granted pursuant to the Loan Documents including any applicable Cash Management Agreement.</w:t>
      </w:r>
    </w:p>
    <w:p>
      <w:pPr>
        <w:spacing w:after="0" w:line="130"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color w:val="auto"/>
        </w:rPr>
        <w:t>3.11 Additional Issuing Lenders</w:t>
      </w:r>
      <w:r>
        <w:rPr>
          <w:rFonts w:ascii="Arial" w:cs="Arial" w:eastAsia="Arial" w:hAnsi="Arial"/>
          <w:sz w:val="18"/>
          <w:szCs w:val="18"/>
          <w:color w:val="auto"/>
        </w:rPr>
        <w:t>. The Borrower may, at any time and from time to time with the consent of the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Agent (which consent shall not be unreasonably withheld) and such Lender, designate one or more additional Lenders to act as an issuing bank under the terms of this Agreement. Any Lender designated as an issuing bank pursuant to this paragraph shall be deemed to be an “</w:t>
      </w:r>
      <w:r>
        <w:rPr>
          <w:rFonts w:ascii="Arial" w:cs="Arial" w:eastAsia="Arial" w:hAnsi="Arial"/>
          <w:sz w:val="18"/>
          <w:szCs w:val="18"/>
          <w:b w:val="1"/>
          <w:bCs w:val="1"/>
          <w:i w:val="1"/>
          <w:iCs w:val="1"/>
          <w:color w:val="auto"/>
        </w:rPr>
        <w:t>Issuing Lender</w:t>
      </w:r>
      <w:r>
        <w:rPr>
          <w:rFonts w:ascii="Arial" w:cs="Arial" w:eastAsia="Arial" w:hAnsi="Arial"/>
          <w:sz w:val="18"/>
          <w:szCs w:val="18"/>
          <w:color w:val="auto"/>
        </w:rPr>
        <w:t>” (in addition to being a Lender) in respect of Letters of Credit issued or to be issued by such Lender, and, with respect to such Letters of Credit, such term shall thereafter apply to the other Issuing Lender and such Lender.</w:t>
      </w:r>
    </w:p>
    <w:p>
      <w:pPr>
        <w:spacing w:after="0" w:line="1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b w:val="1"/>
          <w:bCs w:val="1"/>
          <w:color w:val="auto"/>
        </w:rPr>
        <w:t>3.12 Resignation of the Issuing Lender</w:t>
      </w:r>
      <w:r>
        <w:rPr>
          <w:rFonts w:ascii="Arial" w:cs="Arial" w:eastAsia="Arial" w:hAnsi="Arial"/>
          <w:sz w:val="19"/>
          <w:szCs w:val="19"/>
          <w:color w:val="auto"/>
        </w:rPr>
        <w:t>. The Issuing Lender may resign at any time by giving at least 30 days’ prior written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notice to the Administrative Agent, the Lenders and the Borrower. Subject to the next succeeding paragraph, upon the acceptance of any appointment as the Issuing Lender hereunder by a Lender that shall agree to serve as successor Issuing Lender, such successor shall succeed to and become vested with all the interests, rights and obligations of the retiring Issuing Lender and the retiring Issuing Lender shall be discharged from its obligations to issue additional Letters of Credit hereunder without affecting its rights and obligations with respect to Letters of Credit previously issued by it. At the time such resignation shall become effective, the Borrower shall pay all accrued and unpaid fees pursuant to </w:t>
      </w:r>
      <w:r>
        <w:rPr>
          <w:rFonts w:ascii="Arial" w:cs="Arial" w:eastAsia="Arial" w:hAnsi="Arial"/>
          <w:sz w:val="19"/>
          <w:szCs w:val="19"/>
          <w:u w:val="single" w:color="auto"/>
          <w:color w:val="auto"/>
        </w:rPr>
        <w:t>Section 3.3</w:t>
      </w:r>
      <w:r>
        <w:rPr>
          <w:rFonts w:ascii="Arial" w:cs="Arial" w:eastAsia="Arial" w:hAnsi="Arial"/>
          <w:sz w:val="19"/>
          <w:szCs w:val="19"/>
          <w:color w:val="auto"/>
        </w:rPr>
        <w:t>. The acceptance of any appointment as the Issuing Lender hereunder by a successor Lender shall be evidenced by an agreement entered into by such successor, in a form satisfactory to the Borrower and the Administrative Agent, and, from and after the effective date of such agreement, (i) such successor Lender shall have all the rights and obligations of the previous Issuing Lender under this Agreement and the other Loan Documents and (ii) references herein and in the other Loan Documents to the term “Issuing Lender” shall be deemed to refer to such successor or to any previous Issuing Lender, or to such successor and all previous Issuing Lenders, as the context shall require. After the resignation of the Issuing Lender hereunder, the retiring Issuing Lender shall remain a party hereto and shall continue to have all the rights and obligations of an Issuing Lender under this Agreement and the other Loan Documents with respect to Letters of Credit issued by it prior to such resignation, but shall not be required to issue additional Letters of Credit or to extend, renew or increase any existing Letter of Credit.</w:t>
      </w:r>
    </w:p>
    <w:p>
      <w:pPr>
        <w:spacing w:after="0" w:line="1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3.13 Applicability of UCP and ISP</w:t>
      </w:r>
      <w:r>
        <w:rPr>
          <w:rFonts w:ascii="Arial" w:cs="Arial" w:eastAsia="Arial" w:hAnsi="Arial"/>
          <w:sz w:val="20"/>
          <w:szCs w:val="20"/>
          <w:color w:val="auto"/>
        </w:rPr>
        <w:t>. Unless otherwise expressly agreed by the Issuing Lender and the Borrower when a Letter of</w:t>
      </w:r>
      <w:r>
        <w:rPr>
          <w:rFonts w:ascii="Arial" w:cs="Arial" w:eastAsia="Arial" w:hAnsi="Arial"/>
          <w:sz w:val="20"/>
          <w:szCs w:val="20"/>
          <w:b w:val="1"/>
          <w:bCs w:val="1"/>
          <w:color w:val="auto"/>
        </w:rPr>
        <w:t xml:space="preserve"> </w:t>
      </w:r>
      <w:r>
        <w:rPr>
          <w:rFonts w:ascii="Arial" w:cs="Arial" w:eastAsia="Arial" w:hAnsi="Arial"/>
          <w:sz w:val="20"/>
          <w:szCs w:val="20"/>
          <w:color w:val="auto"/>
        </w:rPr>
        <w:t>Credit is issued and subject to applicable laws, the Letters of Credit shall be governed by and subject to (a) with respect to standby Letters of Credit, the rules of the ISP, and (b) with respect to commercial Letters of Credit, the rules of the Uniform Customs and Practice for Documentary Credits, as published in its most recent version by the International Chamber of Commerce on the date any commercial Letter of Credit is issued.</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ectPr>
          <w:pgSz w:w="11900" w:h="16838" w:orient="portrait"/>
          <w:cols w:equalWidth="0" w:num="1">
            <w:col w:w="11240"/>
          </w:cols>
          <w:pgMar w:left="320" w:top="771" w:right="339" w:bottom="1440" w:gutter="0" w:footer="0" w:header="0"/>
        </w:sectPr>
      </w:pPr>
    </w:p>
    <w:bookmarkStart w:id="458" w:name="page459"/>
    <w:bookmarkEnd w:id="458"/>
    <w:p>
      <w:pPr>
        <w:jc w:val="center"/>
        <w:spacing w:after="0"/>
        <w:rPr>
          <w:sz w:val="20"/>
          <w:szCs w:val="20"/>
          <w:color w:val="auto"/>
        </w:rPr>
      </w:pPr>
      <w:r>
        <w:rPr>
          <w:rFonts w:ascii="Arial" w:cs="Arial" w:eastAsia="Arial" w:hAnsi="Arial"/>
          <w:sz w:val="20"/>
          <w:szCs w:val="20"/>
          <w:b w:val="1"/>
          <w:bCs w:val="1"/>
          <w:color w:val="auto"/>
        </w:rPr>
        <w:t>SECTION 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w:t>
      </w:r>
    </w:p>
    <w:p>
      <w:pPr>
        <w:spacing w:after="0" w:line="14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To induce the Administrative Agent and the Lenders to enter into this Agreement and to make the Loans and issue the Letters of Credit, the Borrower hereby represents and warrants to the Administrative Agent and each Lender, as to itself and each other Group Member, that:</w:t>
      </w:r>
    </w:p>
    <w:p>
      <w:pPr>
        <w:spacing w:after="0" w:line="12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4.1</w:t>
      </w:r>
      <w:r>
        <w:rPr>
          <w:sz w:val="20"/>
          <w:szCs w:val="20"/>
          <w:color w:val="auto"/>
        </w:rPr>
        <w:tab/>
      </w:r>
      <w:r>
        <w:rPr>
          <w:rFonts w:ascii="Arial" w:cs="Arial" w:eastAsia="Arial" w:hAnsi="Arial"/>
          <w:sz w:val="18"/>
          <w:szCs w:val="18"/>
          <w:b w:val="1"/>
          <w:bCs w:val="1"/>
          <w:color w:val="auto"/>
        </w:rPr>
        <w:t>Financial Condition</w:t>
      </w:r>
      <w:r>
        <w:rPr>
          <w:rFonts w:ascii="Arial" w:cs="Arial" w:eastAsia="Arial" w:hAnsi="Arial"/>
          <w:sz w:val="18"/>
          <w:szCs w:val="18"/>
          <w:color w:val="auto"/>
        </w:rPr>
        <w:t>.</w:t>
      </w:r>
    </w:p>
    <w:p>
      <w:pPr>
        <w:spacing w:after="0" w:line="168" w:lineRule="exact"/>
        <w:rPr>
          <w:sz w:val="20"/>
          <w:szCs w:val="20"/>
          <w:color w:val="auto"/>
        </w:rPr>
      </w:pPr>
    </w:p>
    <w:p>
      <w:pPr>
        <w:ind w:left="1720" w:hanging="416"/>
        <w:spacing w:after="0"/>
        <w:tabs>
          <w:tab w:leader="none" w:pos="1720" w:val="left"/>
        </w:tabs>
        <w:numPr>
          <w:ilvl w:val="0"/>
          <w:numId w:val="406"/>
        </w:numPr>
        <w:rPr>
          <w:rFonts w:ascii="Arial" w:cs="Arial" w:eastAsia="Arial" w:hAnsi="Arial"/>
          <w:sz w:val="20"/>
          <w:szCs w:val="20"/>
          <w:color w:val="auto"/>
        </w:rPr>
      </w:pPr>
      <w:r>
        <w:rPr>
          <w:rFonts w:ascii="Arial" w:cs="Arial" w:eastAsia="Arial" w:hAnsi="Arial"/>
          <w:sz w:val="20"/>
          <w:szCs w:val="20"/>
          <w:color w:val="auto"/>
        </w:rPr>
        <w:t>[Reserved].</w:t>
      </w:r>
    </w:p>
    <w:p>
      <w:pPr>
        <w:spacing w:after="0" w:line="161" w:lineRule="exact"/>
        <w:rPr>
          <w:rFonts w:ascii="Arial" w:cs="Arial" w:eastAsia="Arial" w:hAnsi="Arial"/>
          <w:sz w:val="20"/>
          <w:szCs w:val="20"/>
          <w:color w:val="auto"/>
        </w:rPr>
      </w:pPr>
    </w:p>
    <w:p>
      <w:pPr>
        <w:jc w:val="both"/>
        <w:ind w:firstLine="1304"/>
        <w:spacing w:after="0" w:line="269" w:lineRule="auto"/>
        <w:tabs>
          <w:tab w:leader="none" w:pos="1757" w:val="left"/>
        </w:tabs>
        <w:numPr>
          <w:ilvl w:val="0"/>
          <w:numId w:val="406"/>
        </w:numPr>
        <w:rPr>
          <w:rFonts w:ascii="Arial" w:cs="Arial" w:eastAsia="Arial" w:hAnsi="Arial"/>
          <w:sz w:val="18"/>
          <w:szCs w:val="18"/>
          <w:color w:val="auto"/>
        </w:rPr>
      </w:pPr>
      <w:r>
        <w:rPr>
          <w:rFonts w:ascii="Arial" w:cs="Arial" w:eastAsia="Arial" w:hAnsi="Arial"/>
          <w:sz w:val="18"/>
          <w:szCs w:val="18"/>
          <w:color w:val="auto"/>
        </w:rPr>
        <w:t>The audited consolidated balance sheets of the Borrower and its Subsidiaries as of December 31, 2016, December 31, 2017, December 31, 2018 and December 31, 2019 and the related consolidated statements of income and of cash flows for the fiscal years ended on such dates, present fairly in all material respects the consolidated financial condition of the Borrower and its Subsidiaries as at such date, and the consolidated results of its operations and its consolidated cash flows for the respective fiscal years then ended. The unaudited consolidated balance sheets of the Borrower and its Subsidiaries as at June 30, 2020 and December 31, 2020, and the related unaudited consolidated statements of income and cash flows for the twelve and six month periods ended on such dates, respectively, present fairly in all material respects the consolidated financial condition of the Borrower and its Subsidiaries as at such dates, and the consolidated results of its operations and its consolidated cash flows for the trailing twelve and six month periods then ended (subject to normal year end audit adjustments). All such financial statements, including the related schedules and notes thereto, have been prepared in accordance with GAAP applied consistently throughout the periods involved (except as approved by the aforementioned firm of accountants and disclosed therein). No Group Member has, as of the Closing Date, any material Guarantee Obligations, contingent liabilities or any long term leases or unusual forward or long term commitments, including any interest rate or foreign currency swap or exchange transaction or other obligation in respect of derivatives, that are not reflected in the most recent financial statements referred to in this paragraph. During the period from December 31, 2018 to and including the date hereof, there has been no Disposition by any Group Member of any material part of its business or property.</w:t>
      </w:r>
    </w:p>
    <w:p>
      <w:pPr>
        <w:spacing w:after="0" w:line="119"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4.2 No Change</w:t>
      </w:r>
      <w:r>
        <w:rPr>
          <w:rFonts w:ascii="Arial" w:cs="Arial" w:eastAsia="Arial" w:hAnsi="Arial"/>
          <w:sz w:val="20"/>
          <w:szCs w:val="20"/>
          <w:color w:val="auto"/>
        </w:rPr>
        <w:t>. Since July 31, 2020, there has been no development or event that has had or could reasonably be expected to have</w:t>
      </w:r>
      <w:r>
        <w:rPr>
          <w:rFonts w:ascii="Arial" w:cs="Arial" w:eastAsia="Arial" w:hAnsi="Arial"/>
          <w:sz w:val="20"/>
          <w:szCs w:val="20"/>
          <w:b w:val="1"/>
          <w:bCs w:val="1"/>
          <w:color w:val="auto"/>
        </w:rPr>
        <w:t xml:space="preserve"> </w:t>
      </w:r>
      <w:r>
        <w:rPr>
          <w:rFonts w:ascii="Arial" w:cs="Arial" w:eastAsia="Arial" w:hAnsi="Arial"/>
          <w:sz w:val="20"/>
          <w:szCs w:val="20"/>
          <w:color w:val="auto"/>
        </w:rPr>
        <w:t>a Material Adverse Effect.</w:t>
      </w:r>
    </w:p>
    <w:p>
      <w:pPr>
        <w:spacing w:after="0" w:line="10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b w:val="1"/>
          <w:bCs w:val="1"/>
          <w:color w:val="auto"/>
        </w:rPr>
        <w:t>4.3 Existence; Compliance with Law</w:t>
      </w:r>
      <w:r>
        <w:rPr>
          <w:rFonts w:ascii="Arial" w:cs="Arial" w:eastAsia="Arial" w:hAnsi="Arial"/>
          <w:sz w:val="20"/>
          <w:szCs w:val="20"/>
          <w:color w:val="auto"/>
        </w:rPr>
        <w:t>. Each Group Member (a) is duly organized, validly existing and in good standing (if</w:t>
      </w:r>
      <w:r>
        <w:rPr>
          <w:rFonts w:ascii="Arial" w:cs="Arial" w:eastAsia="Arial" w:hAnsi="Arial"/>
          <w:sz w:val="20"/>
          <w:szCs w:val="20"/>
          <w:b w:val="1"/>
          <w:bCs w:val="1"/>
          <w:color w:val="auto"/>
        </w:rPr>
        <w:t xml:space="preserve"> </w:t>
      </w:r>
      <w:r>
        <w:rPr>
          <w:rFonts w:ascii="Arial" w:cs="Arial" w:eastAsia="Arial" w:hAnsi="Arial"/>
          <w:sz w:val="20"/>
          <w:szCs w:val="20"/>
          <w:color w:val="auto"/>
        </w:rPr>
        <w:t>applicable) under the laws of the jurisdiction of its organization, (b) has the power and authority, and the legal right, to own and operate its property, to lease the property it operates as lessee and to conduct the business in which it is currently engaged, (c) is duly qualified as a foreign corporation or other organization and in good standing (if applicable) under the laws of each jurisdiction where the failure to be so qualified or in good standing could reasonably be expected to have a Material Adverse Effect and (d) is in material compliance with all Requirements of Law except in such instances in which (i) such Requirement of Law is being contested in good faith by appropriate proceedings diligently conducted and the prosecution of such contest would not reasonably be expected to result in a Material Adverse Effect, or (ii) the failure to comply therewith, either individually or in the aggregate, would not reasonably be expected to have a Material Adverse Effect.</w:t>
      </w:r>
    </w:p>
    <w:p>
      <w:pPr>
        <w:spacing w:after="0" w:line="14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b w:val="1"/>
          <w:bCs w:val="1"/>
          <w:color w:val="auto"/>
        </w:rPr>
        <w:t>4.4 Power, Authorization; Enforceable Obligations</w:t>
      </w:r>
      <w:r>
        <w:rPr>
          <w:rFonts w:ascii="Arial" w:cs="Arial" w:eastAsia="Arial" w:hAnsi="Arial"/>
          <w:sz w:val="19"/>
          <w:szCs w:val="19"/>
          <w:color w:val="auto"/>
        </w:rPr>
        <w:t>. Each Loan Party has the power and authority, and the legal right, to make,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deliver and perform the Loan Documents to which it is a party and, in the case of the Borrower, to obtain extensions of credit hereunder. Each Loan Party has taken all necessary organizational action to authorize the execution, delivery and performance of the Loan Documents to which it is a party and, in the case of the Borrower, to authorize the extensions of credit on the terms and conditions of this Agreement. No material Governmental Approval or consent or authorization of, filing with, notice to or other act by or in respect of, any other Person is required in connection with the extensions of credit hereunder or with the execution, delivery, performance, validity or enforceability of this Agreement or any of the Loan Documents, except (i) Governmental Approvals, consents, authorizations, filings and notices described on </w:t>
      </w:r>
      <w:r>
        <w:rPr>
          <w:rFonts w:ascii="Arial" w:cs="Arial" w:eastAsia="Arial" w:hAnsi="Arial"/>
          <w:sz w:val="19"/>
          <w:szCs w:val="19"/>
          <w:u w:val="single" w:color="auto"/>
          <w:color w:val="auto"/>
        </w:rPr>
        <w:t>Schedule 4.4</w:t>
      </w:r>
      <w:r>
        <w:rPr>
          <w:rFonts w:ascii="Arial" w:cs="Arial" w:eastAsia="Arial" w:hAnsi="Arial"/>
          <w:sz w:val="19"/>
          <w:szCs w:val="19"/>
          <w:color w:val="auto"/>
        </w:rPr>
        <w:t xml:space="preserve"> to the Disclosure Letter, which</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ectPr>
          <w:pgSz w:w="11900" w:h="16838" w:orient="portrait"/>
          <w:cols w:equalWidth="0" w:num="1">
            <w:col w:w="11240"/>
          </w:cols>
          <w:pgMar w:left="320" w:top="765" w:right="339" w:bottom="1440" w:gutter="0" w:footer="0" w:header="0"/>
        </w:sectPr>
      </w:pPr>
    </w:p>
    <w:bookmarkStart w:id="459" w:name="page460"/>
    <w:bookmarkEnd w:id="459"/>
    <w:p>
      <w:pPr>
        <w:jc w:val="both"/>
        <w:spacing w:after="0" w:line="276" w:lineRule="auto"/>
        <w:rPr>
          <w:sz w:val="20"/>
          <w:szCs w:val="20"/>
          <w:color w:val="auto"/>
        </w:rPr>
      </w:pPr>
      <w:r>
        <w:rPr>
          <w:rFonts w:ascii="Arial" w:cs="Arial" w:eastAsia="Arial" w:hAnsi="Arial"/>
          <w:sz w:val="18"/>
          <w:szCs w:val="18"/>
          <w:color w:val="auto"/>
        </w:rPr>
        <w:t xml:space="preserve">Governmental Approvals, consents, authorizations, filings and notices have been obtained or made and are in full force and effect, and (ii) the filings referred to in </w:t>
      </w:r>
      <w:r>
        <w:rPr>
          <w:rFonts w:ascii="Arial" w:cs="Arial" w:eastAsia="Arial" w:hAnsi="Arial"/>
          <w:sz w:val="18"/>
          <w:szCs w:val="18"/>
          <w:u w:val="single" w:color="auto"/>
          <w:color w:val="auto"/>
        </w:rPr>
        <w:t>Section 4.19</w:t>
      </w:r>
      <w:r>
        <w:rPr>
          <w:rFonts w:ascii="Arial" w:cs="Arial" w:eastAsia="Arial" w:hAnsi="Arial"/>
          <w:sz w:val="18"/>
          <w:szCs w:val="18"/>
          <w:color w:val="auto"/>
        </w:rPr>
        <w:t>. Each Loan Document has been duly executed and delivered on behalf of each Loan Party party thereto. This Agreement constitutes, and each other Loan Document upon execution will constitute, a legal, valid and binding obligation of each Loan Party party thereto, enforceable against each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color w:val="auto"/>
        </w:rPr>
        <w:t>4.5 No Legal Bar</w:t>
      </w:r>
      <w:r>
        <w:rPr>
          <w:rFonts w:ascii="Arial" w:cs="Arial" w:eastAsia="Arial" w:hAnsi="Arial"/>
          <w:sz w:val="18"/>
          <w:szCs w:val="18"/>
          <w:color w:val="auto"/>
        </w:rPr>
        <w:t>. The execution, delivery and performance of this Agreement and the other Loan Documents, the issuance of</w:t>
      </w:r>
      <w:r>
        <w:rPr>
          <w:rFonts w:ascii="Arial" w:cs="Arial" w:eastAsia="Arial" w:hAnsi="Arial"/>
          <w:sz w:val="18"/>
          <w:szCs w:val="18"/>
          <w:b w:val="1"/>
          <w:bCs w:val="1"/>
          <w:color w:val="auto"/>
        </w:rPr>
        <w:t xml:space="preserve"> </w:t>
      </w:r>
      <w:r>
        <w:rPr>
          <w:rFonts w:ascii="Arial" w:cs="Arial" w:eastAsia="Arial" w:hAnsi="Arial"/>
          <w:sz w:val="18"/>
          <w:szCs w:val="18"/>
          <w:color w:val="auto"/>
        </w:rPr>
        <w:t>Letters of Credit, the extensions of credit hereunder and the use of the proceeds thereof will not violate any Requirement of Law or any material Contractual Obligation of any Group Member and will not result in, or require, the creation or imposition of any Lien on any of their respective properties or revenues pursuant to any Requirement of Law or any such material Contractual Obligation (other than the Liens created by the Security Documents). No Group Member has violated any Requirement of Law or violated or failed to comply with any Contractual Obligation applicable to a Group Member that could reasonably be expected to have a Material Adverse Effect.</w:t>
      </w:r>
    </w:p>
    <w:p>
      <w:pPr>
        <w:spacing w:after="0" w:line="10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4.6 Litigation</w:t>
      </w:r>
      <w:r>
        <w:rPr>
          <w:rFonts w:ascii="Arial" w:cs="Arial" w:eastAsia="Arial" w:hAnsi="Arial"/>
          <w:sz w:val="20"/>
          <w:szCs w:val="20"/>
          <w:color w:val="auto"/>
        </w:rPr>
        <w:t>. Except as disclosed on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Schedule 4.6</w:t>
      </w:r>
      <w:r>
        <w:rPr>
          <w:rFonts w:ascii="Arial" w:cs="Arial" w:eastAsia="Arial" w:hAnsi="Arial"/>
          <w:sz w:val="20"/>
          <w:szCs w:val="20"/>
          <w:b w:val="1"/>
          <w:bCs w:val="1"/>
          <w:color w:val="auto"/>
        </w:rPr>
        <w:t xml:space="preserve"> </w:t>
      </w:r>
      <w:r>
        <w:rPr>
          <w:rFonts w:ascii="Arial" w:cs="Arial" w:eastAsia="Arial" w:hAnsi="Arial"/>
          <w:sz w:val="20"/>
          <w:szCs w:val="20"/>
          <w:color w:val="auto"/>
        </w:rPr>
        <w:t>to the Disclosure Letter, no litigation, investigation or proceeding of or before</w:t>
      </w:r>
      <w:r>
        <w:rPr>
          <w:rFonts w:ascii="Arial" w:cs="Arial" w:eastAsia="Arial" w:hAnsi="Arial"/>
          <w:sz w:val="20"/>
          <w:szCs w:val="20"/>
          <w:b w:val="1"/>
          <w:bCs w:val="1"/>
          <w:color w:val="auto"/>
        </w:rPr>
        <w:t xml:space="preserve"> </w:t>
      </w:r>
      <w:r>
        <w:rPr>
          <w:rFonts w:ascii="Arial" w:cs="Arial" w:eastAsia="Arial" w:hAnsi="Arial"/>
          <w:sz w:val="20"/>
          <w:szCs w:val="20"/>
          <w:color w:val="auto"/>
        </w:rPr>
        <w:t>any arbitrator or Governmental Authority is pending or threatened in writing by or against any Group Member or against any of their respective properties or revenues (a) with respect to any of the Loan Documents or any of the transactions contemplated hereby or thereby, or (b) that could reasonably be expected to have a Material Adverse Effect.</w:t>
      </w:r>
    </w:p>
    <w:p>
      <w:pPr>
        <w:spacing w:after="0" w:line="1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4.7 No Default</w:t>
      </w:r>
      <w:r>
        <w:rPr>
          <w:rFonts w:ascii="Arial" w:cs="Arial" w:eastAsia="Arial" w:hAnsi="Arial"/>
          <w:sz w:val="20"/>
          <w:szCs w:val="20"/>
          <w:color w:val="auto"/>
        </w:rPr>
        <w:t>. No Group Member is in default under or with respect to any of its Contractual Obligations in any respect that</w:t>
      </w:r>
      <w:r>
        <w:rPr>
          <w:rFonts w:ascii="Arial" w:cs="Arial" w:eastAsia="Arial" w:hAnsi="Arial"/>
          <w:sz w:val="20"/>
          <w:szCs w:val="20"/>
          <w:b w:val="1"/>
          <w:bCs w:val="1"/>
          <w:color w:val="auto"/>
        </w:rPr>
        <w:t xml:space="preserve"> </w:t>
      </w:r>
      <w:r>
        <w:rPr>
          <w:rFonts w:ascii="Arial" w:cs="Arial" w:eastAsia="Arial" w:hAnsi="Arial"/>
          <w:sz w:val="20"/>
          <w:szCs w:val="20"/>
          <w:color w:val="auto"/>
        </w:rPr>
        <w:t>could reasonably be expected to have a Material Adverse Effect. No Default or Event of Default has occurred and is continuing, nor shall either result from the making of a requested credit extension.</w:t>
      </w:r>
    </w:p>
    <w:p>
      <w:pPr>
        <w:spacing w:after="0" w:line="12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4.8 Ownership of Property; Liens; Investments</w:t>
      </w:r>
      <w:r>
        <w:rPr>
          <w:rFonts w:ascii="Arial" w:cs="Arial" w:eastAsia="Arial" w:hAnsi="Arial"/>
          <w:sz w:val="20"/>
          <w:szCs w:val="20"/>
          <w:color w:val="auto"/>
        </w:rPr>
        <w:t>. Each Group Member has title in fee simple to, or a valid leasehold interest in,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all of its real property, and good title to, or a valid leasehold interest in, all of its other property, and none of such property is subject to any Lien except as permitted by </w:t>
      </w:r>
      <w:r>
        <w:rPr>
          <w:rFonts w:ascii="Arial" w:cs="Arial" w:eastAsia="Arial" w:hAnsi="Arial"/>
          <w:sz w:val="20"/>
          <w:szCs w:val="20"/>
          <w:u w:val="single" w:color="auto"/>
          <w:color w:val="auto"/>
        </w:rPr>
        <w:t>Section 7.3</w:t>
      </w:r>
      <w:r>
        <w:rPr>
          <w:rFonts w:ascii="Arial" w:cs="Arial" w:eastAsia="Arial" w:hAnsi="Arial"/>
          <w:sz w:val="20"/>
          <w:szCs w:val="20"/>
          <w:color w:val="auto"/>
        </w:rPr>
        <w:t xml:space="preserve">. No Loan Party owns any Investment except as permitted by </w:t>
      </w:r>
      <w:r>
        <w:rPr>
          <w:rFonts w:ascii="Arial" w:cs="Arial" w:eastAsia="Arial" w:hAnsi="Arial"/>
          <w:sz w:val="20"/>
          <w:szCs w:val="20"/>
          <w:u w:val="single" w:color="auto"/>
          <w:color w:val="auto"/>
        </w:rPr>
        <w:t>Section 7.8</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10</w:t>
      </w:r>
      <w:r>
        <w:rPr>
          <w:rFonts w:ascii="Arial" w:cs="Arial" w:eastAsia="Arial" w:hAnsi="Arial"/>
          <w:sz w:val="20"/>
          <w:szCs w:val="20"/>
          <w:color w:val="auto"/>
        </w:rPr>
        <w:t xml:space="preserve"> of the Collateral Information Certificate sets forth a complete and accurate list of all real property owned by each Loan Party as of the Closing Date, if any. The Collateral Information Certificate sets forth a complete and accurate list of all leases of real property under which any Loan Party is the lessee as of the Closing Date.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ectPr>
          <w:pgSz w:w="11900" w:h="16838" w:orient="portrait"/>
          <w:cols w:equalWidth="0" w:num="1">
            <w:col w:w="11240"/>
          </w:cols>
          <w:pgMar w:left="320" w:top="771" w:right="339" w:bottom="1440" w:gutter="0" w:footer="0" w:header="0"/>
        </w:sectPr>
      </w:pPr>
    </w:p>
    <w:bookmarkStart w:id="460" w:name="page461"/>
    <w:bookmarkEnd w:id="460"/>
    <w:p>
      <w:pPr>
        <w:jc w:val="both"/>
        <w:ind w:firstLine="648"/>
        <w:spacing w:after="0" w:line="243" w:lineRule="auto"/>
        <w:rPr>
          <w:sz w:val="20"/>
          <w:szCs w:val="20"/>
          <w:color w:val="auto"/>
        </w:rPr>
      </w:pPr>
      <w:r>
        <w:rPr>
          <w:rFonts w:ascii="Arial" w:cs="Arial" w:eastAsia="Arial" w:hAnsi="Arial"/>
          <w:sz w:val="20"/>
          <w:szCs w:val="20"/>
          <w:b w:val="1"/>
          <w:bCs w:val="1"/>
          <w:color w:val="auto"/>
        </w:rPr>
        <w:t>4.9 Intellectual Property</w:t>
      </w:r>
      <w:r>
        <w:rPr>
          <w:rFonts w:ascii="Arial" w:cs="Arial" w:eastAsia="Arial" w:hAnsi="Arial"/>
          <w:sz w:val="20"/>
          <w:szCs w:val="20"/>
          <w:color w:val="auto"/>
        </w:rPr>
        <w:t>. Each Group Member owns, or is licensed to use, all Intellectual Property necessary for the conduct of</w:t>
      </w:r>
      <w:r>
        <w:rPr>
          <w:rFonts w:ascii="Arial" w:cs="Arial" w:eastAsia="Arial" w:hAnsi="Arial"/>
          <w:sz w:val="20"/>
          <w:szCs w:val="20"/>
          <w:b w:val="1"/>
          <w:bCs w:val="1"/>
          <w:color w:val="auto"/>
        </w:rPr>
        <w:t xml:space="preserve"> </w:t>
      </w:r>
      <w:r>
        <w:rPr>
          <w:rFonts w:ascii="Arial" w:cs="Arial" w:eastAsia="Arial" w:hAnsi="Arial"/>
          <w:sz w:val="20"/>
          <w:szCs w:val="20"/>
          <w:color w:val="auto"/>
        </w:rPr>
        <w:t>its business as currently conducted. To the Borrower’s knowledge, no claim has been asserted and is pending by any Person challenging or questioning any Group Member’s use of any Intellectual Property or the validity or effectiveness of any Group Member’s Intellectual Property, nor does any Group Member know of any valid basis for any such claim, unless such claim could not reasonably be expected to have a Material Adverse Effect. The use of Intellectual Property by each Group Member, and the conduct of such Group Member’s business, as currently conducted, does not infringe on or otherwise violate the rights of any Person, unless such infringement could not reasonably be expected to have a Material Adverse Effect, and there are no claims pending or, to the knowledge of any Group Member, threatened to such effect.</w:t>
      </w:r>
    </w:p>
    <w:p>
      <w:pPr>
        <w:spacing w:after="0" w:line="13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b w:val="1"/>
          <w:bCs w:val="1"/>
          <w:color w:val="auto"/>
        </w:rPr>
        <w:t>4.10 Taxes</w:t>
      </w:r>
      <w:r>
        <w:rPr>
          <w:rFonts w:ascii="Arial" w:cs="Arial" w:eastAsia="Arial" w:hAnsi="Arial"/>
          <w:sz w:val="19"/>
          <w:szCs w:val="19"/>
          <w:color w:val="auto"/>
        </w:rPr>
        <w:t>. Each Group Member has (a) filed or caused to be filed all Federal, state and other material tax returns that are required</w:t>
      </w:r>
      <w:r>
        <w:rPr>
          <w:rFonts w:ascii="Arial" w:cs="Arial" w:eastAsia="Arial" w:hAnsi="Arial"/>
          <w:sz w:val="19"/>
          <w:szCs w:val="19"/>
          <w:b w:val="1"/>
          <w:bCs w:val="1"/>
          <w:color w:val="auto"/>
        </w:rPr>
        <w:t xml:space="preserve"> </w:t>
      </w:r>
      <w:r>
        <w:rPr>
          <w:rFonts w:ascii="Arial" w:cs="Arial" w:eastAsia="Arial" w:hAnsi="Arial"/>
          <w:sz w:val="19"/>
          <w:szCs w:val="19"/>
          <w:color w:val="auto"/>
        </w:rPr>
        <w:t>to be filed (taking into account any extensions granted or grace periods in effect), excluding any failure to file a tax return or returns involving aggregate taxes in an amount less than $1,000,000; and (b) has paid all taxes shown to be due and payable on said returns or on any assessments made against it or any of its property and all other taxes, fees or other charges imposed on it or any of its property by any Governmental Authority (other than any taxes, charges or assessments the amount or validity of which are currently being contested in good faith by appropriate proceedings and with respect to which reserves in conformity with GAAP have been provided on the books of the relevant Group Member or where the amount is less than $1,000,000 (or such greater amount approved by the Administrative Agent in its sole discretion) in the aggregate); no tax Lien has been filed, other than Liens for Taxes not yet due and payable and Liens for Taxes the amount or validity of which are currently being contested in good faith by appropriate proceedings and with respect to which reserves in conformity with GAAP have been provided on the books of the relevant Group Member, and, to the knowledge of the Loan Parties, no claim is being asserted, with respect to any such tax, fee or other charge.</w:t>
      </w:r>
    </w:p>
    <w:p>
      <w:pPr>
        <w:spacing w:after="0" w:line="12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b w:val="1"/>
          <w:bCs w:val="1"/>
          <w:color w:val="auto"/>
        </w:rPr>
        <w:t>4.11 Federal Regulations</w:t>
      </w:r>
      <w:r>
        <w:rPr>
          <w:rFonts w:ascii="Arial" w:cs="Arial" w:eastAsia="Arial" w:hAnsi="Arial"/>
          <w:sz w:val="19"/>
          <w:szCs w:val="19"/>
          <w:color w:val="auto"/>
        </w:rPr>
        <w:t>. The Borrower is not engaged and will not engage, principally or as one of its important activities, in the</w:t>
      </w:r>
      <w:r>
        <w:rPr>
          <w:rFonts w:ascii="Arial" w:cs="Arial" w:eastAsia="Arial" w:hAnsi="Arial"/>
          <w:sz w:val="19"/>
          <w:szCs w:val="19"/>
          <w:b w:val="1"/>
          <w:bCs w:val="1"/>
          <w:color w:val="auto"/>
        </w:rPr>
        <w:t xml:space="preserve"> </w:t>
      </w:r>
      <w:r>
        <w:rPr>
          <w:rFonts w:ascii="Arial" w:cs="Arial" w:eastAsia="Arial" w:hAnsi="Arial"/>
          <w:sz w:val="19"/>
          <w:szCs w:val="19"/>
          <w:color w:val="auto"/>
        </w:rPr>
        <w:t>business of “buying” or “carrying” “margin stock” (within the respective meanings of each of the quoted terms under Regulation U as now and from time to time hereafter in effect) or extending credit for the purpose of purchasing or carrying margin stock. No part of the proceeds of any Loans, and no other extensions of credit hereunder, will be used for buying or carrying any such margin stock or for extending credit to others for the purpose of purchasing or carrying margin stock in violation of Regulations T, U or X of the Board. If any margin stock directly or indirectly constitutes Collateral securing the Obligations, if requested by any Lender or the Administrative Agent, the Borrower will furnish to the Administrative Agent and each Lender a statement to the foregoing effect in conformity with the requirements of FR Form G-3 or FR Form U-1, as applicable, referred to in Regulation U.</w:t>
      </w:r>
    </w:p>
    <w:p>
      <w:pPr>
        <w:spacing w:after="0" w:line="119"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color w:val="auto"/>
        </w:rPr>
        <w:t>4.12 Labor Matters</w:t>
      </w:r>
      <w:r>
        <w:rPr>
          <w:rFonts w:ascii="Arial" w:cs="Arial" w:eastAsia="Arial" w:hAnsi="Arial"/>
          <w:sz w:val="18"/>
          <w:szCs w:val="18"/>
          <w:color w:val="auto"/>
        </w:rPr>
        <w:t>. Except as, in the aggregate, could not reasonably be expected to have a Material Adverse Effect: (a) there are</w:t>
      </w:r>
      <w:r>
        <w:rPr>
          <w:rFonts w:ascii="Arial" w:cs="Arial" w:eastAsia="Arial" w:hAnsi="Arial"/>
          <w:sz w:val="18"/>
          <w:szCs w:val="18"/>
          <w:b w:val="1"/>
          <w:bCs w:val="1"/>
          <w:color w:val="auto"/>
        </w:rPr>
        <w:t xml:space="preserve"> </w:t>
      </w:r>
      <w:r>
        <w:rPr>
          <w:rFonts w:ascii="Arial" w:cs="Arial" w:eastAsia="Arial" w:hAnsi="Arial"/>
          <w:sz w:val="18"/>
          <w:szCs w:val="18"/>
          <w:color w:val="auto"/>
        </w:rPr>
        <w:t>no strikes or other labor disputes against any Group Member pending or, to the knowledge of the Loan Parties, threatened; (b) hours worked by and payment made to employees of each Group Member have not been in violation of the Fair Labor Standards Act or any other applicable Requirement of Law dealing with such matters; and (c) all payments due from any Group Member on account of employee health and welfare insurance have been paid or accrued as a liability on the books of the relevant Group Member.</w:t>
      </w:r>
    </w:p>
    <w:p>
      <w:pPr>
        <w:spacing w:after="0" w:line="10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4.13</w:t>
      </w:r>
      <w:r>
        <w:rPr>
          <w:sz w:val="20"/>
          <w:szCs w:val="20"/>
          <w:color w:val="auto"/>
        </w:rPr>
        <w:tab/>
      </w:r>
      <w:r>
        <w:rPr>
          <w:rFonts w:ascii="Arial" w:cs="Arial" w:eastAsia="Arial" w:hAnsi="Arial"/>
          <w:sz w:val="19"/>
          <w:szCs w:val="19"/>
          <w:b w:val="1"/>
          <w:bCs w:val="1"/>
          <w:color w:val="auto"/>
        </w:rPr>
        <w:t>ERISA</w:t>
      </w:r>
      <w:r>
        <w:rPr>
          <w:rFonts w:ascii="Arial" w:cs="Arial" w:eastAsia="Arial" w:hAnsi="Arial"/>
          <w:sz w:val="19"/>
          <w:szCs w:val="19"/>
          <w:color w:val="auto"/>
        </w:rPr>
        <w:t>.</w:t>
      </w:r>
    </w:p>
    <w:p>
      <w:pPr>
        <w:spacing w:after="0" w:line="168" w:lineRule="exact"/>
        <w:rPr>
          <w:sz w:val="20"/>
          <w:szCs w:val="20"/>
          <w:color w:val="auto"/>
        </w:rPr>
      </w:pPr>
    </w:p>
    <w:p>
      <w:pPr>
        <w:ind w:right="20" w:firstLine="1304"/>
        <w:spacing w:after="0" w:line="287" w:lineRule="auto"/>
        <w:tabs>
          <w:tab w:leader="none" w:pos="1740" w:val="left"/>
        </w:tabs>
        <w:numPr>
          <w:ilvl w:val="0"/>
          <w:numId w:val="407"/>
        </w:numPr>
        <w:rPr>
          <w:rFonts w:ascii="Arial" w:cs="Arial" w:eastAsia="Arial" w:hAnsi="Arial"/>
          <w:sz w:val="19"/>
          <w:szCs w:val="19"/>
          <w:color w:val="auto"/>
        </w:rPr>
      </w:pPr>
      <w:r>
        <w:rPr>
          <w:rFonts w:ascii="Arial" w:cs="Arial" w:eastAsia="Arial" w:hAnsi="Arial"/>
          <w:sz w:val="19"/>
          <w:szCs w:val="19"/>
          <w:u w:val="single" w:color="auto"/>
          <w:color w:val="auto"/>
        </w:rPr>
        <w:t>Schedule 4.13</w:t>
      </w:r>
      <w:r>
        <w:rPr>
          <w:rFonts w:ascii="Arial" w:cs="Arial" w:eastAsia="Arial" w:hAnsi="Arial"/>
          <w:sz w:val="19"/>
          <w:szCs w:val="19"/>
          <w:color w:val="auto"/>
        </w:rPr>
        <w:t xml:space="preserve"> to the Disclosure Letter is a complete and accurate list of all Pension Plans maintained or sponsored by the Borrower or any ERISA Affiliate or to which the Borrower or any ERISA Affiliate contributes as of the Closing Date;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ectPr>
          <w:pgSz w:w="11900" w:h="16838" w:orient="portrait"/>
          <w:cols w:equalWidth="0" w:num="1">
            <w:col w:w="11240"/>
          </w:cols>
          <w:pgMar w:left="320" w:top="765" w:right="339" w:bottom="1440" w:gutter="0" w:footer="0" w:header="0"/>
        </w:sectPr>
      </w:pPr>
    </w:p>
    <w:bookmarkStart w:id="461" w:name="page462"/>
    <w:bookmarkEnd w:id="461"/>
    <w:p>
      <w:pPr>
        <w:jc w:val="both"/>
        <w:ind w:firstLine="1304"/>
        <w:spacing w:after="0" w:line="250" w:lineRule="auto"/>
        <w:tabs>
          <w:tab w:leader="none" w:pos="1862" w:val="left"/>
        </w:tabs>
        <w:numPr>
          <w:ilvl w:val="1"/>
          <w:numId w:val="408"/>
        </w:numPr>
        <w:rPr>
          <w:rFonts w:ascii="Arial" w:cs="Arial" w:eastAsia="Arial" w:hAnsi="Arial"/>
          <w:sz w:val="20"/>
          <w:szCs w:val="20"/>
          <w:color w:val="auto"/>
        </w:rPr>
      </w:pPr>
      <w:r>
        <w:rPr>
          <w:rFonts w:ascii="Arial" w:cs="Arial" w:eastAsia="Arial" w:hAnsi="Arial"/>
          <w:sz w:val="20"/>
          <w:szCs w:val="20"/>
          <w:color w:val="auto"/>
        </w:rPr>
        <w:t>except as could not reasonably be expected to result in a Material Adverse Effect, the Borrower and its ERISA Affiliates are in compliance with all applicable provisions and requirements of ERISA with respect to each Plan, and have performed all their obligations under each Plan;</w:t>
      </w:r>
    </w:p>
    <w:p>
      <w:pPr>
        <w:spacing w:after="0" w:line="131" w:lineRule="exact"/>
        <w:rPr>
          <w:rFonts w:ascii="Arial" w:cs="Arial" w:eastAsia="Arial" w:hAnsi="Arial"/>
          <w:sz w:val="20"/>
          <w:szCs w:val="20"/>
          <w:color w:val="auto"/>
        </w:rPr>
      </w:pPr>
    </w:p>
    <w:p>
      <w:pPr>
        <w:ind w:firstLine="1304"/>
        <w:spacing w:after="0" w:line="260" w:lineRule="auto"/>
        <w:tabs>
          <w:tab w:leader="none" w:pos="1752" w:val="left"/>
        </w:tabs>
        <w:numPr>
          <w:ilvl w:val="1"/>
          <w:numId w:val="408"/>
        </w:numPr>
        <w:rPr>
          <w:rFonts w:ascii="Arial" w:cs="Arial" w:eastAsia="Arial" w:hAnsi="Arial"/>
          <w:sz w:val="20"/>
          <w:szCs w:val="20"/>
          <w:color w:val="auto"/>
        </w:rPr>
      </w:pPr>
      <w:r>
        <w:rPr>
          <w:rFonts w:ascii="Arial" w:cs="Arial" w:eastAsia="Arial" w:hAnsi="Arial"/>
          <w:sz w:val="20"/>
          <w:szCs w:val="20"/>
          <w:color w:val="auto"/>
        </w:rPr>
        <w:t>except as could not reasonably be expected to result in a Material Adverse Effect, no ERISA Event has occurred or is reasonably expected to occur;</w:t>
      </w:r>
    </w:p>
    <w:p>
      <w:pPr>
        <w:spacing w:after="0" w:line="122" w:lineRule="exact"/>
        <w:rPr>
          <w:rFonts w:ascii="Arial" w:cs="Arial" w:eastAsia="Arial" w:hAnsi="Arial"/>
          <w:sz w:val="20"/>
          <w:szCs w:val="20"/>
          <w:color w:val="auto"/>
        </w:rPr>
      </w:pPr>
    </w:p>
    <w:p>
      <w:pPr>
        <w:jc w:val="both"/>
        <w:ind w:firstLine="1304"/>
        <w:spacing w:after="0" w:line="250" w:lineRule="auto"/>
        <w:tabs>
          <w:tab w:leader="none" w:pos="1745" w:val="left"/>
        </w:tabs>
        <w:numPr>
          <w:ilvl w:val="1"/>
          <w:numId w:val="408"/>
        </w:numPr>
        <w:rPr>
          <w:rFonts w:ascii="Arial" w:cs="Arial" w:eastAsia="Arial" w:hAnsi="Arial"/>
          <w:sz w:val="20"/>
          <w:szCs w:val="20"/>
          <w:color w:val="auto"/>
        </w:rPr>
      </w:pPr>
      <w:r>
        <w:rPr>
          <w:rFonts w:ascii="Arial" w:cs="Arial" w:eastAsia="Arial" w:hAnsi="Arial"/>
          <w:sz w:val="20"/>
          <w:szCs w:val="20"/>
          <w:color w:val="auto"/>
        </w:rPr>
        <w:t>except as could not reasonably be expected to result in a Material Adverse Effect, the Borrower and each of its ERISA Affiliates have met all applicable requirements under the ERISA Funding Rules with respect to each Pension Plan, and no waiver of the minimum funding standards under the ERISA Funding Rules has been applied for or obtained;</w:t>
      </w:r>
    </w:p>
    <w:p>
      <w:pPr>
        <w:spacing w:after="0" w:line="131" w:lineRule="exact"/>
        <w:rPr>
          <w:rFonts w:ascii="Arial" w:cs="Arial" w:eastAsia="Arial" w:hAnsi="Arial"/>
          <w:sz w:val="20"/>
          <w:szCs w:val="20"/>
          <w:color w:val="auto"/>
        </w:rPr>
      </w:pPr>
    </w:p>
    <w:p>
      <w:pPr>
        <w:jc w:val="both"/>
        <w:ind w:firstLine="1304"/>
        <w:spacing w:after="0" w:line="291" w:lineRule="auto"/>
        <w:tabs>
          <w:tab w:leader="none" w:pos="1821" w:val="left"/>
        </w:tabs>
        <w:numPr>
          <w:ilvl w:val="1"/>
          <w:numId w:val="408"/>
        </w:numPr>
        <w:rPr>
          <w:rFonts w:ascii="Arial" w:cs="Arial" w:eastAsia="Arial" w:hAnsi="Arial"/>
          <w:sz w:val="18"/>
          <w:szCs w:val="18"/>
          <w:color w:val="auto"/>
        </w:rPr>
      </w:pPr>
      <w:r>
        <w:rPr>
          <w:rFonts w:ascii="Arial" w:cs="Arial" w:eastAsia="Arial" w:hAnsi="Arial"/>
          <w:sz w:val="18"/>
          <w:szCs w:val="18"/>
          <w:color w:val="auto"/>
        </w:rPr>
        <w:t>as of the most recent valuation date for any Pension Plan, the funding target attainment percentage (as defined in Section 430(d)(2) of the Code) is at least 60%, and neither the Borrower nor any of its ERISA Affiliates knows of any facts or circumstances that could reasonably be expected to cause the funding target attainment percentage to fall below 60% as of the most recent valuation date;</w:t>
      </w:r>
    </w:p>
    <w:p>
      <w:pPr>
        <w:spacing w:after="0" w:line="97" w:lineRule="exact"/>
        <w:rPr>
          <w:rFonts w:ascii="Arial" w:cs="Arial" w:eastAsia="Arial" w:hAnsi="Arial"/>
          <w:sz w:val="18"/>
          <w:szCs w:val="18"/>
          <w:color w:val="auto"/>
        </w:rPr>
      </w:pPr>
    </w:p>
    <w:p>
      <w:pPr>
        <w:jc w:val="both"/>
        <w:ind w:firstLine="1304"/>
        <w:spacing w:after="0" w:line="250" w:lineRule="auto"/>
        <w:tabs>
          <w:tab w:leader="none" w:pos="1738" w:val="left"/>
        </w:tabs>
        <w:numPr>
          <w:ilvl w:val="1"/>
          <w:numId w:val="408"/>
        </w:numPr>
        <w:rPr>
          <w:rFonts w:ascii="Arial" w:cs="Arial" w:eastAsia="Arial" w:hAnsi="Arial"/>
          <w:sz w:val="20"/>
          <w:szCs w:val="20"/>
          <w:color w:val="auto"/>
        </w:rPr>
      </w:pPr>
      <w:r>
        <w:rPr>
          <w:rFonts w:ascii="Arial" w:cs="Arial" w:eastAsia="Arial" w:hAnsi="Arial"/>
          <w:sz w:val="20"/>
          <w:szCs w:val="20"/>
          <w:color w:val="auto"/>
        </w:rPr>
        <w:t>no Plan provides health or welfare benefits (through the purchase of insurance or otherwise) for any retired or former employee of the Borrower or any of its ERISA Affiliates except to the extent required under Section 4980B of the Code, and except to the extent such benefit could not reasonably be expected to result in a Material Adverse Effect;</w:t>
      </w:r>
    </w:p>
    <w:p>
      <w:pPr>
        <w:spacing w:after="0" w:line="131" w:lineRule="exact"/>
        <w:rPr>
          <w:rFonts w:ascii="Arial" w:cs="Arial" w:eastAsia="Arial" w:hAnsi="Arial"/>
          <w:sz w:val="20"/>
          <w:szCs w:val="20"/>
          <w:color w:val="auto"/>
        </w:rPr>
      </w:pPr>
    </w:p>
    <w:p>
      <w:pPr>
        <w:jc w:val="both"/>
        <w:ind w:firstLine="1304"/>
        <w:spacing w:after="0" w:line="244" w:lineRule="auto"/>
        <w:tabs>
          <w:tab w:leader="none" w:pos="1749" w:val="left"/>
        </w:tabs>
        <w:numPr>
          <w:ilvl w:val="1"/>
          <w:numId w:val="408"/>
        </w:numPr>
        <w:rPr>
          <w:rFonts w:ascii="Arial" w:cs="Arial" w:eastAsia="Arial" w:hAnsi="Arial"/>
          <w:sz w:val="20"/>
          <w:szCs w:val="20"/>
          <w:color w:val="auto"/>
        </w:rPr>
      </w:pPr>
      <w:r>
        <w:rPr>
          <w:rFonts w:ascii="Arial" w:cs="Arial" w:eastAsia="Arial" w:hAnsi="Arial"/>
          <w:sz w:val="20"/>
          <w:szCs w:val="20"/>
          <w:color w:val="auto"/>
        </w:rPr>
        <w:t>assuming the assets of the Lenders do not constitute “plan assets” within the meaning of the United States Department of Labor Regulations set forth in 29 C.F.R §2510.3-101 as modified by ERISA Section 3(42) (the “</w:t>
      </w:r>
      <w:r>
        <w:rPr>
          <w:rFonts w:ascii="Arial" w:cs="Arial" w:eastAsia="Arial" w:hAnsi="Arial"/>
          <w:sz w:val="20"/>
          <w:szCs w:val="20"/>
          <w:b w:val="1"/>
          <w:bCs w:val="1"/>
          <w:i w:val="1"/>
          <w:iCs w:val="1"/>
          <w:color w:val="auto"/>
        </w:rPr>
        <w:t>Plan Assets Regulation</w:t>
      </w:r>
      <w:r>
        <w:rPr>
          <w:rFonts w:ascii="Arial" w:cs="Arial" w:eastAsia="Arial" w:hAnsi="Arial"/>
          <w:sz w:val="20"/>
          <w:szCs w:val="20"/>
          <w:color w:val="auto"/>
        </w:rPr>
        <w:t>”) the execution and delivery of this Agreement and the consummation of the transactions contemplated hereunder will not involve any transaction that is subject to the prohibitions of Section 406 of ERISA (and not otherwise exempt therefrom) or in connection with which taxes could be imposed pursuant to Section 4975(c)(1)(A)-(D) of the Code;</w:t>
      </w:r>
    </w:p>
    <w:p>
      <w:pPr>
        <w:spacing w:after="0" w:line="140" w:lineRule="exact"/>
        <w:rPr>
          <w:rFonts w:ascii="Arial" w:cs="Arial" w:eastAsia="Arial" w:hAnsi="Arial"/>
          <w:sz w:val="20"/>
          <w:szCs w:val="20"/>
          <w:color w:val="auto"/>
        </w:rPr>
      </w:pPr>
    </w:p>
    <w:p>
      <w:pPr>
        <w:ind w:left="1800" w:hanging="496"/>
        <w:spacing w:after="0"/>
        <w:tabs>
          <w:tab w:leader="none" w:pos="1800" w:val="left"/>
        </w:tabs>
        <w:numPr>
          <w:ilvl w:val="1"/>
          <w:numId w:val="408"/>
        </w:numPr>
        <w:rPr>
          <w:rFonts w:ascii="Arial" w:cs="Arial" w:eastAsia="Arial" w:hAnsi="Arial"/>
          <w:sz w:val="18"/>
          <w:szCs w:val="18"/>
          <w:color w:val="auto"/>
        </w:rPr>
      </w:pPr>
      <w:r>
        <w:rPr>
          <w:rFonts w:ascii="Arial" w:cs="Arial" w:eastAsia="Arial" w:hAnsi="Arial"/>
          <w:sz w:val="18"/>
          <w:szCs w:val="18"/>
          <w:color w:val="auto"/>
        </w:rPr>
        <w:t>except as could not reasonably be expected to result in a Material Adverse Effect, all liabilities under each Plan are</w:t>
      </w:r>
    </w:p>
    <w:p>
      <w:pPr>
        <w:spacing w:after="0" w:line="38" w:lineRule="exact"/>
        <w:rPr>
          <w:rFonts w:ascii="Arial" w:cs="Arial" w:eastAsia="Arial" w:hAnsi="Arial"/>
          <w:sz w:val="18"/>
          <w:szCs w:val="18"/>
          <w:color w:val="auto"/>
        </w:rPr>
      </w:pPr>
    </w:p>
    <w:p>
      <w:pPr>
        <w:jc w:val="both"/>
        <w:ind w:firstLine="8"/>
        <w:spacing w:after="0" w:line="241" w:lineRule="auto"/>
        <w:tabs>
          <w:tab w:leader="none" w:pos="240" w:val="left"/>
        </w:tabs>
        <w:numPr>
          <w:ilvl w:val="0"/>
          <w:numId w:val="409"/>
        </w:numPr>
        <w:rPr>
          <w:rFonts w:ascii="Arial" w:cs="Arial" w:eastAsia="Arial" w:hAnsi="Arial"/>
          <w:sz w:val="20"/>
          <w:szCs w:val="20"/>
          <w:color w:val="auto"/>
        </w:rPr>
      </w:pPr>
      <w:r>
        <w:rPr>
          <w:rFonts w:ascii="Arial" w:cs="Arial" w:eastAsia="Arial" w:hAnsi="Arial"/>
          <w:sz w:val="20"/>
          <w:szCs w:val="20"/>
          <w:color w:val="auto"/>
        </w:rPr>
        <w:t>funded to at least the minimum level required by law or, if higher, to the level required by the terms governing the Plans, (ii) insured with a reputable insurance company, or (iii) (A) provided for or recognized in the financial statements most recently delivered to the Administrative Agent and the Lenders pursuant hereto or (B) estimated in the formal notes to the financial statements most recently delivered to the Administrative Agent and the Lenders pursuant hereto; and</w:t>
      </w:r>
    </w:p>
    <w:p>
      <w:pPr>
        <w:spacing w:after="0" w:line="140" w:lineRule="exact"/>
        <w:rPr>
          <w:rFonts w:ascii="Arial" w:cs="Arial" w:eastAsia="Arial" w:hAnsi="Arial"/>
          <w:sz w:val="20"/>
          <w:szCs w:val="20"/>
          <w:color w:val="auto"/>
        </w:rPr>
      </w:pPr>
    </w:p>
    <w:p>
      <w:pPr>
        <w:jc w:val="both"/>
        <w:ind w:firstLine="1304"/>
        <w:spacing w:after="0" w:line="282" w:lineRule="auto"/>
        <w:tabs>
          <w:tab w:leader="none" w:pos="1742" w:val="left"/>
        </w:tabs>
        <w:numPr>
          <w:ilvl w:val="1"/>
          <w:numId w:val="409"/>
        </w:numPr>
        <w:rPr>
          <w:rFonts w:ascii="Arial" w:cs="Arial" w:eastAsia="Arial" w:hAnsi="Arial"/>
          <w:sz w:val="18"/>
          <w:szCs w:val="18"/>
          <w:color w:val="auto"/>
        </w:rPr>
      </w:pPr>
      <w:r>
        <w:rPr>
          <w:rFonts w:ascii="Arial" w:cs="Arial" w:eastAsia="Arial" w:hAnsi="Arial"/>
          <w:sz w:val="18"/>
          <w:szCs w:val="18"/>
          <w:color w:val="auto"/>
        </w:rPr>
        <w:t>(i) the Borrower is not and will not be a “plan” within the meaning of Section 4975(e) of the Code; (ii) the assets of the Borrower do not and will not constitute “plan assets” within the meaning of the Plan Assets Regulation; (iii) the Borrower is not and will not be a “governmental plan” within the meaning of Section 3(32) of ERISA; and (iv) transactions by or with the Borrower are not and will not be subject to state statutes applicable to the Borrower regulating investments of fiduciaries with respect to governmental plans.</w:t>
      </w:r>
    </w:p>
    <w:p>
      <w:pPr>
        <w:spacing w:after="0" w:line="10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b w:val="1"/>
          <w:bCs w:val="1"/>
          <w:color w:val="auto"/>
        </w:rPr>
        <w:t>4.14 Investment Company Act; Other Regulations</w:t>
      </w:r>
      <w:r>
        <w:rPr>
          <w:rFonts w:ascii="Arial" w:cs="Arial" w:eastAsia="Arial" w:hAnsi="Arial"/>
          <w:sz w:val="18"/>
          <w:szCs w:val="18"/>
          <w:color w:val="auto"/>
        </w:rPr>
        <w:t>. No Loan Party is required to register as an “investment company” within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of the Investment Company Act of 1940, as amended. No Loan Party is subject to regulation under any Requirement of Law (that limits its ability to incur Indebtedness or which may otherwise render all or any portion of the Obligations unenforceable.</w:t>
      </w:r>
    </w:p>
    <w:p>
      <w:pPr>
        <w:spacing w:after="0" w:line="9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4.15</w:t>
      </w:r>
      <w:r>
        <w:rPr>
          <w:sz w:val="20"/>
          <w:szCs w:val="20"/>
          <w:color w:val="auto"/>
        </w:rPr>
        <w:tab/>
      </w:r>
      <w:r>
        <w:rPr>
          <w:rFonts w:ascii="Arial" w:cs="Arial" w:eastAsia="Arial" w:hAnsi="Arial"/>
          <w:sz w:val="16"/>
          <w:szCs w:val="16"/>
          <w:b w:val="1"/>
          <w:bCs w:val="1"/>
          <w:color w:val="auto"/>
        </w:rPr>
        <w:t>Subsidiaries</w:t>
      </w:r>
      <w:r>
        <w:rPr>
          <w:rFonts w:ascii="Arial" w:cs="Arial" w:eastAsia="Arial" w:hAnsi="Arial"/>
          <w:sz w:val="16"/>
          <w:szCs w:val="16"/>
          <w:color w:val="auto"/>
        </w:rPr>
        <w: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ectPr>
          <w:pgSz w:w="11900" w:h="16838" w:orient="portrait"/>
          <w:cols w:equalWidth="0" w:num="1">
            <w:col w:w="11240"/>
          </w:cols>
          <w:pgMar w:left="320" w:top="771" w:right="339" w:bottom="1440" w:gutter="0" w:footer="0" w:header="0"/>
        </w:sectPr>
      </w:pPr>
    </w:p>
    <w:bookmarkStart w:id="462" w:name="page463"/>
    <w:bookmarkEnd w:id="462"/>
    <w:p>
      <w:pPr>
        <w:ind w:left="1760" w:hanging="456"/>
        <w:spacing w:after="0"/>
        <w:tabs>
          <w:tab w:leader="none" w:pos="1760" w:val="left"/>
        </w:tabs>
        <w:numPr>
          <w:ilvl w:val="1"/>
          <w:numId w:val="410"/>
        </w:numPr>
        <w:rPr>
          <w:rFonts w:ascii="Arial" w:cs="Arial" w:eastAsia="Arial" w:hAnsi="Arial"/>
          <w:sz w:val="18"/>
          <w:szCs w:val="18"/>
          <w:color w:val="auto"/>
        </w:rPr>
      </w:pPr>
      <w:r>
        <w:rPr>
          <w:rFonts w:ascii="Arial" w:cs="Arial" w:eastAsia="Arial" w:hAnsi="Arial"/>
          <w:sz w:val="18"/>
          <w:szCs w:val="18"/>
          <w:color w:val="auto"/>
        </w:rPr>
        <w:t>Except as disclosed to the Administrative Agent by the Borrower in writing from time to time after the Closing Date,</w:t>
      </w:r>
    </w:p>
    <w:p>
      <w:pPr>
        <w:spacing w:after="0" w:line="38" w:lineRule="exact"/>
        <w:rPr>
          <w:rFonts w:ascii="Arial" w:cs="Arial" w:eastAsia="Arial" w:hAnsi="Arial"/>
          <w:sz w:val="18"/>
          <w:szCs w:val="18"/>
          <w:color w:val="auto"/>
        </w:rPr>
      </w:pPr>
    </w:p>
    <w:p>
      <w:pPr>
        <w:jc w:val="both"/>
        <w:ind w:firstLine="8"/>
        <w:spacing w:after="0"/>
        <w:tabs>
          <w:tab w:leader="none" w:pos="282" w:val="left"/>
        </w:tabs>
        <w:numPr>
          <w:ilvl w:val="0"/>
          <w:numId w:val="411"/>
        </w:numPr>
        <w:rPr>
          <w:rFonts w:ascii="Arial" w:cs="Arial" w:eastAsia="Arial" w:hAnsi="Arial"/>
          <w:sz w:val="20"/>
          <w:szCs w:val="20"/>
          <w:color w:val="auto"/>
        </w:rPr>
      </w:pPr>
      <w:r>
        <w:rPr>
          <w:rFonts w:ascii="Arial" w:cs="Arial" w:eastAsia="Arial" w:hAnsi="Arial"/>
          <w:sz w:val="20"/>
          <w:szCs w:val="20"/>
          <w:u w:val="single" w:color="auto"/>
          <w:color w:val="auto"/>
        </w:rPr>
        <w:t>Schedule 4.15</w:t>
      </w:r>
      <w:r>
        <w:rPr>
          <w:rFonts w:ascii="Arial" w:cs="Arial" w:eastAsia="Arial" w:hAnsi="Arial"/>
          <w:sz w:val="20"/>
          <w:szCs w:val="20"/>
          <w:color w:val="auto"/>
        </w:rPr>
        <w:t xml:space="preserve"> to the Disclosure Letter sets forth the name and jurisdiction of organization of each Subsidiary of NerdWallet and, as to each such Subsidiary, the percentage of each class of Capital Stock owned by any Loan Party, and (b) there are no outstanding subscriptions, options, warrants, calls, rights or other agreements or commitments (other than equity awards granted to employees, officers, consultants or directors and directors’ qualifying shares) of any nature relating to any Capital Stock of any Group Member, except as may be created by the Loan Documents.</w:t>
      </w:r>
    </w:p>
    <w:p>
      <w:pPr>
        <w:spacing w:after="0" w:line="143" w:lineRule="exact"/>
        <w:rPr>
          <w:rFonts w:ascii="Arial" w:cs="Arial" w:eastAsia="Arial" w:hAnsi="Arial"/>
          <w:sz w:val="20"/>
          <w:szCs w:val="20"/>
          <w:color w:val="auto"/>
        </w:rPr>
      </w:pPr>
    </w:p>
    <w:p>
      <w:pPr>
        <w:ind w:left="1860" w:hanging="556"/>
        <w:spacing w:after="0"/>
        <w:tabs>
          <w:tab w:leader="none" w:pos="1860" w:val="left"/>
        </w:tabs>
        <w:numPr>
          <w:ilvl w:val="1"/>
          <w:numId w:val="411"/>
        </w:numPr>
        <w:rPr>
          <w:rFonts w:ascii="Arial" w:cs="Arial" w:eastAsia="Arial" w:hAnsi="Arial"/>
          <w:sz w:val="18"/>
          <w:szCs w:val="18"/>
          <w:color w:val="auto"/>
        </w:rPr>
      </w:pPr>
      <w:r>
        <w:rPr>
          <w:rFonts w:ascii="Arial" w:cs="Arial" w:eastAsia="Arial" w:hAnsi="Arial"/>
          <w:sz w:val="18"/>
          <w:szCs w:val="18"/>
          <w:color w:val="auto"/>
        </w:rPr>
        <w:t>No Subsidiary which has been designated as an Immaterial Subsidiary fails to satisfy the limitations set forth in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definition thereof.</w:t>
      </w:r>
    </w:p>
    <w:p>
      <w:pPr>
        <w:spacing w:after="0" w:line="140"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4.16 Use of Proceeds</w:t>
      </w:r>
      <w:r>
        <w:rPr>
          <w:rFonts w:ascii="Arial" w:cs="Arial" w:eastAsia="Arial" w:hAnsi="Arial"/>
          <w:sz w:val="20"/>
          <w:szCs w:val="20"/>
          <w:color w:val="auto"/>
        </w:rPr>
        <w:t>. The proceeds of the Revolving Loans, Swingline Loans and Letters of Credit shall be used to pay fees and</w:t>
      </w:r>
      <w:r>
        <w:rPr>
          <w:rFonts w:ascii="Arial" w:cs="Arial" w:eastAsia="Arial" w:hAnsi="Arial"/>
          <w:sz w:val="20"/>
          <w:szCs w:val="20"/>
          <w:b w:val="1"/>
          <w:bCs w:val="1"/>
          <w:color w:val="auto"/>
        </w:rPr>
        <w:t xml:space="preserve"> </w:t>
      </w:r>
      <w:r>
        <w:rPr>
          <w:rFonts w:ascii="Arial" w:cs="Arial" w:eastAsia="Arial" w:hAnsi="Arial"/>
          <w:sz w:val="20"/>
          <w:szCs w:val="20"/>
          <w:color w:val="auto"/>
        </w:rPr>
        <w:t>expenses contemplated hereunder and for general corporate purposes (including Permitted Acquisitions).</w:t>
      </w:r>
    </w:p>
    <w:p>
      <w:pPr>
        <w:spacing w:after="0" w:line="10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4.17</w:t>
      </w:r>
      <w:r>
        <w:rPr>
          <w:sz w:val="20"/>
          <w:szCs w:val="20"/>
          <w:color w:val="auto"/>
        </w:rPr>
        <w:tab/>
      </w:r>
      <w:r>
        <w:rPr>
          <w:rFonts w:ascii="Arial" w:cs="Arial" w:eastAsia="Arial" w:hAnsi="Arial"/>
          <w:sz w:val="16"/>
          <w:szCs w:val="16"/>
          <w:b w:val="1"/>
          <w:bCs w:val="1"/>
          <w:color w:val="auto"/>
        </w:rPr>
        <w:t>Environmental Matters</w:t>
      </w:r>
      <w:r>
        <w:rPr>
          <w:rFonts w:ascii="Arial" w:cs="Arial" w:eastAsia="Arial" w:hAnsi="Arial"/>
          <w:sz w:val="16"/>
          <w:szCs w:val="16"/>
          <w:color w:val="auto"/>
        </w:rPr>
        <w:t>. Except as, in the aggregate, could not reasonably be expected to have a Material Adverse Effect:</w:t>
      </w:r>
    </w:p>
    <w:p>
      <w:pPr>
        <w:spacing w:after="0" w:line="168" w:lineRule="exact"/>
        <w:rPr>
          <w:sz w:val="20"/>
          <w:szCs w:val="20"/>
          <w:color w:val="auto"/>
        </w:rPr>
      </w:pPr>
    </w:p>
    <w:p>
      <w:pPr>
        <w:jc w:val="both"/>
        <w:ind w:firstLine="1304"/>
        <w:spacing w:after="0" w:line="250" w:lineRule="auto"/>
        <w:tabs>
          <w:tab w:leader="none" w:pos="1777" w:val="left"/>
        </w:tabs>
        <w:numPr>
          <w:ilvl w:val="0"/>
          <w:numId w:val="412"/>
        </w:numPr>
        <w:rPr>
          <w:rFonts w:ascii="Arial" w:cs="Arial" w:eastAsia="Arial" w:hAnsi="Arial"/>
          <w:sz w:val="20"/>
          <w:szCs w:val="20"/>
          <w:color w:val="auto"/>
        </w:rPr>
      </w:pPr>
      <w:r>
        <w:rPr>
          <w:rFonts w:ascii="Arial" w:cs="Arial" w:eastAsia="Arial" w:hAnsi="Arial"/>
          <w:sz w:val="20"/>
          <w:szCs w:val="20"/>
          <w:color w:val="auto"/>
        </w:rPr>
        <w:t>the facilities and properties owned, leased or operated by any Group Member (the “</w:t>
      </w:r>
      <w:r>
        <w:rPr>
          <w:rFonts w:ascii="Arial" w:cs="Arial" w:eastAsia="Arial" w:hAnsi="Arial"/>
          <w:sz w:val="20"/>
          <w:szCs w:val="20"/>
          <w:b w:val="1"/>
          <w:bCs w:val="1"/>
          <w:i w:val="1"/>
          <w:iCs w:val="1"/>
          <w:color w:val="auto"/>
        </w:rPr>
        <w:t>Properties</w:t>
      </w:r>
      <w:r>
        <w:rPr>
          <w:rFonts w:ascii="Arial" w:cs="Arial" w:eastAsia="Arial" w:hAnsi="Arial"/>
          <w:sz w:val="20"/>
          <w:szCs w:val="20"/>
          <w:color w:val="auto"/>
        </w:rPr>
        <w:t>”) do not contain, and have not previously contained, any Materials of Environmental Concern in amounts or concentrations or under circumstances that constitute or have constituted a violation of, or could give rise to liability under, any Environmental Law;</w:t>
      </w:r>
    </w:p>
    <w:p>
      <w:pPr>
        <w:spacing w:after="0" w:line="131" w:lineRule="exact"/>
        <w:rPr>
          <w:rFonts w:ascii="Arial" w:cs="Arial" w:eastAsia="Arial" w:hAnsi="Arial"/>
          <w:sz w:val="20"/>
          <w:szCs w:val="20"/>
          <w:color w:val="auto"/>
        </w:rPr>
      </w:pPr>
    </w:p>
    <w:p>
      <w:pPr>
        <w:jc w:val="both"/>
        <w:ind w:firstLine="1304"/>
        <w:spacing w:after="0" w:line="246" w:lineRule="auto"/>
        <w:tabs>
          <w:tab w:leader="none" w:pos="1781" w:val="left"/>
        </w:tabs>
        <w:numPr>
          <w:ilvl w:val="0"/>
          <w:numId w:val="412"/>
        </w:numPr>
        <w:rPr>
          <w:rFonts w:ascii="Arial" w:cs="Arial" w:eastAsia="Arial" w:hAnsi="Arial"/>
          <w:sz w:val="20"/>
          <w:szCs w:val="20"/>
          <w:color w:val="auto"/>
        </w:rPr>
      </w:pPr>
      <w:r>
        <w:rPr>
          <w:rFonts w:ascii="Arial" w:cs="Arial" w:eastAsia="Arial" w:hAnsi="Arial"/>
          <w:sz w:val="20"/>
          <w:szCs w:val="20"/>
          <w:color w:val="auto"/>
        </w:rPr>
        <w:t>no Group Member has received or is aware of any notice of violation, alleged violation, non-compliance, liability or potential liability regarding environmental matters or compliance with Environmental Laws with regard to any of the Properties or the business operated by any Group Member (the “</w:t>
      </w:r>
      <w:r>
        <w:rPr>
          <w:rFonts w:ascii="Arial" w:cs="Arial" w:eastAsia="Arial" w:hAnsi="Arial"/>
          <w:sz w:val="20"/>
          <w:szCs w:val="20"/>
          <w:b w:val="1"/>
          <w:bCs w:val="1"/>
          <w:i w:val="1"/>
          <w:iCs w:val="1"/>
          <w:color w:val="auto"/>
        </w:rPr>
        <w:t>Business</w:t>
      </w:r>
      <w:r>
        <w:rPr>
          <w:rFonts w:ascii="Arial" w:cs="Arial" w:eastAsia="Arial" w:hAnsi="Arial"/>
          <w:sz w:val="20"/>
          <w:szCs w:val="20"/>
          <w:color w:val="auto"/>
        </w:rPr>
        <w:t>”), nor does any Loan Party have knowledge or reason to believe that any such notice will be received or is being threatened;</w:t>
      </w:r>
    </w:p>
    <w:p>
      <w:pPr>
        <w:spacing w:after="0" w:line="137" w:lineRule="exact"/>
        <w:rPr>
          <w:rFonts w:ascii="Arial" w:cs="Arial" w:eastAsia="Arial" w:hAnsi="Arial"/>
          <w:sz w:val="20"/>
          <w:szCs w:val="20"/>
          <w:color w:val="auto"/>
        </w:rPr>
      </w:pPr>
    </w:p>
    <w:p>
      <w:pPr>
        <w:jc w:val="both"/>
        <w:ind w:firstLine="1304"/>
        <w:spacing w:after="0" w:line="246" w:lineRule="auto"/>
        <w:tabs>
          <w:tab w:leader="none" w:pos="1738" w:val="left"/>
        </w:tabs>
        <w:numPr>
          <w:ilvl w:val="0"/>
          <w:numId w:val="412"/>
        </w:numPr>
        <w:rPr>
          <w:rFonts w:ascii="Arial" w:cs="Arial" w:eastAsia="Arial" w:hAnsi="Arial"/>
          <w:sz w:val="20"/>
          <w:szCs w:val="20"/>
          <w:color w:val="auto"/>
        </w:rPr>
      </w:pPr>
      <w:r>
        <w:rPr>
          <w:rFonts w:ascii="Arial" w:cs="Arial" w:eastAsia="Arial" w:hAnsi="Arial"/>
          <w:sz w:val="20"/>
          <w:szCs w:val="20"/>
          <w:color w:val="auto"/>
        </w:rPr>
        <w:t>no Group Member has transported or disposed of Materials of Environmental Concern from the Properties in violation of, or in a manner or to a location that could give rise to liability under, any Environmental Law, nor has any Group Member generated, treated, stored or disposed of Materials of Environmental Concern at, on or under any of the Properties in violation of, or in a manner that could give rise to liability under, any applicable Environmental Law;</w:t>
      </w:r>
    </w:p>
    <w:p>
      <w:pPr>
        <w:spacing w:after="0" w:line="137" w:lineRule="exact"/>
        <w:rPr>
          <w:rFonts w:ascii="Arial" w:cs="Arial" w:eastAsia="Arial" w:hAnsi="Arial"/>
          <w:sz w:val="20"/>
          <w:szCs w:val="20"/>
          <w:color w:val="auto"/>
        </w:rPr>
      </w:pPr>
    </w:p>
    <w:p>
      <w:pPr>
        <w:jc w:val="both"/>
        <w:ind w:firstLine="1304"/>
        <w:spacing w:after="0" w:line="282" w:lineRule="auto"/>
        <w:tabs>
          <w:tab w:leader="none" w:pos="1735" w:val="left"/>
        </w:tabs>
        <w:numPr>
          <w:ilvl w:val="0"/>
          <w:numId w:val="412"/>
        </w:numPr>
        <w:rPr>
          <w:rFonts w:ascii="Arial" w:cs="Arial" w:eastAsia="Arial" w:hAnsi="Arial"/>
          <w:sz w:val="18"/>
          <w:szCs w:val="18"/>
          <w:color w:val="auto"/>
        </w:rPr>
      </w:pPr>
      <w:r>
        <w:rPr>
          <w:rFonts w:ascii="Arial" w:cs="Arial" w:eastAsia="Arial" w:hAnsi="Arial"/>
          <w:sz w:val="18"/>
          <w:szCs w:val="18"/>
          <w:color w:val="auto"/>
        </w:rPr>
        <w:t>no judicial proceeding or governmental or administrative action is pending or, to the knowledge of any Group Member, threatened, under any Environmental Law to which any Group Member is or will be named as a party with respect to the Properties or the Business, nor are there any consent decrees or other decrees, consent orders, administrative orders or other orders, or other administrative or judicial requirements outstanding under any Environmental Law with respect to the Properties or the Business;</w:t>
      </w:r>
    </w:p>
    <w:p>
      <w:pPr>
        <w:spacing w:after="0" w:line="107" w:lineRule="exact"/>
        <w:rPr>
          <w:rFonts w:ascii="Arial" w:cs="Arial" w:eastAsia="Arial" w:hAnsi="Arial"/>
          <w:sz w:val="18"/>
          <w:szCs w:val="18"/>
          <w:color w:val="auto"/>
        </w:rPr>
      </w:pPr>
    </w:p>
    <w:p>
      <w:pPr>
        <w:jc w:val="both"/>
        <w:ind w:firstLine="1304"/>
        <w:spacing w:after="0" w:line="250" w:lineRule="auto"/>
        <w:tabs>
          <w:tab w:leader="none" w:pos="1760" w:val="left"/>
        </w:tabs>
        <w:numPr>
          <w:ilvl w:val="0"/>
          <w:numId w:val="412"/>
        </w:numPr>
        <w:rPr>
          <w:rFonts w:ascii="Arial" w:cs="Arial" w:eastAsia="Arial" w:hAnsi="Arial"/>
          <w:sz w:val="20"/>
          <w:szCs w:val="20"/>
          <w:color w:val="auto"/>
        </w:rPr>
      </w:pPr>
      <w:r>
        <w:rPr>
          <w:rFonts w:ascii="Arial" w:cs="Arial" w:eastAsia="Arial" w:hAnsi="Arial"/>
          <w:sz w:val="20"/>
          <w:szCs w:val="20"/>
          <w:color w:val="auto"/>
        </w:rPr>
        <w:t>there has been no release or threat of release of Materials of Environmental Concern at or from the Properties arising from or related to the operations of any Group Member or otherwise in connection with the Business, in violation of or in amounts or in a manner that could reasonably be expected to give rise to liability under Environmental Laws;</w:t>
      </w:r>
    </w:p>
    <w:p>
      <w:pPr>
        <w:spacing w:after="0" w:line="131" w:lineRule="exact"/>
        <w:rPr>
          <w:rFonts w:ascii="Arial" w:cs="Arial" w:eastAsia="Arial" w:hAnsi="Arial"/>
          <w:sz w:val="20"/>
          <w:szCs w:val="20"/>
          <w:color w:val="auto"/>
        </w:rPr>
      </w:pPr>
    </w:p>
    <w:p>
      <w:pPr>
        <w:jc w:val="both"/>
        <w:ind w:firstLine="1304"/>
        <w:spacing w:after="0" w:line="250" w:lineRule="auto"/>
        <w:tabs>
          <w:tab w:leader="none" w:pos="1750" w:val="left"/>
        </w:tabs>
        <w:numPr>
          <w:ilvl w:val="0"/>
          <w:numId w:val="412"/>
        </w:numPr>
        <w:rPr>
          <w:rFonts w:ascii="Arial" w:cs="Arial" w:eastAsia="Arial" w:hAnsi="Arial"/>
          <w:sz w:val="20"/>
          <w:szCs w:val="20"/>
          <w:color w:val="auto"/>
        </w:rPr>
      </w:pPr>
      <w:r>
        <w:rPr>
          <w:rFonts w:ascii="Arial" w:cs="Arial" w:eastAsia="Arial" w:hAnsi="Arial"/>
          <w:sz w:val="20"/>
          <w:szCs w:val="20"/>
          <w:color w:val="auto"/>
        </w:rPr>
        <w:t xml:space="preserve">the Properties and all operations of the Group Members at the Properties are in compliance, and have in the last five years been in compliance, with all applicable Environmental Laws, and except as set forth on </w:t>
      </w:r>
      <w:r>
        <w:rPr>
          <w:rFonts w:ascii="Arial" w:cs="Arial" w:eastAsia="Arial" w:hAnsi="Arial"/>
          <w:sz w:val="20"/>
          <w:szCs w:val="20"/>
          <w:u w:val="single" w:color="auto"/>
          <w:color w:val="auto"/>
        </w:rPr>
        <w:t>Schedule 4.17</w:t>
      </w:r>
      <w:r>
        <w:rPr>
          <w:rFonts w:ascii="Arial" w:cs="Arial" w:eastAsia="Arial" w:hAnsi="Arial"/>
          <w:sz w:val="20"/>
          <w:szCs w:val="20"/>
          <w:color w:val="auto"/>
        </w:rPr>
        <w:t xml:space="preserve"> to the Disclosure Letter, to the knowledge of the Borrower, there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ectPr>
          <w:pgSz w:w="11900" w:h="16838" w:orient="portrait"/>
          <w:cols w:equalWidth="0" w:num="1">
            <w:col w:w="11240"/>
          </w:cols>
          <w:pgMar w:left="320" w:top="771" w:right="339" w:bottom="1440" w:gutter="0" w:footer="0" w:header="0"/>
        </w:sectPr>
      </w:pPr>
    </w:p>
    <w:bookmarkStart w:id="463" w:name="page464"/>
    <w:bookmarkEnd w:id="463"/>
    <w:p>
      <w:pPr>
        <w:jc w:val="both"/>
        <w:ind w:right="20"/>
        <w:spacing w:after="0" w:line="260" w:lineRule="auto"/>
        <w:rPr>
          <w:sz w:val="20"/>
          <w:szCs w:val="20"/>
          <w:color w:val="auto"/>
        </w:rPr>
      </w:pPr>
      <w:r>
        <w:rPr>
          <w:rFonts w:ascii="Arial" w:cs="Arial" w:eastAsia="Arial" w:hAnsi="Arial"/>
          <w:sz w:val="20"/>
          <w:szCs w:val="20"/>
          <w:color w:val="auto"/>
        </w:rPr>
        <w:t>is no contamination at, under or about the Properties or violation of any Environmental Law with respect to the Properties or the Business; and</w:t>
      </w:r>
    </w:p>
    <w:p>
      <w:pPr>
        <w:spacing w:after="0" w:line="123"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(g)</w:t>
      </w:r>
      <w:r>
        <w:rPr>
          <w:sz w:val="20"/>
          <w:szCs w:val="20"/>
          <w:color w:val="auto"/>
        </w:rPr>
        <w:tab/>
      </w:r>
      <w:r>
        <w:rPr>
          <w:rFonts w:ascii="Arial" w:cs="Arial" w:eastAsia="Arial" w:hAnsi="Arial"/>
          <w:sz w:val="16"/>
          <w:szCs w:val="16"/>
          <w:color w:val="auto"/>
        </w:rPr>
        <w:t>no Group Member has assumed any liability of any other Person under Environmental Laws.</w:t>
      </w:r>
    </w:p>
    <w:p>
      <w:pPr>
        <w:spacing w:after="0" w:line="1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b w:val="1"/>
          <w:bCs w:val="1"/>
          <w:color w:val="auto"/>
        </w:rPr>
        <w:t xml:space="preserve">4.18 Accuracy of Information, etc. </w:t>
      </w:r>
      <w:r>
        <w:rPr>
          <w:rFonts w:ascii="Arial" w:cs="Arial" w:eastAsia="Arial" w:hAnsi="Arial"/>
          <w:sz w:val="18"/>
          <w:szCs w:val="18"/>
          <w:color w:val="auto"/>
        </w:rPr>
        <w:t>No statement or information contained in this Agreement, any other Loan Document or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document, certificate or statement furnished by or on behalf of any Loan Party to the Administrative Agent or the Lenders, or any of them, for use in connection with the transactions contemplated by this Agreement or the other Loan Documents, contained as of the date such statement, information, document or certificate was so furnished, any untrue statement of a material fact or omitted to state a material fact necessary to make the statements contained herein or therein not misleading in light of the circumstances under which such statement, information, document or certificate was furnished. The projections contained in the materials referenced above (including the Closing Date Projections) are based upon good faith estimates and assumptions believed by management of the Borrower to be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 There is no fact known to any Loan Party that could reasonably be expected to have a Material Adverse Effect that has not been expressly disclosed herein, in the other Loan Documents or in any other documents, certificates and statements furnished to the Administrative Agent and the Lenders for use in connection with the transactions contemplated hereby and by the other Loan Documents.</w:t>
      </w:r>
    </w:p>
    <w:p>
      <w:pPr>
        <w:spacing w:after="0" w:line="11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4.19</w:t>
      </w:r>
      <w:r>
        <w:rPr>
          <w:sz w:val="20"/>
          <w:szCs w:val="20"/>
          <w:color w:val="auto"/>
        </w:rPr>
        <w:tab/>
      </w:r>
      <w:r>
        <w:rPr>
          <w:rFonts w:ascii="Arial" w:cs="Arial" w:eastAsia="Arial" w:hAnsi="Arial"/>
          <w:sz w:val="16"/>
          <w:szCs w:val="16"/>
          <w:b w:val="1"/>
          <w:bCs w:val="1"/>
          <w:color w:val="auto"/>
        </w:rPr>
        <w:t>Security Documents</w:t>
      </w:r>
      <w:r>
        <w:rPr>
          <w:rFonts w:ascii="Arial" w:cs="Arial" w:eastAsia="Arial" w:hAnsi="Arial"/>
          <w:sz w:val="16"/>
          <w:szCs w:val="16"/>
          <w:color w:val="auto"/>
        </w:rPr>
        <w:t>.</w:t>
      </w:r>
    </w:p>
    <w:p>
      <w:pPr>
        <w:spacing w:after="0" w:line="168" w:lineRule="exact"/>
        <w:rPr>
          <w:sz w:val="20"/>
          <w:szCs w:val="20"/>
          <w:color w:val="auto"/>
        </w:rPr>
      </w:pPr>
    </w:p>
    <w:p>
      <w:pPr>
        <w:jc w:val="both"/>
        <w:ind w:firstLine="1304"/>
        <w:spacing w:after="0" w:line="270" w:lineRule="auto"/>
        <w:tabs>
          <w:tab w:leader="none" w:pos="1752"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The Guarantee and Collateral Agreement is effective to create in favor of the Administrative Agent, for the benefit of the Secured Parties, a legal, valid and enforceable security interest in the Collateral described therein and proceeds thereof. In the case of the Pledged Stock described in the Guarantee and Collateral Agreement that are securities represented by stock certificates or otherwise constituting certificated securities within the meaning of Section 8-102(a)(15) of the UCC or the corresponding code or statute of any other applicable jurisdiction (“</w:t>
      </w:r>
      <w:r>
        <w:rPr>
          <w:rFonts w:ascii="Arial" w:cs="Arial" w:eastAsia="Arial" w:hAnsi="Arial"/>
          <w:sz w:val="18"/>
          <w:szCs w:val="18"/>
          <w:b w:val="1"/>
          <w:bCs w:val="1"/>
          <w:i w:val="1"/>
          <w:iCs w:val="1"/>
          <w:color w:val="auto"/>
        </w:rPr>
        <w:t>Certificated Securities</w:t>
      </w:r>
      <w:r>
        <w:rPr>
          <w:rFonts w:ascii="Arial" w:cs="Arial" w:eastAsia="Arial" w:hAnsi="Arial"/>
          <w:sz w:val="18"/>
          <w:szCs w:val="18"/>
          <w:color w:val="auto"/>
        </w:rPr>
        <w:t xml:space="preserve">”), when certificates representing such Pledged Stock (which, in the case of a certificated securities in registered form, are indorsed to the Administrative Agent or in blank by an effective indorsement) are delivered to the Administrative Agent, and in the case of the other Collateral constituting personal property described in the Guarantee and Collateral Agreement, when financing statements and other filings specified on </w:t>
      </w:r>
      <w:r>
        <w:rPr>
          <w:rFonts w:ascii="Arial" w:cs="Arial" w:eastAsia="Arial" w:hAnsi="Arial"/>
          <w:sz w:val="18"/>
          <w:szCs w:val="18"/>
          <w:u w:val="single" w:color="auto"/>
          <w:color w:val="auto"/>
        </w:rPr>
        <w:t>Schedule 4.19(a)</w:t>
      </w:r>
      <w:r>
        <w:rPr>
          <w:rFonts w:ascii="Arial" w:cs="Arial" w:eastAsia="Arial" w:hAnsi="Arial"/>
          <w:sz w:val="18"/>
          <w:szCs w:val="18"/>
          <w:color w:val="auto"/>
        </w:rPr>
        <w:t xml:space="preserve"> to the Disclosure Letter in appropriate form are filed in the offices specified on </w:t>
      </w:r>
      <w:r>
        <w:rPr>
          <w:rFonts w:ascii="Arial" w:cs="Arial" w:eastAsia="Arial" w:hAnsi="Arial"/>
          <w:sz w:val="18"/>
          <w:szCs w:val="18"/>
          <w:u w:val="single" w:color="auto"/>
          <w:color w:val="auto"/>
        </w:rPr>
        <w:t>Schedule 4.19(a)</w:t>
      </w:r>
      <w:r>
        <w:rPr>
          <w:rFonts w:ascii="Arial" w:cs="Arial" w:eastAsia="Arial" w:hAnsi="Arial"/>
          <w:sz w:val="18"/>
          <w:szCs w:val="18"/>
          <w:color w:val="auto"/>
        </w:rPr>
        <w:t xml:space="preserve"> to the Disclosure Letter, the Administrative Agent, for the benefit of the Secured Parties, shall have a fully perfected Lien on, and security interest in, all right, title and interest of the Loan Parties in such Collateral and the proceeds thereof, as security for the Obligations, in each case prior and superior in right to any other Person (except, in the case of Collateral other than Pledged Stock, Liens permitted by </w:t>
      </w:r>
      <w:r>
        <w:rPr>
          <w:rFonts w:ascii="Arial" w:cs="Arial" w:eastAsia="Arial" w:hAnsi="Arial"/>
          <w:sz w:val="18"/>
          <w:szCs w:val="18"/>
          <w:u w:val="single" w:color="auto"/>
          <w:color w:val="auto"/>
        </w:rPr>
        <w:t>Section 7.3</w:t>
      </w:r>
      <w:r>
        <w:rPr>
          <w:rFonts w:ascii="Arial" w:cs="Arial" w:eastAsia="Arial" w:hAnsi="Arial"/>
          <w:sz w:val="18"/>
          <w:szCs w:val="18"/>
          <w:color w:val="auto"/>
        </w:rPr>
        <w:t>). As of the Closing Date, none of the Capital Stock of any Group Member that is a limited liability company or partnership has any Capital Stock that is a Certificated Security.</w:t>
      </w:r>
    </w:p>
    <w:p>
      <w:pPr>
        <w:spacing w:after="0" w:line="118" w:lineRule="exact"/>
        <w:rPr>
          <w:rFonts w:ascii="Arial" w:cs="Arial" w:eastAsia="Arial" w:hAnsi="Arial"/>
          <w:sz w:val="18"/>
          <w:szCs w:val="18"/>
          <w:color w:val="auto"/>
        </w:rPr>
      </w:pPr>
    </w:p>
    <w:p>
      <w:pPr>
        <w:jc w:val="both"/>
        <w:ind w:firstLine="1304"/>
        <w:spacing w:after="0" w:line="276" w:lineRule="auto"/>
        <w:tabs>
          <w:tab w:leader="none" w:pos="1816" w:val="left"/>
        </w:tabs>
        <w:numPr>
          <w:ilvl w:val="0"/>
          <w:numId w:val="413"/>
        </w:numPr>
        <w:rPr>
          <w:rFonts w:ascii="Arial" w:cs="Arial" w:eastAsia="Arial" w:hAnsi="Arial"/>
          <w:sz w:val="18"/>
          <w:szCs w:val="18"/>
          <w:color w:val="auto"/>
        </w:rPr>
      </w:pPr>
      <w:r>
        <w:rPr>
          <w:rFonts w:ascii="Arial" w:cs="Arial" w:eastAsia="Arial" w:hAnsi="Arial"/>
          <w:sz w:val="18"/>
          <w:szCs w:val="18"/>
          <w:color w:val="auto"/>
        </w:rPr>
        <w:t xml:space="preserve">Each of the Mortgages delivered after the Closing Date will be, upon execution, effective to create in favor of the Administrative Agent, for the benefit of the Secured Parties, a legal, valid and enforceable Lien on the Mortgaged Properties described therein and proceeds thereof, and when the Mortgages are filed in the offices for the applicable jurisdictions in which the Mortgaged Properties are located, each such Mortgage shall constitute a fully perfected Lien on, and security interest in, all right, title and interest of the Loan Parties in the Mortgaged Properties and the proceeds thereof, as security for the Obligations (as defined in the relevant Mortgage), in each case prior and superior in right to any other Person (subject only to Liens expressly permitted by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ectPr>
          <w:pgSz w:w="11900" w:h="16838" w:orient="portrait"/>
          <w:cols w:equalWidth="0" w:num="1">
            <w:col w:w="11240"/>
          </w:cols>
          <w:pgMar w:left="320" w:top="771" w:right="339" w:bottom="1440" w:gutter="0" w:footer="0" w:header="0"/>
        </w:sectPr>
      </w:pPr>
    </w:p>
    <w:bookmarkStart w:id="464" w:name="page465"/>
    <w:bookmarkEnd w:id="464"/>
    <w:p>
      <w:pPr>
        <w:jc w:val="both"/>
        <w:ind w:firstLine="648"/>
        <w:spacing w:after="0" w:line="285" w:lineRule="auto"/>
        <w:rPr>
          <w:sz w:val="20"/>
          <w:szCs w:val="20"/>
          <w:color w:val="auto"/>
        </w:rPr>
      </w:pPr>
      <w:r>
        <w:rPr>
          <w:rFonts w:ascii="Arial" w:cs="Arial" w:eastAsia="Arial" w:hAnsi="Arial"/>
          <w:sz w:val="18"/>
          <w:szCs w:val="18"/>
          <w:b w:val="1"/>
          <w:bCs w:val="1"/>
          <w:color w:val="auto"/>
        </w:rPr>
        <w:t>4.20 Solvency; Voidable Transaction</w:t>
      </w:r>
      <w:r>
        <w:rPr>
          <w:rFonts w:ascii="Arial" w:cs="Arial" w:eastAsia="Arial" w:hAnsi="Arial"/>
          <w:sz w:val="18"/>
          <w:szCs w:val="18"/>
          <w:color w:val="auto"/>
        </w:rPr>
        <w:t>. Each Loan Party is, and after giving effect to the incurrence of all Indebtedness,</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and obligations being incurred in connection herewith, will be and will continue to be, Solvent. No transfer of property is being made by any Loan Party and no obligation is being incurred by any Loan Party in connection with the transactions contemplated by this Agreement or the other Loan Documents with the intent to hinder, delay, or defraud either present or future creditors of such Loan Party.</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4.21 Regulation H</w:t>
      </w:r>
      <w:r>
        <w:rPr>
          <w:rFonts w:ascii="Arial" w:cs="Arial" w:eastAsia="Arial" w:hAnsi="Arial"/>
          <w:sz w:val="20"/>
          <w:szCs w:val="20"/>
          <w:color w:val="auto"/>
        </w:rPr>
        <w:t>. No Mortgage encumbers improved real property that is located in an area that has been identified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Secretary of Housing and Urban Development as an area having special flood hazards and in which flood insurance has not been made available under the National Flood Insurance Act of 1968.</w:t>
      </w:r>
    </w:p>
    <w:p>
      <w:pPr>
        <w:spacing w:after="0" w:line="12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4.22 Designated Senior Indebtedness</w:t>
      </w:r>
      <w:r>
        <w:rPr>
          <w:rFonts w:ascii="Arial" w:cs="Arial" w:eastAsia="Arial" w:hAnsi="Arial"/>
          <w:sz w:val="19"/>
          <w:szCs w:val="19"/>
          <w:color w:val="auto"/>
        </w:rPr>
        <w:t>. The Loan Documents and all of the Obligations have been deemed “Designated Senior</w:t>
      </w:r>
      <w:r>
        <w:rPr>
          <w:rFonts w:ascii="Arial" w:cs="Arial" w:eastAsia="Arial" w:hAnsi="Arial"/>
          <w:sz w:val="19"/>
          <w:szCs w:val="19"/>
          <w:b w:val="1"/>
          <w:bCs w:val="1"/>
          <w:color w:val="auto"/>
        </w:rPr>
        <w:t xml:space="preserve"> </w:t>
      </w:r>
      <w:r>
        <w:rPr>
          <w:rFonts w:ascii="Arial" w:cs="Arial" w:eastAsia="Arial" w:hAnsi="Arial"/>
          <w:sz w:val="19"/>
          <w:szCs w:val="19"/>
          <w:color w:val="auto"/>
        </w:rPr>
        <w:t>Indebtedness” or a similar concept thereto, if applicable, for purposes of any other Indebtedness of the Loan Parties.</w:t>
      </w:r>
    </w:p>
    <w:p>
      <w:pPr>
        <w:spacing w:after="0" w:line="8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4.23</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16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b w:val="1"/>
          <w:bCs w:val="1"/>
          <w:color w:val="auto"/>
        </w:rPr>
        <w:t>4.24 Insurance</w:t>
      </w:r>
      <w:r>
        <w:rPr>
          <w:rFonts w:ascii="Arial" w:cs="Arial" w:eastAsia="Arial" w:hAnsi="Arial"/>
          <w:sz w:val="19"/>
          <w:szCs w:val="19"/>
          <w:color w:val="auto"/>
        </w:rPr>
        <w:t>. All insurance maintained by the Loan Parties is in full force and effect, all premiums have been duly paid, no</w:t>
      </w:r>
      <w:r>
        <w:rPr>
          <w:rFonts w:ascii="Arial" w:cs="Arial" w:eastAsia="Arial" w:hAnsi="Arial"/>
          <w:sz w:val="19"/>
          <w:szCs w:val="19"/>
          <w:b w:val="1"/>
          <w:bCs w:val="1"/>
          <w:color w:val="auto"/>
        </w:rPr>
        <w:t xml:space="preserve"> </w:t>
      </w:r>
      <w:r>
        <w:rPr>
          <w:rFonts w:ascii="Arial" w:cs="Arial" w:eastAsia="Arial" w:hAnsi="Arial"/>
          <w:sz w:val="19"/>
          <w:szCs w:val="19"/>
          <w:color w:val="auto"/>
        </w:rPr>
        <w:t>Loan Party has received notice of violation or cancellation thereof, and there exists no default under any requirement of such insurance. Each Loan Party maintains insurance with financially sound and reputable insurance companies on all its property in at least such amounts and against at least such risks (but including in any event public liability, product liability, and business interruption) as are usually insured against in the same general area by companies engaged in the same or a similar business.</w:t>
      </w:r>
    </w:p>
    <w:p>
      <w:pPr>
        <w:spacing w:after="0" w:line="117"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4.25 No Casualty</w:t>
      </w:r>
      <w:r>
        <w:rPr>
          <w:rFonts w:ascii="Arial" w:cs="Arial" w:eastAsia="Arial" w:hAnsi="Arial"/>
          <w:sz w:val="20"/>
          <w:szCs w:val="20"/>
          <w:color w:val="auto"/>
        </w:rPr>
        <w:t>. No Loan Party has received any notice of, nor does any Loan Party have any knowledge of, the occurrence or</w:t>
      </w:r>
      <w:r>
        <w:rPr>
          <w:rFonts w:ascii="Arial" w:cs="Arial" w:eastAsia="Arial" w:hAnsi="Arial"/>
          <w:sz w:val="20"/>
          <w:szCs w:val="20"/>
          <w:b w:val="1"/>
          <w:bCs w:val="1"/>
          <w:color w:val="auto"/>
        </w:rPr>
        <w:t xml:space="preserve"> </w:t>
      </w:r>
      <w:r>
        <w:rPr>
          <w:rFonts w:ascii="Arial" w:cs="Arial" w:eastAsia="Arial" w:hAnsi="Arial"/>
          <w:sz w:val="20"/>
          <w:szCs w:val="20"/>
          <w:color w:val="auto"/>
        </w:rPr>
        <w:t>pendency or contemplation of any Casualty Event affecting all or any material portion of its property.</w:t>
      </w:r>
    </w:p>
    <w:p>
      <w:pPr>
        <w:spacing w:after="0" w:line="10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4.26</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16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4.27</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16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4.28 OFAC</w:t>
      </w:r>
      <w:r>
        <w:rPr>
          <w:rFonts w:ascii="Arial" w:cs="Arial" w:eastAsia="Arial" w:hAnsi="Arial"/>
          <w:sz w:val="20"/>
          <w:szCs w:val="20"/>
          <w:color w:val="auto"/>
        </w:rPr>
        <w:t>. No Group Member, nor, to the knowledge of any Group Member, any director, officer, employee, agent, affiliate or</w:t>
      </w:r>
      <w:r>
        <w:rPr>
          <w:rFonts w:ascii="Arial" w:cs="Arial" w:eastAsia="Arial" w:hAnsi="Arial"/>
          <w:sz w:val="20"/>
          <w:szCs w:val="20"/>
          <w:b w:val="1"/>
          <w:bCs w:val="1"/>
          <w:color w:val="auto"/>
        </w:rPr>
        <w:t xml:space="preserve"> </w:t>
      </w:r>
      <w:r>
        <w:rPr>
          <w:rFonts w:ascii="Arial" w:cs="Arial" w:eastAsia="Arial" w:hAnsi="Arial"/>
          <w:sz w:val="20"/>
          <w:szCs w:val="20"/>
          <w:color w:val="auto"/>
        </w:rPr>
        <w:t>representative thereof, is an individual or an entity that is, or is owned or controlled by an individual or entity that is (a) currently the subject of any Sanctions, or (b) located, organized or resident in a Designated Jurisdiction.</w:t>
      </w:r>
    </w:p>
    <w:p>
      <w:pPr>
        <w:spacing w:after="0" w:line="12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4.29 Anti-Corruption Laws</w:t>
      </w:r>
      <w:r>
        <w:rPr>
          <w:rFonts w:ascii="Arial" w:cs="Arial" w:eastAsia="Arial" w:hAnsi="Arial"/>
          <w:sz w:val="20"/>
          <w:szCs w:val="20"/>
          <w:color w:val="auto"/>
        </w:rPr>
        <w:t>. Each Group Member has conducted its business in compliance in all material respects with</w:t>
      </w:r>
      <w:r>
        <w:rPr>
          <w:rFonts w:ascii="Arial" w:cs="Arial" w:eastAsia="Arial" w:hAnsi="Arial"/>
          <w:sz w:val="20"/>
          <w:szCs w:val="20"/>
          <w:b w:val="1"/>
          <w:bCs w:val="1"/>
          <w:color w:val="auto"/>
        </w:rPr>
        <w:t xml:space="preserve"> </w:t>
      </w:r>
      <w:r>
        <w:rPr>
          <w:rFonts w:ascii="Arial" w:cs="Arial" w:eastAsia="Arial" w:hAnsi="Arial"/>
          <w:sz w:val="20"/>
          <w:szCs w:val="20"/>
          <w:color w:val="auto"/>
        </w:rPr>
        <w:t>applicable anti-corruption laws and has instituted and maintained policies and procedures designed to promote and achieve compliance with such laws.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CONDITIONS PRECEDENT</w:t>
      </w:r>
    </w:p>
    <w:p>
      <w:pPr>
        <w:spacing w:after="0" w:line="14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5.1 Conditions to Initial Extension of Credit</w:t>
      </w:r>
      <w:r>
        <w:rPr>
          <w:rFonts w:ascii="Arial" w:cs="Arial" w:eastAsia="Arial" w:hAnsi="Arial"/>
          <w:sz w:val="20"/>
          <w:szCs w:val="20"/>
          <w:color w:val="auto"/>
        </w:rPr>
        <w:t>. The effectiveness of this Agreement and the obligation of each Lender to make its</w:t>
      </w:r>
      <w:r>
        <w:rPr>
          <w:rFonts w:ascii="Arial" w:cs="Arial" w:eastAsia="Arial" w:hAnsi="Arial"/>
          <w:sz w:val="20"/>
          <w:szCs w:val="20"/>
          <w:b w:val="1"/>
          <w:bCs w:val="1"/>
          <w:color w:val="auto"/>
        </w:rPr>
        <w:t xml:space="preserve"> </w:t>
      </w:r>
      <w:r>
        <w:rPr>
          <w:rFonts w:ascii="Arial" w:cs="Arial" w:eastAsia="Arial" w:hAnsi="Arial"/>
          <w:sz w:val="20"/>
          <w:szCs w:val="20"/>
          <w:color w:val="auto"/>
        </w:rPr>
        <w:t>initial extension of credit hereunder shall be subject to the satisfaction or waiver, prior to or concurrently with the making of such extension of credit on the Closing Date, of the following conditions precedent: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ectPr>
          <w:pgSz w:w="11900" w:h="16838" w:orient="portrait"/>
          <w:cols w:equalWidth="0" w:num="1">
            <w:col w:w="11240"/>
          </w:cols>
          <w:pgMar w:left="320" w:top="765" w:right="339" w:bottom="1440" w:gutter="0" w:footer="0" w:header="0"/>
        </w:sectPr>
      </w:pPr>
    </w:p>
    <w:bookmarkStart w:id="465" w:name="page466"/>
    <w:bookmarkEnd w:id="465"/>
    <w:p>
      <w:pPr>
        <w:ind w:firstLine="1304"/>
        <w:spacing w:after="0" w:line="260" w:lineRule="auto"/>
        <w:tabs>
          <w:tab w:leader="none" w:pos="1740" w:val="left"/>
        </w:tabs>
        <w:numPr>
          <w:ilvl w:val="1"/>
          <w:numId w:val="414"/>
        </w:numPr>
        <w:rPr>
          <w:rFonts w:ascii="Arial" w:cs="Arial" w:eastAsia="Arial" w:hAnsi="Arial"/>
          <w:sz w:val="20"/>
          <w:szCs w:val="20"/>
          <w:color w:val="auto"/>
        </w:rPr>
      </w:pPr>
      <w:r>
        <w:rPr>
          <w:rFonts w:ascii="Arial" w:cs="Arial" w:eastAsia="Arial" w:hAnsi="Arial"/>
          <w:sz w:val="20"/>
          <w:szCs w:val="20"/>
          <w:u w:val="single" w:color="auto"/>
          <w:color w:val="auto"/>
        </w:rPr>
        <w:t>Loan Documents</w:t>
      </w:r>
      <w:r>
        <w:rPr>
          <w:rFonts w:ascii="Arial" w:cs="Arial" w:eastAsia="Arial" w:hAnsi="Arial"/>
          <w:sz w:val="20"/>
          <w:szCs w:val="20"/>
          <w:color w:val="auto"/>
        </w:rPr>
        <w:t>. The Administrative Agent shall have received each of the following, each of which shall be in form and substance satisfactory to the Administrative Agent:</w:t>
      </w:r>
    </w:p>
    <w:p>
      <w:pPr>
        <w:spacing w:after="0" w:line="122" w:lineRule="exact"/>
        <w:rPr>
          <w:rFonts w:ascii="Arial" w:cs="Arial" w:eastAsia="Arial" w:hAnsi="Arial"/>
          <w:sz w:val="20"/>
          <w:szCs w:val="20"/>
          <w:color w:val="auto"/>
        </w:rPr>
      </w:pPr>
    </w:p>
    <w:p>
      <w:pPr>
        <w:ind w:left="2380" w:hanging="428"/>
        <w:spacing w:after="0"/>
        <w:tabs>
          <w:tab w:leader="none" w:pos="2380" w:val="left"/>
        </w:tabs>
        <w:numPr>
          <w:ilvl w:val="2"/>
          <w:numId w:val="414"/>
        </w:numPr>
        <w:rPr>
          <w:rFonts w:ascii="Arial" w:cs="Arial" w:eastAsia="Arial" w:hAnsi="Arial"/>
          <w:sz w:val="18"/>
          <w:szCs w:val="18"/>
          <w:color w:val="auto"/>
        </w:rPr>
      </w:pPr>
      <w:r>
        <w:rPr>
          <w:rFonts w:ascii="Arial" w:cs="Arial" w:eastAsia="Arial" w:hAnsi="Arial"/>
          <w:sz w:val="18"/>
          <w:szCs w:val="18"/>
          <w:color w:val="auto"/>
        </w:rPr>
        <w:t>this Agreement, executed and delivered by the Administrative Agent, the Borrower and each Lender listed on</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u w:val="single" w:color="auto"/>
          <w:color w:val="auto"/>
        </w:rPr>
        <w:t>Schedule 1.1A</w:t>
      </w:r>
      <w:r>
        <w:rPr>
          <w:rFonts w:ascii="Arial" w:cs="Arial" w:eastAsia="Arial" w:hAnsi="Arial"/>
          <w:sz w:val="20"/>
          <w:szCs w:val="20"/>
          <w:color w:val="auto"/>
        </w:rPr>
        <w:t>;</w:t>
      </w:r>
    </w:p>
    <w:p>
      <w:pPr>
        <w:spacing w:after="0" w:line="145" w:lineRule="exact"/>
        <w:rPr>
          <w:rFonts w:ascii="Arial" w:cs="Arial" w:eastAsia="Arial" w:hAnsi="Arial"/>
          <w:sz w:val="18"/>
          <w:szCs w:val="18"/>
          <w:color w:val="auto"/>
        </w:rPr>
      </w:pPr>
    </w:p>
    <w:p>
      <w:pPr>
        <w:ind w:left="2420" w:hanging="468"/>
        <w:spacing w:after="0"/>
        <w:tabs>
          <w:tab w:leader="none" w:pos="2420" w:val="left"/>
        </w:tabs>
        <w:numPr>
          <w:ilvl w:val="2"/>
          <w:numId w:val="414"/>
        </w:numPr>
        <w:rPr>
          <w:rFonts w:ascii="Arial" w:cs="Arial" w:eastAsia="Arial" w:hAnsi="Arial"/>
          <w:sz w:val="18"/>
          <w:szCs w:val="18"/>
          <w:color w:val="auto"/>
        </w:rPr>
      </w:pPr>
      <w:r>
        <w:rPr>
          <w:rFonts w:ascii="Arial" w:cs="Arial" w:eastAsia="Arial" w:hAnsi="Arial"/>
          <w:sz w:val="18"/>
          <w:szCs w:val="18"/>
          <w:color w:val="auto"/>
        </w:rPr>
        <w:t>the Collateral Information Certificate and the Disclosure Letter, each executed by a Responsible Officer of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Borrower;</w:t>
      </w:r>
    </w:p>
    <w:p>
      <w:pPr>
        <w:spacing w:after="0" w:line="145" w:lineRule="exact"/>
        <w:rPr>
          <w:rFonts w:ascii="Arial" w:cs="Arial" w:eastAsia="Arial" w:hAnsi="Arial"/>
          <w:sz w:val="18"/>
          <w:szCs w:val="18"/>
          <w:color w:val="auto"/>
        </w:rPr>
      </w:pPr>
    </w:p>
    <w:p>
      <w:pPr>
        <w:ind w:left="2560" w:hanging="608"/>
        <w:spacing w:after="0"/>
        <w:tabs>
          <w:tab w:leader="none" w:pos="2560" w:val="left"/>
        </w:tabs>
        <w:numPr>
          <w:ilvl w:val="2"/>
          <w:numId w:val="414"/>
        </w:numPr>
        <w:rPr>
          <w:rFonts w:ascii="Arial" w:cs="Arial" w:eastAsia="Arial" w:hAnsi="Arial"/>
          <w:sz w:val="19"/>
          <w:szCs w:val="19"/>
          <w:color w:val="auto"/>
        </w:rPr>
      </w:pPr>
      <w:r>
        <w:rPr>
          <w:rFonts w:ascii="Arial" w:cs="Arial" w:eastAsia="Arial" w:hAnsi="Arial"/>
          <w:sz w:val="19"/>
          <w:szCs w:val="19"/>
          <w:color w:val="auto"/>
        </w:rPr>
        <w:t>if required by any Revolving Lender, a Revolving Loan Note executed by the Borrower in favor of such</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Revolving Lender; and</w:t>
      </w:r>
    </w:p>
    <w:p>
      <w:pPr>
        <w:spacing w:after="0" w:line="145" w:lineRule="exact"/>
        <w:rPr>
          <w:rFonts w:ascii="Arial" w:cs="Arial" w:eastAsia="Arial" w:hAnsi="Arial"/>
          <w:sz w:val="19"/>
          <w:szCs w:val="19"/>
          <w:color w:val="auto"/>
        </w:rPr>
      </w:pPr>
    </w:p>
    <w:p>
      <w:pPr>
        <w:ind w:left="2540" w:hanging="588"/>
        <w:spacing w:after="0"/>
        <w:tabs>
          <w:tab w:leader="none" w:pos="2540" w:val="left"/>
        </w:tabs>
        <w:numPr>
          <w:ilvl w:val="2"/>
          <w:numId w:val="414"/>
        </w:numPr>
        <w:rPr>
          <w:rFonts w:ascii="Arial" w:cs="Arial" w:eastAsia="Arial" w:hAnsi="Arial"/>
          <w:sz w:val="19"/>
          <w:szCs w:val="19"/>
          <w:color w:val="auto"/>
        </w:rPr>
      </w:pPr>
      <w:r>
        <w:rPr>
          <w:rFonts w:ascii="Arial" w:cs="Arial" w:eastAsia="Arial" w:hAnsi="Arial"/>
          <w:sz w:val="19"/>
          <w:szCs w:val="19"/>
          <w:color w:val="auto"/>
        </w:rPr>
        <w:t>if required by the Swingline Lender, the Swingline Loan Note executed by the Borrower in favor of such</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Swingline Lender.</w:t>
      </w:r>
    </w:p>
    <w:p>
      <w:pPr>
        <w:spacing w:after="0" w:line="145" w:lineRule="exact"/>
        <w:rPr>
          <w:rFonts w:ascii="Arial" w:cs="Arial" w:eastAsia="Arial" w:hAnsi="Arial"/>
          <w:sz w:val="19"/>
          <w:szCs w:val="19"/>
          <w:color w:val="auto"/>
        </w:rPr>
      </w:pPr>
    </w:p>
    <w:p>
      <w:pPr>
        <w:ind w:firstLine="1304"/>
        <w:spacing w:after="0" w:line="260" w:lineRule="auto"/>
        <w:tabs>
          <w:tab w:leader="none" w:pos="1873" w:val="left"/>
        </w:tabs>
        <w:numPr>
          <w:ilvl w:val="1"/>
          <w:numId w:val="414"/>
        </w:numPr>
        <w:rPr>
          <w:rFonts w:ascii="Arial" w:cs="Arial" w:eastAsia="Arial" w:hAnsi="Arial"/>
          <w:sz w:val="20"/>
          <w:szCs w:val="20"/>
          <w:color w:val="auto"/>
        </w:rPr>
      </w:pPr>
      <w:r>
        <w:rPr>
          <w:rFonts w:ascii="Arial" w:cs="Arial" w:eastAsia="Arial" w:hAnsi="Arial"/>
          <w:sz w:val="20"/>
          <w:szCs w:val="20"/>
          <w:u w:val="single" w:color="auto"/>
          <w:color w:val="auto"/>
        </w:rPr>
        <w:t>Closing Date Projections; Financial Statements.</w:t>
      </w:r>
      <w:r>
        <w:rPr>
          <w:rFonts w:ascii="Arial" w:cs="Arial" w:eastAsia="Arial" w:hAnsi="Arial"/>
          <w:sz w:val="20"/>
          <w:szCs w:val="20"/>
          <w:color w:val="auto"/>
        </w:rPr>
        <w:t xml:space="preserve"> The Administrative Agent shall have received the Closing Date Projections and the financial statements set forth in </w:t>
      </w:r>
      <w:r>
        <w:rPr>
          <w:rFonts w:ascii="Arial" w:cs="Arial" w:eastAsia="Arial" w:hAnsi="Arial"/>
          <w:sz w:val="20"/>
          <w:szCs w:val="20"/>
          <w:u w:val="single" w:color="auto"/>
          <w:color w:val="auto"/>
        </w:rPr>
        <w:t>Section 4.1</w:t>
      </w:r>
      <w:r>
        <w:rPr>
          <w:rFonts w:ascii="Arial" w:cs="Arial" w:eastAsia="Arial" w:hAnsi="Arial"/>
          <w:sz w:val="20"/>
          <w:szCs w:val="20"/>
          <w:color w:val="auto"/>
        </w:rPr>
        <w:t>.</w:t>
      </w:r>
    </w:p>
    <w:p>
      <w:pPr>
        <w:spacing w:after="0" w:line="122" w:lineRule="exact"/>
        <w:rPr>
          <w:rFonts w:ascii="Arial" w:cs="Arial" w:eastAsia="Arial" w:hAnsi="Arial"/>
          <w:sz w:val="20"/>
          <w:szCs w:val="20"/>
          <w:color w:val="auto"/>
        </w:rPr>
      </w:pPr>
    </w:p>
    <w:p>
      <w:pPr>
        <w:jc w:val="both"/>
        <w:ind w:firstLine="1304"/>
        <w:spacing w:after="0" w:line="246" w:lineRule="auto"/>
        <w:tabs>
          <w:tab w:leader="none" w:pos="1943" w:val="left"/>
        </w:tabs>
        <w:numPr>
          <w:ilvl w:val="1"/>
          <w:numId w:val="414"/>
        </w:numPr>
        <w:rPr>
          <w:rFonts w:ascii="Arial" w:cs="Arial" w:eastAsia="Arial" w:hAnsi="Arial"/>
          <w:sz w:val="20"/>
          <w:szCs w:val="20"/>
          <w:color w:val="auto"/>
        </w:rPr>
      </w:pPr>
      <w:r>
        <w:rPr>
          <w:rFonts w:ascii="Arial" w:cs="Arial" w:eastAsia="Arial" w:hAnsi="Arial"/>
          <w:sz w:val="20"/>
          <w:szCs w:val="20"/>
          <w:u w:val="single" w:color="auto"/>
          <w:color w:val="auto"/>
        </w:rPr>
        <w:t>Approvals.</w:t>
      </w:r>
      <w:r>
        <w:rPr>
          <w:rFonts w:ascii="Arial" w:cs="Arial" w:eastAsia="Arial" w:hAnsi="Arial"/>
          <w:sz w:val="20"/>
          <w:szCs w:val="20"/>
          <w:color w:val="auto"/>
        </w:rPr>
        <w:t xml:space="preserve"> Except for the Governmental Approvals described on </w:t>
      </w:r>
      <w:r>
        <w:rPr>
          <w:rFonts w:ascii="Arial" w:cs="Arial" w:eastAsia="Arial" w:hAnsi="Arial"/>
          <w:sz w:val="20"/>
          <w:szCs w:val="20"/>
          <w:u w:val="single" w:color="auto"/>
          <w:color w:val="auto"/>
        </w:rPr>
        <w:t>Schedule 4.4</w:t>
      </w:r>
      <w:r>
        <w:rPr>
          <w:rFonts w:ascii="Arial" w:cs="Arial" w:eastAsia="Arial" w:hAnsi="Arial"/>
          <w:sz w:val="20"/>
          <w:szCs w:val="20"/>
          <w:color w:val="auto"/>
        </w:rPr>
        <w:t xml:space="preserve"> to the Disclosure Letter, all Governmental Approvals and consents and approvals of, or notices to, any other Person (including the holders of any Capital Stock issued by any Loan Party) required in connection with the execution and performance of the Loan Documents, and the consummation of the transactions contemplated hereby, shall have been obtained and be in full force and effect.</w:t>
      </w:r>
    </w:p>
    <w:p>
      <w:pPr>
        <w:spacing w:after="0" w:line="137" w:lineRule="exact"/>
        <w:rPr>
          <w:rFonts w:ascii="Arial" w:cs="Arial" w:eastAsia="Arial" w:hAnsi="Arial"/>
          <w:sz w:val="20"/>
          <w:szCs w:val="20"/>
          <w:color w:val="auto"/>
        </w:rPr>
      </w:pPr>
    </w:p>
    <w:p>
      <w:pPr>
        <w:jc w:val="both"/>
        <w:ind w:firstLine="1304"/>
        <w:spacing w:after="0" w:line="268" w:lineRule="auto"/>
        <w:tabs>
          <w:tab w:leader="none" w:pos="1846" w:val="left"/>
        </w:tabs>
        <w:numPr>
          <w:ilvl w:val="1"/>
          <w:numId w:val="414"/>
        </w:numPr>
        <w:rPr>
          <w:rFonts w:ascii="Arial" w:cs="Arial" w:eastAsia="Arial" w:hAnsi="Arial"/>
          <w:sz w:val="18"/>
          <w:szCs w:val="18"/>
          <w:color w:val="auto"/>
        </w:rPr>
      </w:pPr>
      <w:r>
        <w:rPr>
          <w:rFonts w:ascii="Arial" w:cs="Arial" w:eastAsia="Arial" w:hAnsi="Arial"/>
          <w:sz w:val="18"/>
          <w:szCs w:val="18"/>
          <w:u w:val="single" w:color="auto"/>
          <w:color w:val="auto"/>
        </w:rPr>
        <w:t>Secretary’s or Managing Member’s Certificates; Certified Operating Documents; Good Standing Certificates.</w:t>
      </w:r>
      <w:r>
        <w:rPr>
          <w:rFonts w:ascii="Arial" w:cs="Arial" w:eastAsia="Arial" w:hAnsi="Arial"/>
          <w:sz w:val="18"/>
          <w:szCs w:val="18"/>
          <w:color w:val="auto"/>
        </w:rPr>
        <w:t xml:space="preserve"> The Administrative Agent shall have received (i) a certificate of each Loan Party, dated the Closing Date and executed by the Secretary, Managing Member or equivalent officer of such Loan Party,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with appropriate insertions and attachments, including (A) the Operating Documents of such Loan Party certified, in the case of formation documents, as of a recent date by the secretary of state or similar official of the relevant jurisdiction of organization of such Loan Party, (B) the relevant board resolutions or written consents of such Loan Party adopted by such Loan Party for the purposes of authorizing such Loan Party to enter into and perform the Loan Documents to which such Loan Party is party, and (C) the names, titles, incumbency and signature specimens of those representatives of such Loan Party who have been authorized by such resolutions and/or written consents to execute Loan Documents on behalf of such Loan Party, (ii) a long form good standing certificate for each Loan Party from its respective jurisdiction of organization, and</w:t>
      </w:r>
    </w:p>
    <w:p>
      <w:pPr>
        <w:spacing w:after="0" w:line="1" w:lineRule="exact"/>
        <w:rPr>
          <w:rFonts w:ascii="Arial" w:cs="Arial" w:eastAsia="Arial" w:hAnsi="Arial"/>
          <w:sz w:val="18"/>
          <w:szCs w:val="18"/>
          <w:color w:val="auto"/>
        </w:rPr>
      </w:pPr>
    </w:p>
    <w:p>
      <w:pPr>
        <w:ind w:firstLine="8"/>
        <w:spacing w:after="0" w:line="244" w:lineRule="auto"/>
        <w:tabs>
          <w:tab w:leader="none" w:pos="348" w:val="left"/>
        </w:tabs>
        <w:numPr>
          <w:ilvl w:val="0"/>
          <w:numId w:val="415"/>
        </w:numPr>
        <w:rPr>
          <w:rFonts w:ascii="Arial" w:cs="Arial" w:eastAsia="Arial" w:hAnsi="Arial"/>
          <w:sz w:val="20"/>
          <w:szCs w:val="20"/>
          <w:color w:val="auto"/>
        </w:rPr>
      </w:pPr>
      <w:r>
        <w:rPr>
          <w:rFonts w:ascii="Arial" w:cs="Arial" w:eastAsia="Arial" w:hAnsi="Arial"/>
          <w:sz w:val="20"/>
          <w:szCs w:val="20"/>
          <w:color w:val="auto"/>
        </w:rPr>
        <w:t>certificates of foreign qualification from each jurisdiction where the failure of a Loan Party to be qualified would reasonably be expected to have a Material Adverse Effect.</w:t>
      </w:r>
    </w:p>
    <w:p>
      <w:pPr>
        <w:spacing w:after="0" w:line="137" w:lineRule="exact"/>
        <w:rPr>
          <w:rFonts w:ascii="Arial" w:cs="Arial" w:eastAsia="Arial" w:hAnsi="Arial"/>
          <w:sz w:val="20"/>
          <w:szCs w:val="20"/>
          <w:color w:val="auto"/>
        </w:rPr>
      </w:pPr>
    </w:p>
    <w:p>
      <w:pPr>
        <w:ind w:left="1720" w:hanging="416"/>
        <w:spacing w:after="0"/>
        <w:tabs>
          <w:tab w:leader="none" w:pos="1720" w:val="left"/>
        </w:tabs>
        <w:numPr>
          <w:ilvl w:val="1"/>
          <w:numId w:val="415"/>
        </w:numPr>
        <w:rPr>
          <w:rFonts w:ascii="Arial" w:cs="Arial" w:eastAsia="Arial" w:hAnsi="Arial"/>
          <w:sz w:val="20"/>
          <w:szCs w:val="20"/>
          <w:color w:val="auto"/>
        </w:rPr>
      </w:pPr>
      <w:r>
        <w:rPr>
          <w:rFonts w:ascii="Arial" w:cs="Arial" w:eastAsia="Arial" w:hAnsi="Arial"/>
          <w:sz w:val="20"/>
          <w:szCs w:val="20"/>
          <w:u w:val="single" w:color="auto"/>
          <w:color w:val="auto"/>
        </w:rPr>
        <w:t>Responsible Officer’s Certificates.</w:t>
      </w:r>
    </w:p>
    <w:p>
      <w:pPr>
        <w:spacing w:after="0" w:line="161" w:lineRule="exact"/>
        <w:rPr>
          <w:rFonts w:ascii="Arial" w:cs="Arial" w:eastAsia="Arial" w:hAnsi="Arial"/>
          <w:sz w:val="20"/>
          <w:szCs w:val="20"/>
          <w:color w:val="auto"/>
        </w:rPr>
      </w:pPr>
    </w:p>
    <w:p>
      <w:pPr>
        <w:jc w:val="both"/>
        <w:ind w:firstLine="1952"/>
        <w:spacing w:after="0" w:line="244" w:lineRule="auto"/>
        <w:tabs>
          <w:tab w:leader="none" w:pos="2352" w:val="left"/>
        </w:tabs>
        <w:numPr>
          <w:ilvl w:val="2"/>
          <w:numId w:val="415"/>
        </w:numPr>
        <w:rPr>
          <w:rFonts w:ascii="Arial" w:cs="Arial" w:eastAsia="Arial" w:hAnsi="Arial"/>
          <w:sz w:val="20"/>
          <w:szCs w:val="20"/>
          <w:color w:val="auto"/>
        </w:rPr>
      </w:pPr>
      <w:r>
        <w:rPr>
          <w:rFonts w:ascii="Arial" w:cs="Arial" w:eastAsia="Arial" w:hAnsi="Arial"/>
          <w:sz w:val="20"/>
          <w:szCs w:val="20"/>
          <w:color w:val="auto"/>
        </w:rPr>
        <w:t>The Administrative Agent shall have received a certificate signed by a Responsible Officer of the Borrower, in form and substance reasonably satisfactory to it, either (A) attaching copies of all consents, licenses and approvals required in connection with the execution, delivery and performance by such Loan Party and the validity against such Loan Party of the Loan Documents to which it is party, and such consents, licenses and approvals shall be in full force and effect, or (B) stating that no such consents, licenses or approvals are so required.</w:t>
      </w:r>
    </w:p>
    <w:p>
      <w:pPr>
        <w:spacing w:after="0" w:line="140" w:lineRule="exact"/>
        <w:rPr>
          <w:rFonts w:ascii="Arial" w:cs="Arial" w:eastAsia="Arial" w:hAnsi="Arial"/>
          <w:sz w:val="20"/>
          <w:szCs w:val="20"/>
          <w:color w:val="auto"/>
        </w:rPr>
      </w:pPr>
    </w:p>
    <w:p>
      <w:pPr>
        <w:jc w:val="both"/>
        <w:ind w:firstLine="1952"/>
        <w:spacing w:after="0" w:line="250" w:lineRule="auto"/>
        <w:tabs>
          <w:tab w:leader="none" w:pos="2440" w:val="left"/>
        </w:tabs>
        <w:numPr>
          <w:ilvl w:val="2"/>
          <w:numId w:val="415"/>
        </w:numPr>
        <w:rPr>
          <w:rFonts w:ascii="Arial" w:cs="Arial" w:eastAsia="Arial" w:hAnsi="Arial"/>
          <w:sz w:val="20"/>
          <w:szCs w:val="20"/>
          <w:color w:val="auto"/>
        </w:rPr>
      </w:pPr>
      <w:r>
        <w:rPr>
          <w:rFonts w:ascii="Arial" w:cs="Arial" w:eastAsia="Arial" w:hAnsi="Arial"/>
          <w:sz w:val="20"/>
          <w:szCs w:val="20"/>
          <w:color w:val="auto"/>
        </w:rPr>
        <w:t xml:space="preserve">The Administrative Agent shall have received a certificate signed by a Responsible Officer of the Borrower, dated as of the Closing Date and in form and substance reasonably satisfactory to it, certifying (A) that the conditions specified in </w:t>
      </w:r>
      <w:r>
        <w:rPr>
          <w:rFonts w:ascii="Arial" w:cs="Arial" w:eastAsia="Arial" w:hAnsi="Arial"/>
          <w:sz w:val="20"/>
          <w:szCs w:val="20"/>
          <w:u w:val="single" w:color="auto"/>
          <w:color w:val="auto"/>
        </w:rPr>
        <w:t>Sections</w:t>
      </w:r>
      <w:r>
        <w:rPr>
          <w:rFonts w:ascii="Arial" w:cs="Arial" w:eastAsia="Arial" w:hAnsi="Arial"/>
          <w:sz w:val="20"/>
          <w:szCs w:val="20"/>
          <w:color w:val="auto"/>
        </w:rPr>
        <w:t xml:space="preserve"> </w:t>
      </w:r>
      <w:r>
        <w:rPr>
          <w:rFonts w:ascii="Arial" w:cs="Arial" w:eastAsia="Arial" w:hAnsi="Arial"/>
          <w:sz w:val="20"/>
          <w:szCs w:val="20"/>
          <w:u w:val="single" w:color="auto"/>
          <w:color w:val="auto"/>
        </w:rPr>
        <w:t>5.2(a)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(d)</w:t>
      </w:r>
      <w:r>
        <w:rPr>
          <w:rFonts w:ascii="Arial" w:cs="Arial" w:eastAsia="Arial" w:hAnsi="Arial"/>
          <w:sz w:val="20"/>
          <w:szCs w:val="20"/>
          <w:color w:val="auto"/>
        </w:rPr>
        <w:t xml:space="preserve"> have been satisfied,</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ectPr>
          <w:pgSz w:w="11900" w:h="16838" w:orient="portrait"/>
          <w:cols w:equalWidth="0" w:num="1">
            <w:col w:w="11240"/>
          </w:cols>
          <w:pgMar w:left="320" w:top="771" w:right="339" w:bottom="1440" w:gutter="0" w:footer="0" w:header="0"/>
        </w:sectPr>
      </w:pPr>
    </w:p>
    <w:bookmarkStart w:id="466" w:name="page467"/>
    <w:bookmarkEnd w:id="466"/>
    <w:p>
      <w:pPr>
        <w:spacing w:after="0" w:line="260" w:lineRule="auto"/>
        <w:rPr>
          <w:sz w:val="20"/>
          <w:szCs w:val="20"/>
          <w:color w:val="auto"/>
        </w:rPr>
      </w:pPr>
      <w:r>
        <w:rPr>
          <w:rFonts w:ascii="Arial" w:cs="Arial" w:eastAsia="Arial" w:hAnsi="Arial"/>
          <w:sz w:val="20"/>
          <w:szCs w:val="20"/>
          <w:color w:val="auto"/>
        </w:rPr>
        <w:t>and (B) that there has been no event or circumstance since July 31, 2020, that has had or that could reasonably be expected to have, either individually or in the aggregate, a Material Adverse Effect.</w:t>
      </w:r>
    </w:p>
    <w:p>
      <w:pPr>
        <w:spacing w:after="0" w:line="123" w:lineRule="exact"/>
        <w:rPr>
          <w:sz w:val="20"/>
          <w:szCs w:val="20"/>
          <w:color w:val="auto"/>
        </w:rPr>
      </w:pPr>
    </w:p>
    <w:p>
      <w:pPr>
        <w:jc w:val="both"/>
        <w:ind w:firstLine="1304"/>
        <w:spacing w:after="0" w:line="246" w:lineRule="auto"/>
        <w:tabs>
          <w:tab w:leader="none" w:pos="1854" w:val="left"/>
        </w:tabs>
        <w:numPr>
          <w:ilvl w:val="0"/>
          <w:numId w:val="416"/>
        </w:numPr>
        <w:rPr>
          <w:rFonts w:ascii="Arial" w:cs="Arial" w:eastAsia="Arial" w:hAnsi="Arial"/>
          <w:sz w:val="20"/>
          <w:szCs w:val="20"/>
          <w:color w:val="auto"/>
        </w:rPr>
      </w:pPr>
      <w:r>
        <w:rPr>
          <w:rFonts w:ascii="Arial" w:cs="Arial" w:eastAsia="Arial" w:hAnsi="Arial"/>
          <w:sz w:val="20"/>
          <w:szCs w:val="20"/>
          <w:u w:val="single" w:color="auto"/>
          <w:color w:val="auto"/>
        </w:rPr>
        <w:t>Patriot Act, etc.</w:t>
      </w:r>
      <w:r>
        <w:rPr>
          <w:rFonts w:ascii="Arial" w:cs="Arial" w:eastAsia="Arial" w:hAnsi="Arial"/>
          <w:sz w:val="20"/>
          <w:szCs w:val="20"/>
          <w:color w:val="auto"/>
        </w:rPr>
        <w:t xml:space="preserve"> The Administrative Agent and each Lender shall have received, prior to the Closing Date, all documentation and other information requested to comply with applicable “know your customer” and anti-money-laundering rules and regulations, including the Patriot Act and the Beneficial Ownership Regulation (including the Beneficial Ownership Certification), and a properly completed and signed IRS Form W-8 or W-9, as applicable, for each Loan Party.</w:t>
      </w:r>
    </w:p>
    <w:p>
      <w:pPr>
        <w:spacing w:after="0" w:line="137" w:lineRule="exact"/>
        <w:rPr>
          <w:rFonts w:ascii="Arial" w:cs="Arial" w:eastAsia="Arial" w:hAnsi="Arial"/>
          <w:sz w:val="20"/>
          <w:szCs w:val="20"/>
          <w:color w:val="auto"/>
        </w:rPr>
      </w:pPr>
    </w:p>
    <w:p>
      <w:pPr>
        <w:ind w:left="1740" w:hanging="436"/>
        <w:spacing w:after="0"/>
        <w:tabs>
          <w:tab w:leader="none" w:pos="1740" w:val="left"/>
        </w:tabs>
        <w:numPr>
          <w:ilvl w:val="0"/>
          <w:numId w:val="416"/>
        </w:numPr>
        <w:rPr>
          <w:rFonts w:ascii="Arial" w:cs="Arial" w:eastAsia="Arial" w:hAnsi="Arial"/>
          <w:sz w:val="20"/>
          <w:szCs w:val="20"/>
          <w:color w:val="auto"/>
        </w:rPr>
      </w:pP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740" w:hanging="436"/>
        <w:spacing w:after="0"/>
        <w:tabs>
          <w:tab w:leader="none" w:pos="1740" w:val="left"/>
        </w:tabs>
        <w:numPr>
          <w:ilvl w:val="0"/>
          <w:numId w:val="416"/>
        </w:numPr>
        <w:rPr>
          <w:rFonts w:ascii="Arial" w:cs="Arial" w:eastAsia="Arial" w:hAnsi="Arial"/>
          <w:sz w:val="20"/>
          <w:szCs w:val="20"/>
          <w:color w:val="auto"/>
        </w:rPr>
      </w:pPr>
      <w:r>
        <w:rPr>
          <w:rFonts w:ascii="Arial" w:cs="Arial" w:eastAsia="Arial" w:hAnsi="Arial"/>
          <w:sz w:val="20"/>
          <w:szCs w:val="20"/>
          <w:u w:val="single" w:color="auto"/>
          <w:color w:val="auto"/>
        </w:rPr>
        <w:t>[Reserved].</w:t>
      </w:r>
    </w:p>
    <w:p>
      <w:pPr>
        <w:spacing w:after="0" w:line="161" w:lineRule="exact"/>
        <w:rPr>
          <w:rFonts w:ascii="Arial" w:cs="Arial" w:eastAsia="Arial" w:hAnsi="Arial"/>
          <w:sz w:val="20"/>
          <w:szCs w:val="20"/>
          <w:color w:val="auto"/>
        </w:rPr>
      </w:pPr>
    </w:p>
    <w:p>
      <w:pPr>
        <w:ind w:firstLine="1304"/>
        <w:spacing w:after="0" w:line="260" w:lineRule="auto"/>
        <w:tabs>
          <w:tab w:leader="none" w:pos="1721" w:val="left"/>
        </w:tabs>
        <w:numPr>
          <w:ilvl w:val="0"/>
          <w:numId w:val="416"/>
        </w:numPr>
        <w:rPr>
          <w:rFonts w:ascii="Arial" w:cs="Arial" w:eastAsia="Arial" w:hAnsi="Arial"/>
          <w:sz w:val="20"/>
          <w:szCs w:val="20"/>
          <w:color w:val="auto"/>
        </w:rPr>
      </w:pPr>
      <w:r>
        <w:rPr>
          <w:rFonts w:ascii="Arial" w:cs="Arial" w:eastAsia="Arial" w:hAnsi="Arial"/>
          <w:sz w:val="20"/>
          <w:szCs w:val="20"/>
          <w:u w:val="single" w:color="auto"/>
          <w:color w:val="auto"/>
        </w:rPr>
        <w:t>Existing Obligations.</w:t>
      </w:r>
      <w:r>
        <w:rPr>
          <w:rFonts w:ascii="Arial" w:cs="Arial" w:eastAsia="Arial" w:hAnsi="Arial"/>
          <w:sz w:val="20"/>
          <w:szCs w:val="20"/>
          <w:color w:val="auto"/>
        </w:rPr>
        <w:t xml:space="preserve"> The Borrower shall have paid in respect any accrued fees and interest under the Existing Credit Agreement which are unpaid immediately prior to the Closing Date.</w:t>
      </w:r>
    </w:p>
    <w:p>
      <w:pPr>
        <w:spacing w:after="0" w:line="122" w:lineRule="exact"/>
        <w:rPr>
          <w:rFonts w:ascii="Arial" w:cs="Arial" w:eastAsia="Arial" w:hAnsi="Arial"/>
          <w:sz w:val="20"/>
          <w:szCs w:val="20"/>
          <w:color w:val="auto"/>
        </w:rPr>
      </w:pPr>
    </w:p>
    <w:p>
      <w:pPr>
        <w:ind w:left="1680" w:hanging="376"/>
        <w:spacing w:after="0"/>
        <w:tabs>
          <w:tab w:leader="none" w:pos="1680" w:val="left"/>
        </w:tabs>
        <w:numPr>
          <w:ilvl w:val="0"/>
          <w:numId w:val="416"/>
        </w:numPr>
        <w:rPr>
          <w:rFonts w:ascii="Arial" w:cs="Arial" w:eastAsia="Arial" w:hAnsi="Arial"/>
          <w:sz w:val="20"/>
          <w:szCs w:val="20"/>
          <w:color w:val="auto"/>
        </w:rPr>
      </w:pPr>
      <w:r>
        <w:rPr>
          <w:rFonts w:ascii="Arial" w:cs="Arial" w:eastAsia="Arial" w:hAnsi="Arial"/>
          <w:sz w:val="20"/>
          <w:szCs w:val="20"/>
          <w:u w:val="single" w:color="auto"/>
          <w:color w:val="auto"/>
        </w:rPr>
        <w:t>Collateral Matters.</w:t>
      </w:r>
    </w:p>
    <w:p>
      <w:pPr>
        <w:spacing w:after="0" w:line="161" w:lineRule="exact"/>
        <w:rPr>
          <w:rFonts w:ascii="Arial" w:cs="Arial" w:eastAsia="Arial" w:hAnsi="Arial"/>
          <w:sz w:val="20"/>
          <w:szCs w:val="20"/>
          <w:color w:val="auto"/>
        </w:rPr>
      </w:pPr>
    </w:p>
    <w:p>
      <w:pPr>
        <w:jc w:val="both"/>
        <w:ind w:firstLine="1952"/>
        <w:spacing w:after="0" w:line="250" w:lineRule="auto"/>
        <w:tabs>
          <w:tab w:leader="none" w:pos="2356" w:val="left"/>
        </w:tabs>
        <w:numPr>
          <w:ilvl w:val="1"/>
          <w:numId w:val="416"/>
        </w:numPr>
        <w:rPr>
          <w:rFonts w:ascii="Arial" w:cs="Arial" w:eastAsia="Arial" w:hAnsi="Arial"/>
          <w:sz w:val="20"/>
          <w:szCs w:val="20"/>
          <w:color w:val="auto"/>
        </w:rPr>
      </w:pPr>
      <w:r>
        <w:rPr>
          <w:rFonts w:ascii="Arial" w:cs="Arial" w:eastAsia="Arial" w:hAnsi="Arial"/>
          <w:sz w:val="20"/>
          <w:szCs w:val="20"/>
          <w:u w:val="single" w:color="auto"/>
          <w:color w:val="auto"/>
        </w:rPr>
        <w:t>Lien Searches</w:t>
      </w:r>
      <w:r>
        <w:rPr>
          <w:rFonts w:ascii="Arial" w:cs="Arial" w:eastAsia="Arial" w:hAnsi="Arial"/>
          <w:sz w:val="20"/>
          <w:szCs w:val="20"/>
          <w:color w:val="auto"/>
        </w:rPr>
        <w:t xml:space="preserve">. The Administrative Agent shall have received the results of recent lien, judgment and litigation searches in each of the jurisdictions reasonably required by the Administrative Agent, and such searches shall reveal no Liens on any of the assets of the Loan Parties except for Liens permitted by </w:t>
      </w:r>
      <w:r>
        <w:rPr>
          <w:rFonts w:ascii="Arial" w:cs="Arial" w:eastAsia="Arial" w:hAnsi="Arial"/>
          <w:sz w:val="20"/>
          <w:szCs w:val="20"/>
          <w:u w:val="single" w:color="auto"/>
          <w:color w:val="auto"/>
        </w:rPr>
        <w:t>Section 7.3</w:t>
      </w:r>
      <w:r>
        <w:rPr>
          <w:rFonts w:ascii="Arial" w:cs="Arial" w:eastAsia="Arial" w:hAnsi="Arial"/>
          <w:sz w:val="20"/>
          <w:szCs w:val="20"/>
          <w:color w:val="auto"/>
        </w:rPr>
        <w:t>.</w:t>
      </w:r>
    </w:p>
    <w:p>
      <w:pPr>
        <w:spacing w:after="0" w:line="131" w:lineRule="exact"/>
        <w:rPr>
          <w:rFonts w:ascii="Arial" w:cs="Arial" w:eastAsia="Arial" w:hAnsi="Arial"/>
          <w:sz w:val="20"/>
          <w:szCs w:val="20"/>
          <w:color w:val="auto"/>
        </w:rPr>
      </w:pPr>
    </w:p>
    <w:p>
      <w:pPr>
        <w:ind w:left="2400" w:hanging="448"/>
        <w:spacing w:after="0"/>
        <w:tabs>
          <w:tab w:leader="none" w:pos="2400" w:val="left"/>
        </w:tabs>
        <w:numPr>
          <w:ilvl w:val="1"/>
          <w:numId w:val="41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1952"/>
        <w:spacing w:after="0" w:line="276" w:lineRule="auto"/>
        <w:tabs>
          <w:tab w:leader="none" w:pos="2695" w:val="left"/>
        </w:tabs>
        <w:numPr>
          <w:ilvl w:val="1"/>
          <w:numId w:val="416"/>
        </w:numPr>
        <w:rPr>
          <w:rFonts w:ascii="Arial" w:cs="Arial" w:eastAsia="Arial" w:hAnsi="Arial"/>
          <w:sz w:val="18"/>
          <w:szCs w:val="18"/>
          <w:color w:val="auto"/>
        </w:rPr>
      </w:pPr>
      <w:r>
        <w:rPr>
          <w:rFonts w:ascii="Arial" w:cs="Arial" w:eastAsia="Arial" w:hAnsi="Arial"/>
          <w:sz w:val="18"/>
          <w:szCs w:val="18"/>
          <w:u w:val="single" w:color="auto"/>
          <w:color w:val="auto"/>
        </w:rPr>
        <w:t>Filings, Registrations, Recordings, Agreements, Etc.</w:t>
      </w:r>
      <w:r>
        <w:rPr>
          <w:rFonts w:ascii="Arial" w:cs="Arial" w:eastAsia="Arial" w:hAnsi="Arial"/>
          <w:sz w:val="18"/>
          <w:szCs w:val="18"/>
          <w:color w:val="auto"/>
        </w:rPr>
        <w:t xml:space="preserve"> Each document (including any UCC financing statements, Control Agreements and landlord access agreements and/or bailee waivers) required by the Security Documents or under law or reasonably requested by the Administrative Agent to be filed, registered or recorded to create in favor of the Administrative Agent (for the benefit of the Secured Parties), a perfected Lien on the Collateral described therein, prior and superior in right and priority to any Lien in the Collateral held by any other Person (other than with respect to Liens expressly permitted by </w:t>
      </w:r>
      <w:r>
        <w:rPr>
          <w:rFonts w:ascii="Arial" w:cs="Arial" w:eastAsia="Arial" w:hAnsi="Arial"/>
          <w:sz w:val="18"/>
          <w:szCs w:val="18"/>
          <w:u w:val="single" w:color="auto"/>
          <w:color w:val="auto"/>
        </w:rPr>
        <w:t>Section 7.3</w:t>
      </w:r>
      <w:r>
        <w:rPr>
          <w:rFonts w:ascii="Arial" w:cs="Arial" w:eastAsia="Arial" w:hAnsi="Arial"/>
          <w:sz w:val="18"/>
          <w:szCs w:val="18"/>
          <w:color w:val="auto"/>
        </w:rPr>
        <w:t>), shall have been executed and delivered to the Administrative Agent or, as applicable, be in proper form for filing, registration or recordation.</w:t>
      </w:r>
    </w:p>
    <w:p>
      <w:pPr>
        <w:spacing w:after="0" w:line="110" w:lineRule="exact"/>
        <w:rPr>
          <w:rFonts w:ascii="Arial" w:cs="Arial" w:eastAsia="Arial" w:hAnsi="Arial"/>
          <w:sz w:val="18"/>
          <w:szCs w:val="18"/>
          <w:color w:val="auto"/>
        </w:rPr>
      </w:pPr>
    </w:p>
    <w:p>
      <w:pPr>
        <w:ind w:left="1740" w:hanging="436"/>
        <w:spacing w:after="0"/>
        <w:tabs>
          <w:tab w:leader="none" w:pos="1740" w:val="left"/>
        </w:tabs>
        <w:numPr>
          <w:ilvl w:val="0"/>
          <w:numId w:val="416"/>
        </w:numPr>
        <w:rPr>
          <w:rFonts w:ascii="Arial" w:cs="Arial" w:eastAsia="Arial" w:hAnsi="Arial"/>
          <w:sz w:val="20"/>
          <w:szCs w:val="20"/>
          <w:color w:val="auto"/>
        </w:rPr>
      </w:pP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1304"/>
        <w:spacing w:after="0" w:line="282" w:lineRule="auto"/>
        <w:tabs>
          <w:tab w:leader="none" w:pos="1775" w:val="left"/>
        </w:tabs>
        <w:numPr>
          <w:ilvl w:val="0"/>
          <w:numId w:val="416"/>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The Lenders and the Administrative Agent shall have received all fees required to be paid on or prior to the Closing Date (including pursuant to the Fee Letter and the Existing Fee Letter), and all reasonable and documented fees and expenses of the Administrative Agent for which invoices have been presented at least 1 Business Day prior to the Closing Date (including the reasonable and documented fees and expenses of legal counsel to the Administrative Agent) for payment on or before the Closing Date.</w:t>
      </w:r>
    </w:p>
    <w:p>
      <w:pPr>
        <w:spacing w:after="0" w:line="107" w:lineRule="exact"/>
        <w:rPr>
          <w:rFonts w:ascii="Arial" w:cs="Arial" w:eastAsia="Arial" w:hAnsi="Arial"/>
          <w:sz w:val="18"/>
          <w:szCs w:val="18"/>
          <w:color w:val="auto"/>
        </w:rPr>
      </w:pPr>
    </w:p>
    <w:p>
      <w:pPr>
        <w:ind w:firstLine="1304"/>
        <w:spacing w:after="0" w:line="260" w:lineRule="auto"/>
        <w:tabs>
          <w:tab w:leader="none" w:pos="1820" w:val="left"/>
        </w:tabs>
        <w:numPr>
          <w:ilvl w:val="0"/>
          <w:numId w:val="416"/>
        </w:numPr>
        <w:rPr>
          <w:rFonts w:ascii="Arial" w:cs="Arial" w:eastAsia="Arial" w:hAnsi="Arial"/>
          <w:sz w:val="20"/>
          <w:szCs w:val="20"/>
          <w:color w:val="auto"/>
        </w:rPr>
      </w:pPr>
      <w:r>
        <w:rPr>
          <w:rFonts w:ascii="Arial" w:cs="Arial" w:eastAsia="Arial" w:hAnsi="Arial"/>
          <w:sz w:val="20"/>
          <w:szCs w:val="20"/>
          <w:u w:val="single" w:color="auto"/>
          <w:color w:val="auto"/>
        </w:rPr>
        <w:t>Legal Opinions</w:t>
      </w:r>
      <w:r>
        <w:rPr>
          <w:rFonts w:ascii="Arial" w:cs="Arial" w:eastAsia="Arial" w:hAnsi="Arial"/>
          <w:sz w:val="20"/>
          <w:szCs w:val="20"/>
          <w:color w:val="auto"/>
        </w:rPr>
        <w:t>. The Administrative Agent shall have received the executed legal opinion of Cooley LLP, counsel to the Loan Parties, in form and substance reasonably satisfactory to the Administrative Agent.</w:t>
      </w:r>
    </w:p>
    <w:p>
      <w:pPr>
        <w:spacing w:after="0" w:line="116" w:lineRule="exact"/>
        <w:rPr>
          <w:rFonts w:ascii="Arial" w:cs="Arial" w:eastAsia="Arial" w:hAnsi="Arial"/>
          <w:sz w:val="20"/>
          <w:szCs w:val="20"/>
          <w:color w:val="auto"/>
        </w:rPr>
      </w:pPr>
    </w:p>
    <w:p>
      <w:pPr>
        <w:ind w:left="1740" w:hanging="436"/>
        <w:spacing w:after="0"/>
        <w:tabs>
          <w:tab w:leader="none" w:pos="1740" w:val="left"/>
        </w:tabs>
        <w:numPr>
          <w:ilvl w:val="0"/>
          <w:numId w:val="416"/>
        </w:numPr>
        <w:rPr>
          <w:rFonts w:ascii="Arial" w:cs="Arial" w:eastAsia="Arial" w:hAnsi="Arial"/>
          <w:sz w:val="20"/>
          <w:szCs w:val="20"/>
          <w:color w:val="auto"/>
        </w:rPr>
      </w:pPr>
      <w:r>
        <w:rPr>
          <w:rFonts w:ascii="Arial" w:cs="Arial" w:eastAsia="Arial" w:hAnsi="Arial"/>
          <w:sz w:val="20"/>
          <w:szCs w:val="20"/>
          <w:u w:val="single" w:color="auto"/>
          <w:color w:val="auto"/>
        </w:rPr>
        <w:t>[Reserved]</w:t>
      </w:r>
      <w:r>
        <w:rPr>
          <w:rFonts w:ascii="Arial" w:cs="Arial" w:eastAsia="Arial" w:hAnsi="Arial"/>
          <w:sz w:val="20"/>
          <w:szCs w:val="20"/>
          <w:b w:val="1"/>
          <w:bCs w:val="1"/>
          <w:color w:val="auto"/>
        </w:rPr>
        <w:t>.</w:t>
      </w:r>
    </w:p>
    <w:p>
      <w:pPr>
        <w:spacing w:after="0" w:line="167" w:lineRule="exact"/>
        <w:rPr>
          <w:rFonts w:ascii="Arial" w:cs="Arial" w:eastAsia="Arial" w:hAnsi="Arial"/>
          <w:sz w:val="20"/>
          <w:szCs w:val="20"/>
          <w:color w:val="auto"/>
        </w:rPr>
      </w:pPr>
    </w:p>
    <w:p>
      <w:pPr>
        <w:ind w:firstLine="1304"/>
        <w:spacing w:after="0" w:line="260" w:lineRule="auto"/>
        <w:tabs>
          <w:tab w:leader="none" w:pos="1819" w:val="left"/>
        </w:tabs>
        <w:numPr>
          <w:ilvl w:val="0"/>
          <w:numId w:val="416"/>
        </w:numPr>
        <w:rPr>
          <w:rFonts w:ascii="Arial" w:cs="Arial" w:eastAsia="Arial" w:hAnsi="Arial"/>
          <w:sz w:val="20"/>
          <w:szCs w:val="20"/>
          <w:color w:val="auto"/>
        </w:rPr>
      </w:pPr>
      <w:r>
        <w:rPr>
          <w:rFonts w:ascii="Arial" w:cs="Arial" w:eastAsia="Arial" w:hAnsi="Arial"/>
          <w:sz w:val="20"/>
          <w:szCs w:val="20"/>
          <w:u w:val="single" w:color="auto"/>
          <w:color w:val="auto"/>
        </w:rPr>
        <w:t>Solvency Certificate</w:t>
      </w:r>
      <w:r>
        <w:rPr>
          <w:rFonts w:ascii="Arial" w:cs="Arial" w:eastAsia="Arial" w:hAnsi="Arial"/>
          <w:sz w:val="20"/>
          <w:szCs w:val="20"/>
          <w:color w:val="auto"/>
        </w:rPr>
        <w:t>. The Administrative Agent shall have received a Solvency Certificate from the chief financial officer or treasurer of the Borrower.</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80</w:t>
      </w:r>
    </w:p>
    <w:p>
      <w:pPr>
        <w:sectPr>
          <w:pgSz w:w="11900" w:h="16838" w:orient="portrait"/>
          <w:cols w:equalWidth="0" w:num="1">
            <w:col w:w="11240"/>
          </w:cols>
          <w:pgMar w:left="320" w:top="771" w:right="339" w:bottom="1440" w:gutter="0" w:footer="0" w:header="0"/>
        </w:sectPr>
      </w:pPr>
    </w:p>
    <w:bookmarkStart w:id="467" w:name="page468"/>
    <w:bookmarkEnd w:id="467"/>
    <w:p>
      <w:pPr>
        <w:ind w:firstLine="1304"/>
        <w:spacing w:after="0" w:line="260" w:lineRule="auto"/>
        <w:tabs>
          <w:tab w:leader="none" w:pos="1751" w:val="left"/>
        </w:tabs>
        <w:numPr>
          <w:ilvl w:val="0"/>
          <w:numId w:val="417"/>
        </w:numPr>
        <w:rPr>
          <w:rFonts w:ascii="Arial" w:cs="Arial" w:eastAsia="Arial" w:hAnsi="Arial"/>
          <w:sz w:val="20"/>
          <w:szCs w:val="20"/>
          <w:color w:val="auto"/>
        </w:rPr>
      </w:pPr>
      <w:r>
        <w:rPr>
          <w:rFonts w:ascii="Arial" w:cs="Arial" w:eastAsia="Arial" w:hAnsi="Arial"/>
          <w:sz w:val="20"/>
          <w:szCs w:val="20"/>
          <w:u w:val="single" w:color="auto"/>
          <w:color w:val="auto"/>
        </w:rPr>
        <w:t>No Material Adverse Effect</w:t>
      </w:r>
      <w:r>
        <w:rPr>
          <w:rFonts w:ascii="Arial" w:cs="Arial" w:eastAsia="Arial" w:hAnsi="Arial"/>
          <w:sz w:val="20"/>
          <w:szCs w:val="20"/>
          <w:color w:val="auto"/>
        </w:rPr>
        <w:t>. There shall not have occurred since July 31, 2020, any event or condition that has had or could be reasonably expected to have, individually or in the aggregate, a Material Adverse Effect.</w:t>
      </w:r>
    </w:p>
    <w:p>
      <w:pPr>
        <w:spacing w:after="0" w:line="122" w:lineRule="exact"/>
        <w:rPr>
          <w:rFonts w:ascii="Arial" w:cs="Arial" w:eastAsia="Arial" w:hAnsi="Arial"/>
          <w:sz w:val="20"/>
          <w:szCs w:val="20"/>
          <w:color w:val="auto"/>
        </w:rPr>
      </w:pPr>
    </w:p>
    <w:p>
      <w:pPr>
        <w:ind w:firstLine="1304"/>
        <w:spacing w:after="0" w:line="316" w:lineRule="auto"/>
        <w:tabs>
          <w:tab w:leader="none" w:pos="1832" w:val="left"/>
        </w:tabs>
        <w:numPr>
          <w:ilvl w:val="0"/>
          <w:numId w:val="417"/>
        </w:numPr>
        <w:rPr>
          <w:rFonts w:ascii="Arial" w:cs="Arial" w:eastAsia="Arial" w:hAnsi="Arial"/>
          <w:sz w:val="18"/>
          <w:szCs w:val="18"/>
          <w:color w:val="auto"/>
        </w:rPr>
      </w:pPr>
      <w:r>
        <w:rPr>
          <w:rFonts w:ascii="Arial" w:cs="Arial" w:eastAsia="Arial" w:hAnsi="Arial"/>
          <w:sz w:val="18"/>
          <w:szCs w:val="18"/>
          <w:u w:val="single" w:color="auto"/>
          <w:color w:val="auto"/>
        </w:rPr>
        <w:t>No Litigation</w:t>
      </w:r>
      <w:r>
        <w:rPr>
          <w:rFonts w:ascii="Arial" w:cs="Arial" w:eastAsia="Arial" w:hAnsi="Arial"/>
          <w:sz w:val="18"/>
          <w:szCs w:val="18"/>
          <w:color w:val="auto"/>
        </w:rPr>
        <w:t>. No litigation, investigation or proceeding of or before any arbitrator or Governmental Authority is pending or, to the knowledge of any Group Member, threatened, that could reasonably be expected to have a Material Adverse Effect.</w:t>
      </w:r>
    </w:p>
    <w:p>
      <w:pPr>
        <w:spacing w:after="0" w:line="75" w:lineRule="exact"/>
        <w:rPr>
          <w:rFonts w:ascii="Arial" w:cs="Arial" w:eastAsia="Arial" w:hAnsi="Arial"/>
          <w:sz w:val="18"/>
          <w:szCs w:val="18"/>
          <w:color w:val="auto"/>
        </w:rPr>
      </w:pPr>
    </w:p>
    <w:p>
      <w:pPr>
        <w:ind w:right="20" w:firstLine="1304"/>
        <w:spacing w:after="0" w:line="260" w:lineRule="auto"/>
        <w:tabs>
          <w:tab w:leader="none" w:pos="1692" w:val="left"/>
        </w:tabs>
        <w:numPr>
          <w:ilvl w:val="0"/>
          <w:numId w:val="417"/>
        </w:numPr>
        <w:rPr>
          <w:rFonts w:ascii="Arial" w:cs="Arial" w:eastAsia="Arial" w:hAnsi="Arial"/>
          <w:sz w:val="20"/>
          <w:szCs w:val="20"/>
          <w:color w:val="auto"/>
        </w:rPr>
      </w:pPr>
      <w:r>
        <w:rPr>
          <w:rFonts w:ascii="Arial" w:cs="Arial" w:eastAsia="Arial" w:hAnsi="Arial"/>
          <w:sz w:val="20"/>
          <w:szCs w:val="20"/>
          <w:u w:val="single" w:color="auto"/>
          <w:color w:val="auto"/>
        </w:rPr>
        <w:t>Compliance Certificate</w:t>
      </w:r>
      <w:r>
        <w:rPr>
          <w:rFonts w:ascii="Arial" w:cs="Arial" w:eastAsia="Arial" w:hAnsi="Arial"/>
          <w:sz w:val="20"/>
          <w:szCs w:val="20"/>
          <w:color w:val="auto"/>
        </w:rPr>
        <w:t xml:space="preserve">. The Administrative Agent shall have received a Compliance Certificate evidencing compliance with the requirements of </w:t>
      </w:r>
      <w:r>
        <w:rPr>
          <w:rFonts w:ascii="Arial" w:cs="Arial" w:eastAsia="Arial" w:hAnsi="Arial"/>
          <w:sz w:val="20"/>
          <w:szCs w:val="20"/>
          <w:u w:val="single" w:color="auto"/>
          <w:color w:val="auto"/>
        </w:rPr>
        <w:t>Section 2.27(b)(v)</w:t>
      </w:r>
      <w:r>
        <w:rPr>
          <w:rFonts w:ascii="Arial" w:cs="Arial" w:eastAsia="Arial" w:hAnsi="Arial"/>
          <w:sz w:val="20"/>
          <w:szCs w:val="20"/>
          <w:color w:val="auto"/>
        </w:rPr>
        <w:t>.</w:t>
      </w:r>
    </w:p>
    <w:p>
      <w:pPr>
        <w:spacing w:after="0" w:line="12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For purposes of determining compliance with the conditions specified in this </w:t>
      </w:r>
      <w:r>
        <w:rPr>
          <w:rFonts w:ascii="Arial" w:cs="Arial" w:eastAsia="Arial" w:hAnsi="Arial"/>
          <w:sz w:val="18"/>
          <w:szCs w:val="18"/>
          <w:u w:val="single" w:color="auto"/>
          <w:color w:val="auto"/>
        </w:rPr>
        <w:t>Section 5.1</w:t>
      </w:r>
      <w:r>
        <w:rPr>
          <w:rFonts w:ascii="Arial" w:cs="Arial" w:eastAsia="Arial" w:hAnsi="Arial"/>
          <w:sz w:val="18"/>
          <w:szCs w:val="18"/>
          <w:color w:val="auto"/>
        </w:rPr>
        <w:t>, each Lender that has executed this Agreement shall be deemed to have consented to, approved or accepted or to be satisfied with, each document or other matter either sent (or made available) by the Administrative Agent to such Lender for consent, approval, acceptance or satisfaction, or required thereunder to be consented to or approved by or acceptable or satisfactory to such Lender, unless an officer of the Administrative Agent responsible for the transactions contemplated by the Loan Documents shall have received notice from such Lender prior to the Closing Date specifying such Lender’s objection thereto and either such objection shall not have been withdrawn by notice to the Administrative Agent to that effect on or prior to the Closing Date or, if any extension of credit on the Closing Date has been requested, such Lender shall not have made available to the Administrative Agent on or prior to the Closing Date such Lender’s Revolving Percentage of such requested extension of credit.</w:t>
      </w:r>
    </w:p>
    <w:p>
      <w:pPr>
        <w:spacing w:after="0" w:line="10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5.2 Conditions to Each Extension of Credit</w:t>
      </w:r>
      <w:r>
        <w:rPr>
          <w:rFonts w:ascii="Arial" w:cs="Arial" w:eastAsia="Arial" w:hAnsi="Arial"/>
          <w:sz w:val="20"/>
          <w:szCs w:val="20"/>
          <w:color w:val="auto"/>
        </w:rPr>
        <w:t>. The agreement of each Lender to make any extension of credit requested to be made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by it on any date (including its initial extension of credit but excluding any Revolving Loan Conversion and any conversion of Loans pursuant to </w:t>
      </w:r>
      <w:r>
        <w:rPr>
          <w:rFonts w:ascii="Arial" w:cs="Arial" w:eastAsia="Arial" w:hAnsi="Arial"/>
          <w:sz w:val="20"/>
          <w:szCs w:val="20"/>
          <w:u w:val="single" w:color="auto"/>
          <w:color w:val="auto"/>
        </w:rPr>
        <w:t>Section 2.13</w:t>
      </w:r>
      <w:r>
        <w:rPr>
          <w:rFonts w:ascii="Arial" w:cs="Arial" w:eastAsia="Arial" w:hAnsi="Arial"/>
          <w:sz w:val="20"/>
          <w:szCs w:val="20"/>
          <w:color w:val="auto"/>
        </w:rPr>
        <w:t>) is subject to the satisfaction of the following conditions precedent:</w:t>
      </w:r>
    </w:p>
    <w:p>
      <w:pPr>
        <w:spacing w:after="0" w:line="129" w:lineRule="exact"/>
        <w:rPr>
          <w:sz w:val="20"/>
          <w:szCs w:val="20"/>
          <w:color w:val="auto"/>
        </w:rPr>
      </w:pPr>
    </w:p>
    <w:p>
      <w:pPr>
        <w:jc w:val="both"/>
        <w:ind w:firstLine="1304"/>
        <w:spacing w:after="0" w:line="278" w:lineRule="auto"/>
        <w:tabs>
          <w:tab w:leader="none" w:pos="1740" w:val="left"/>
        </w:tabs>
        <w:numPr>
          <w:ilvl w:val="1"/>
          <w:numId w:val="41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Each of the representations and warranties made by each Loan Party in or pursuant to any Loan Document (i) that is qualified by materiality shall be true and correct, and (ii) that is not qualified by materiality, shall be true and correct in all material respects, in each case, on and as of such date as if made on and as of such date, except to the extent any such representation and warranty expressly relates to an earlier date, in which case such representation and warranty shall have been true and correct in all material respects (or all respects, as applicable) as of such earlier date, subject to the limitations set forth in </w:t>
      </w:r>
      <w:r>
        <w:rPr>
          <w:rFonts w:ascii="Arial" w:cs="Arial" w:eastAsia="Arial" w:hAnsi="Arial"/>
          <w:sz w:val="18"/>
          <w:szCs w:val="18"/>
          <w:u w:val="single" w:color="auto"/>
          <w:color w:val="auto"/>
        </w:rPr>
        <w:t>Section 2.27</w:t>
      </w:r>
      <w:r>
        <w:rPr>
          <w:rFonts w:ascii="Arial" w:cs="Arial" w:eastAsia="Arial" w:hAnsi="Arial"/>
          <w:sz w:val="18"/>
          <w:szCs w:val="18"/>
          <w:color w:val="auto"/>
        </w:rPr>
        <w:t>.</w:t>
      </w:r>
    </w:p>
    <w:p>
      <w:pPr>
        <w:spacing w:after="0" w:line="110" w:lineRule="exact"/>
        <w:rPr>
          <w:rFonts w:ascii="Arial" w:cs="Arial" w:eastAsia="Arial" w:hAnsi="Arial"/>
          <w:sz w:val="18"/>
          <w:szCs w:val="18"/>
          <w:color w:val="auto"/>
        </w:rPr>
      </w:pPr>
    </w:p>
    <w:p>
      <w:pPr>
        <w:ind w:firstLine="1304"/>
        <w:spacing w:after="0" w:line="260" w:lineRule="auto"/>
        <w:tabs>
          <w:tab w:leader="none" w:pos="1738" w:val="left"/>
        </w:tabs>
        <w:numPr>
          <w:ilvl w:val="1"/>
          <w:numId w:val="418"/>
        </w:numPr>
        <w:rPr>
          <w:rFonts w:ascii="Arial" w:cs="Arial" w:eastAsia="Arial" w:hAnsi="Arial"/>
          <w:sz w:val="20"/>
          <w:szCs w:val="20"/>
          <w:color w:val="auto"/>
        </w:rPr>
      </w:pPr>
      <w:r>
        <w:rPr>
          <w:rFonts w:ascii="Arial" w:cs="Arial" w:eastAsia="Arial" w:hAnsi="Arial"/>
          <w:sz w:val="20"/>
          <w:szCs w:val="20"/>
          <w:u w:val="single" w:color="auto"/>
          <w:color w:val="auto"/>
        </w:rPr>
        <w:t>Availability.</w:t>
      </w:r>
      <w:r>
        <w:rPr>
          <w:rFonts w:ascii="Arial" w:cs="Arial" w:eastAsia="Arial" w:hAnsi="Arial"/>
          <w:sz w:val="20"/>
          <w:szCs w:val="20"/>
          <w:color w:val="auto"/>
        </w:rPr>
        <w:t xml:space="preserve"> With respect to any requests for any Revolving Extensions of Credit, after giving effect to such Revolving Extension of Credit, the availability and borrowing limitations specified in </w:t>
      </w:r>
      <w:r>
        <w:rPr>
          <w:rFonts w:ascii="Arial" w:cs="Arial" w:eastAsia="Arial" w:hAnsi="Arial"/>
          <w:sz w:val="20"/>
          <w:szCs w:val="20"/>
          <w:u w:val="single" w:color="auto"/>
          <w:color w:val="auto"/>
        </w:rPr>
        <w:t>Section 2.4</w:t>
      </w:r>
      <w:r>
        <w:rPr>
          <w:rFonts w:ascii="Arial" w:cs="Arial" w:eastAsia="Arial" w:hAnsi="Arial"/>
          <w:sz w:val="20"/>
          <w:szCs w:val="20"/>
          <w:color w:val="auto"/>
        </w:rPr>
        <w:t xml:space="preserve"> shall be complied with.</w:t>
      </w:r>
    </w:p>
    <w:p>
      <w:pPr>
        <w:spacing w:after="0" w:line="122" w:lineRule="exact"/>
        <w:rPr>
          <w:rFonts w:ascii="Arial" w:cs="Arial" w:eastAsia="Arial" w:hAnsi="Arial"/>
          <w:sz w:val="20"/>
          <w:szCs w:val="20"/>
          <w:color w:val="auto"/>
        </w:rPr>
      </w:pPr>
    </w:p>
    <w:p>
      <w:pPr>
        <w:ind w:firstLine="1304"/>
        <w:spacing w:after="0" w:line="260" w:lineRule="auto"/>
        <w:tabs>
          <w:tab w:leader="none" w:pos="1781" w:val="left"/>
        </w:tabs>
        <w:numPr>
          <w:ilvl w:val="1"/>
          <w:numId w:val="418"/>
        </w:numPr>
        <w:rPr>
          <w:rFonts w:ascii="Arial" w:cs="Arial" w:eastAsia="Arial" w:hAnsi="Arial"/>
          <w:sz w:val="20"/>
          <w:szCs w:val="20"/>
          <w:color w:val="auto"/>
        </w:rPr>
      </w:pPr>
      <w:r>
        <w:rPr>
          <w:rFonts w:ascii="Arial" w:cs="Arial" w:eastAsia="Arial" w:hAnsi="Arial"/>
          <w:sz w:val="20"/>
          <w:szCs w:val="20"/>
          <w:u w:val="single" w:color="auto"/>
          <w:color w:val="auto"/>
        </w:rPr>
        <w:t>Notices of Borrowing.</w:t>
      </w:r>
      <w:r>
        <w:rPr>
          <w:rFonts w:ascii="Arial" w:cs="Arial" w:eastAsia="Arial" w:hAnsi="Arial"/>
          <w:sz w:val="20"/>
          <w:szCs w:val="20"/>
          <w:color w:val="auto"/>
        </w:rPr>
        <w:t xml:space="preserve"> The Administrative Agent shall have received a Notice of Borrowing in connection with any such request for extension of credit which complies with the requirements hereof.</w:t>
      </w:r>
    </w:p>
    <w:p>
      <w:pPr>
        <w:spacing w:after="0" w:line="122" w:lineRule="exact"/>
        <w:rPr>
          <w:rFonts w:ascii="Arial" w:cs="Arial" w:eastAsia="Arial" w:hAnsi="Arial"/>
          <w:sz w:val="20"/>
          <w:szCs w:val="20"/>
          <w:color w:val="auto"/>
        </w:rPr>
      </w:pPr>
    </w:p>
    <w:p>
      <w:pPr>
        <w:jc w:val="both"/>
        <w:ind w:firstLine="1304"/>
        <w:spacing w:after="0" w:line="272" w:lineRule="auto"/>
        <w:tabs>
          <w:tab w:leader="none" w:pos="1738" w:val="left"/>
        </w:tabs>
        <w:numPr>
          <w:ilvl w:val="1"/>
          <w:numId w:val="418"/>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xml:space="preserve"> No Default or Event of Default shall have occurred and be continuing as of or on such date or after giving effect to the extensions of credit requested to be made on such date and the use of proceeds thereof (other than in connection with Limited Condition Acquisitions as set forth in </w:t>
      </w:r>
      <w:r>
        <w:rPr>
          <w:rFonts w:ascii="Arial" w:cs="Arial" w:eastAsia="Arial" w:hAnsi="Arial"/>
          <w:sz w:val="18"/>
          <w:szCs w:val="18"/>
          <w:u w:val="single" w:color="auto"/>
          <w:color w:val="auto"/>
        </w:rPr>
        <w:t>Section 1.6</w:t>
      </w:r>
      <w:r>
        <w:rPr>
          <w:rFonts w:ascii="Arial" w:cs="Arial" w:eastAsia="Arial" w:hAnsi="Arial"/>
          <w:sz w:val="18"/>
          <w:szCs w:val="18"/>
          <w:color w:val="auto"/>
        </w:rPr>
        <w:t>, in which case there shall be (i) no Default or Event of Default as of the LCA Test Date and</w:t>
      </w:r>
    </w:p>
    <w:p>
      <w:pPr>
        <w:ind w:firstLine="8"/>
        <w:spacing w:after="0" w:line="244" w:lineRule="auto"/>
        <w:tabs>
          <w:tab w:leader="none" w:pos="305" w:val="left"/>
        </w:tabs>
        <w:numPr>
          <w:ilvl w:val="0"/>
          <w:numId w:val="419"/>
        </w:numPr>
        <w:rPr>
          <w:rFonts w:ascii="Arial" w:cs="Arial" w:eastAsia="Arial" w:hAnsi="Arial"/>
          <w:sz w:val="20"/>
          <w:szCs w:val="20"/>
          <w:color w:val="auto"/>
        </w:rPr>
      </w:pPr>
      <w:r>
        <w:rPr>
          <w:rFonts w:ascii="Arial" w:cs="Arial" w:eastAsia="Arial" w:hAnsi="Arial"/>
          <w:sz w:val="20"/>
          <w:szCs w:val="20"/>
          <w:color w:val="auto"/>
        </w:rPr>
        <w:t xml:space="preserve">no Event of Default under </w:t>
      </w:r>
      <w:r>
        <w:rPr>
          <w:rFonts w:ascii="Arial" w:cs="Arial" w:eastAsia="Arial" w:hAnsi="Arial"/>
          <w:sz w:val="20"/>
          <w:szCs w:val="20"/>
          <w:u w:val="single" w:color="auto"/>
          <w:color w:val="auto"/>
        </w:rPr>
        <w:t>Section 8.1(a)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(f)</w:t>
      </w:r>
      <w:r>
        <w:rPr>
          <w:rFonts w:ascii="Arial" w:cs="Arial" w:eastAsia="Arial" w:hAnsi="Arial"/>
          <w:sz w:val="20"/>
          <w:szCs w:val="20"/>
          <w:color w:val="auto"/>
        </w:rPr>
        <w:t xml:space="preserve"> as of or on the date of such Revolving Extension of Credit or after giving effect to the extensions of credit requested to be made on such date and the use of proceeds thereof).</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ectPr>
          <w:pgSz w:w="11900" w:h="16838" w:orient="portrait"/>
          <w:cols w:equalWidth="0" w:num="1">
            <w:col w:w="11240"/>
          </w:cols>
          <w:pgMar w:left="320" w:top="771" w:right="339" w:bottom="1440" w:gutter="0" w:footer="0" w:header="0"/>
        </w:sectPr>
      </w:pPr>
    </w:p>
    <w:bookmarkStart w:id="468" w:name="page469"/>
    <w:bookmarkEnd w:id="468"/>
    <w:p>
      <w:pPr>
        <w:jc w:val="both"/>
        <w:ind w:firstLine="1304"/>
        <w:spacing w:after="0" w:line="263" w:lineRule="auto"/>
        <w:tabs>
          <w:tab w:leader="none" w:pos="1740" w:val="left"/>
        </w:tabs>
        <w:numPr>
          <w:ilvl w:val="0"/>
          <w:numId w:val="420"/>
        </w:numPr>
        <w:rPr>
          <w:rFonts w:ascii="Arial" w:cs="Arial" w:eastAsia="Arial" w:hAnsi="Arial"/>
          <w:sz w:val="19"/>
          <w:szCs w:val="19"/>
          <w:color w:val="auto"/>
        </w:rPr>
      </w:pPr>
      <w:r>
        <w:rPr>
          <w:rFonts w:ascii="Arial" w:cs="Arial" w:eastAsia="Arial" w:hAnsi="Arial"/>
          <w:sz w:val="19"/>
          <w:szCs w:val="19"/>
          <w:u w:val="single" w:color="auto"/>
          <w:color w:val="auto"/>
        </w:rPr>
        <w:t>Foreign Currency</w:t>
      </w:r>
      <w:r>
        <w:rPr>
          <w:rFonts w:ascii="Arial" w:cs="Arial" w:eastAsia="Arial" w:hAnsi="Arial"/>
          <w:sz w:val="19"/>
          <w:szCs w:val="19"/>
          <w:color w:val="auto"/>
        </w:rPr>
        <w:t>. In the case of a Revolving Extension of Credit to be denominated in an Alternative Currency, there shall not have occurred any change in national or international financial, political or economic conditions or currency exchange rates or exchange controls which in the reasonable opinion of the Administrative Agent or the Issuing Lender would make it impracticable for such Revolving Extension of Credit to be denominated in the relevant Alternative Currency.</w:t>
      </w:r>
    </w:p>
    <w:p>
      <w:pPr>
        <w:spacing w:after="0" w:line="122" w:lineRule="exact"/>
        <w:rPr>
          <w:rFonts w:ascii="Arial" w:cs="Arial" w:eastAsia="Arial" w:hAnsi="Arial"/>
          <w:sz w:val="19"/>
          <w:szCs w:val="19"/>
          <w:color w:val="auto"/>
        </w:rPr>
      </w:pPr>
    </w:p>
    <w:p>
      <w:pPr>
        <w:jc w:val="both"/>
        <w:ind w:firstLine="1304"/>
        <w:spacing w:after="0" w:line="244" w:lineRule="auto"/>
        <w:tabs>
          <w:tab w:leader="none" w:pos="1719" w:val="left"/>
        </w:tabs>
        <w:numPr>
          <w:ilvl w:val="0"/>
          <w:numId w:val="420"/>
        </w:numPr>
        <w:rPr>
          <w:rFonts w:ascii="Arial" w:cs="Arial" w:eastAsia="Arial" w:hAnsi="Arial"/>
          <w:sz w:val="20"/>
          <w:szCs w:val="20"/>
          <w:color w:val="auto"/>
        </w:rPr>
      </w:pPr>
      <w:r>
        <w:rPr>
          <w:rFonts w:ascii="Arial" w:cs="Arial" w:eastAsia="Arial" w:hAnsi="Arial"/>
          <w:sz w:val="20"/>
          <w:szCs w:val="20"/>
          <w:u w:val="single" w:color="auto"/>
          <w:color w:val="auto"/>
        </w:rPr>
        <w:t>Pro Forma Covenant Compliance</w:t>
      </w:r>
      <w:r>
        <w:rPr>
          <w:rFonts w:ascii="Arial" w:cs="Arial" w:eastAsia="Arial" w:hAnsi="Arial"/>
          <w:sz w:val="20"/>
          <w:szCs w:val="20"/>
          <w:color w:val="auto"/>
        </w:rPr>
        <w:t xml:space="preserve">. Immediately after giving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effect to such extension of credit and the use of proceeds thereof, the Borrower shall be in compliance with the financial covenants set forth in </w:t>
      </w:r>
      <w:r>
        <w:rPr>
          <w:rFonts w:ascii="Arial" w:cs="Arial" w:eastAsia="Arial" w:hAnsi="Arial"/>
          <w:sz w:val="20"/>
          <w:szCs w:val="20"/>
          <w:u w:val="single" w:color="auto"/>
          <w:color w:val="auto"/>
        </w:rPr>
        <w:t>Section 7.1</w:t>
      </w:r>
      <w:r>
        <w:rPr>
          <w:rFonts w:ascii="Arial" w:cs="Arial" w:eastAsia="Arial" w:hAnsi="Arial"/>
          <w:sz w:val="20"/>
          <w:szCs w:val="20"/>
          <w:color w:val="auto"/>
        </w:rPr>
        <w:t xml:space="preserve"> hereof as of the end of the most recently ended fiscal quarter for which financial statements were required to be delivered prior to the date of such extension of credit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case of an extension of credit to finance a Limited Condition Acquisition in accordance with </w:t>
      </w:r>
      <w:r>
        <w:rPr>
          <w:rFonts w:ascii="Arial" w:cs="Arial" w:eastAsia="Arial" w:hAnsi="Arial"/>
          <w:sz w:val="20"/>
          <w:szCs w:val="20"/>
          <w:u w:val="single" w:color="auto"/>
          <w:color w:val="auto"/>
        </w:rPr>
        <w:t>Section 2.27</w:t>
      </w:r>
      <w:r>
        <w:rPr>
          <w:rFonts w:ascii="Arial" w:cs="Arial" w:eastAsia="Arial" w:hAnsi="Arial"/>
          <w:sz w:val="20"/>
          <w:szCs w:val="20"/>
          <w:color w:val="auto"/>
        </w:rPr>
        <w:t xml:space="preserve">, such calculation shall be made in compliance with </w:t>
      </w:r>
      <w:r>
        <w:rPr>
          <w:rFonts w:ascii="Arial" w:cs="Arial" w:eastAsia="Arial" w:hAnsi="Arial"/>
          <w:sz w:val="20"/>
          <w:szCs w:val="20"/>
          <w:u w:val="single" w:color="auto"/>
          <w:color w:val="auto"/>
        </w:rPr>
        <w:t>Section 1.6</w:t>
      </w:r>
      <w:r>
        <w:rPr>
          <w:rFonts w:ascii="Arial" w:cs="Arial" w:eastAsia="Arial" w:hAnsi="Arial"/>
          <w:sz w:val="20"/>
          <w:szCs w:val="20"/>
          <w:color w:val="auto"/>
        </w:rPr>
        <w:t>).</w:t>
      </w:r>
    </w:p>
    <w:p>
      <w:pPr>
        <w:spacing w:after="0" w:line="140"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 xml:space="preserve">Each borrowing by and issuance of a Letter of Credit on behalf of the Borrower hereunder and each Revolving Loan Conversion shall constitute a representation and warranty by the Borrower as of the date of such extension of credit, or Revolving Loan Conversion, as applicable, that the conditions contained in this </w:t>
      </w:r>
      <w:r>
        <w:rPr>
          <w:rFonts w:ascii="Arial" w:cs="Arial" w:eastAsia="Arial" w:hAnsi="Arial"/>
          <w:sz w:val="20"/>
          <w:szCs w:val="20"/>
          <w:u w:val="single" w:color="auto"/>
          <w:color w:val="auto"/>
        </w:rPr>
        <w:t>Section 5.2</w:t>
      </w:r>
      <w:r>
        <w:rPr>
          <w:rFonts w:ascii="Arial" w:cs="Arial" w:eastAsia="Arial" w:hAnsi="Arial"/>
          <w:sz w:val="20"/>
          <w:szCs w:val="20"/>
          <w:color w:val="auto"/>
        </w:rPr>
        <w:t xml:space="preserve"> have been satisfied.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AFFIRMATIVE COVENANTS</w:t>
      </w:r>
    </w:p>
    <w:p>
      <w:pPr>
        <w:spacing w:after="0" w:line="14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Borrower hereby agrees that, at all times prior to the Discharge of Obligations, each of the Loan Parties shall, and, where applicable, shall cause each of its Subsidiaries to:</w:t>
      </w:r>
    </w:p>
    <w:p>
      <w:pPr>
        <w:spacing w:after="0" w:line="11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6.1</w:t>
      </w:r>
      <w:r>
        <w:rPr>
          <w:sz w:val="20"/>
          <w:szCs w:val="20"/>
          <w:color w:val="auto"/>
        </w:rPr>
        <w:tab/>
      </w:r>
      <w:r>
        <w:rPr>
          <w:rFonts w:ascii="Arial" w:cs="Arial" w:eastAsia="Arial" w:hAnsi="Arial"/>
          <w:sz w:val="18"/>
          <w:szCs w:val="18"/>
          <w:b w:val="1"/>
          <w:bCs w:val="1"/>
          <w:color w:val="auto"/>
        </w:rPr>
        <w:t>Financial Statements</w:t>
      </w:r>
      <w:r>
        <w:rPr>
          <w:rFonts w:ascii="Arial" w:cs="Arial" w:eastAsia="Arial" w:hAnsi="Arial"/>
          <w:sz w:val="18"/>
          <w:szCs w:val="18"/>
          <w:color w:val="auto"/>
        </w:rPr>
        <w:t>. Furnish to the Administrative Agent for distribution to each Lender:</w:t>
      </w:r>
    </w:p>
    <w:p>
      <w:pPr>
        <w:spacing w:after="0" w:line="168" w:lineRule="exact"/>
        <w:rPr>
          <w:sz w:val="20"/>
          <w:szCs w:val="20"/>
          <w:color w:val="auto"/>
        </w:rPr>
      </w:pPr>
    </w:p>
    <w:p>
      <w:pPr>
        <w:jc w:val="both"/>
        <w:ind w:firstLine="1304"/>
        <w:spacing w:after="0" w:line="257" w:lineRule="auto"/>
        <w:tabs>
          <w:tab w:leader="none" w:pos="1739" w:val="left"/>
        </w:tabs>
        <w:numPr>
          <w:ilvl w:val="0"/>
          <w:numId w:val="421"/>
        </w:numPr>
        <w:rPr>
          <w:rFonts w:ascii="Arial" w:cs="Arial" w:eastAsia="Arial" w:hAnsi="Arial"/>
          <w:sz w:val="19"/>
          <w:szCs w:val="19"/>
          <w:color w:val="auto"/>
        </w:rPr>
      </w:pPr>
      <w:r>
        <w:rPr>
          <w:rFonts w:ascii="Arial" w:cs="Arial" w:eastAsia="Arial" w:hAnsi="Arial"/>
          <w:sz w:val="19"/>
          <w:szCs w:val="19"/>
          <w:color w:val="auto"/>
        </w:rPr>
        <w:t>as soon as available, but in any event within 150 days after the end of each fiscal year of the Borrower (from and after the occurrence of a Qualified IPO of NerdWallet’s common stock, 90 days after the end of each fiscal year of the Borrower), a copy of the audited consolidated balance sheet of the Borrower and its consolidated Subsidiaries as at the end of such fiscal year and the related audited consolidated statements of income and of cash flows for such fiscal year, setting forth in each case in comparative form the figures for the previous year, reported on without a “going concern” or like qualification or exception (other than a “going concern” or like qualification or exception solely as a result of the final maturity date of any Loan being scheduled to occur within 12 months from the date of such opinion), or qualification arising out of the scope of the audit, by Deloitte or other independent certified public accountants of nationally recognized standing and reasonably acceptable to the Administrative Agent; and</w:t>
      </w:r>
    </w:p>
    <w:p>
      <w:pPr>
        <w:spacing w:after="0" w:line="126" w:lineRule="exact"/>
        <w:rPr>
          <w:rFonts w:ascii="Arial" w:cs="Arial" w:eastAsia="Arial" w:hAnsi="Arial"/>
          <w:sz w:val="19"/>
          <w:szCs w:val="19"/>
          <w:color w:val="auto"/>
        </w:rPr>
      </w:pPr>
    </w:p>
    <w:p>
      <w:pPr>
        <w:jc w:val="both"/>
        <w:ind w:firstLine="1304"/>
        <w:spacing w:after="0" w:line="260" w:lineRule="auto"/>
        <w:tabs>
          <w:tab w:leader="none" w:pos="1748" w:val="left"/>
        </w:tabs>
        <w:numPr>
          <w:ilvl w:val="0"/>
          <w:numId w:val="421"/>
        </w:numPr>
        <w:rPr>
          <w:rFonts w:ascii="Arial" w:cs="Arial" w:eastAsia="Arial" w:hAnsi="Arial"/>
          <w:sz w:val="19"/>
          <w:szCs w:val="19"/>
          <w:color w:val="auto"/>
        </w:rPr>
      </w:pPr>
      <w:r>
        <w:rPr>
          <w:rFonts w:ascii="Arial" w:cs="Arial" w:eastAsia="Arial" w:hAnsi="Arial"/>
          <w:sz w:val="19"/>
          <w:szCs w:val="19"/>
          <w:color w:val="auto"/>
        </w:rPr>
        <w:t>prior to a Qualified IPO of NerdWallet’s common stock, as soon as available, but in any event within 30 days after the end of each month, the unaudited consolidated and consolidating balance sheet of NerdWallet and its consolidated Subsidiaries as at the end of such month and the related unaudited consolidated and consolidating statements of income and of cash flows for such month and the portion of the fiscal year through the end of such month, setting forth in each case in comparative form the figures for the previous year, certified by a Responsible Officer as being fairly stated in all material respects.</w:t>
      </w:r>
    </w:p>
    <w:p>
      <w:pPr>
        <w:spacing w:after="0" w:line="126" w:lineRule="exact"/>
        <w:rPr>
          <w:rFonts w:ascii="Arial" w:cs="Arial" w:eastAsia="Arial" w:hAnsi="Arial"/>
          <w:sz w:val="19"/>
          <w:szCs w:val="19"/>
          <w:color w:val="auto"/>
        </w:rPr>
      </w:pPr>
    </w:p>
    <w:p>
      <w:pPr>
        <w:jc w:val="both"/>
        <w:ind w:firstLine="1304"/>
        <w:spacing w:after="0" w:line="243" w:lineRule="auto"/>
        <w:tabs>
          <w:tab w:leader="none" w:pos="1767" w:val="left"/>
        </w:tabs>
        <w:numPr>
          <w:ilvl w:val="0"/>
          <w:numId w:val="421"/>
        </w:numPr>
        <w:rPr>
          <w:rFonts w:ascii="Arial" w:cs="Arial" w:eastAsia="Arial" w:hAnsi="Arial"/>
          <w:sz w:val="20"/>
          <w:szCs w:val="20"/>
          <w:color w:val="auto"/>
        </w:rPr>
      </w:pPr>
      <w:r>
        <w:rPr>
          <w:rFonts w:ascii="Arial" w:cs="Arial" w:eastAsia="Arial" w:hAnsi="Arial"/>
          <w:sz w:val="20"/>
          <w:szCs w:val="20"/>
          <w:color w:val="auto"/>
        </w:rPr>
        <w:t>from and after a Qualified IPO of NerdWallet’s common stock, as soon as available, but in any event within 45 days after the end of each fiscal quarter of each fiscal year of NerdWallet, the unaudited consolidated and consolidating balance sheet of NerdWallet and its consolidated Subsidiaries as at the end of such fiscal quarter and the related unaudited consolidated and consolidating statements of income and of cash flows for such fiscal quarter and the portion of the fiscal year through the end of such quarter, setting forth in each case in comparative form the figures for the previous year, certified by a Responsible Officer as being fairly stated in all material respects.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ectPr>
          <w:pgSz w:w="11900" w:h="16838" w:orient="portrait"/>
          <w:cols w:equalWidth="0" w:num="1">
            <w:col w:w="11240"/>
          </w:cols>
          <w:pgMar w:left="320" w:top="771" w:right="339" w:bottom="1440" w:gutter="0" w:footer="0" w:header="0"/>
        </w:sectPr>
      </w:pPr>
    </w:p>
    <w:bookmarkStart w:id="469" w:name="page470"/>
    <w:bookmarkEnd w:id="469"/>
    <w:p>
      <w:pPr>
        <w:jc w:val="both"/>
        <w:spacing w:after="0" w:line="246" w:lineRule="auto"/>
        <w:rPr>
          <w:sz w:val="20"/>
          <w:szCs w:val="20"/>
          <w:color w:val="auto"/>
        </w:rPr>
      </w:pPr>
      <w:r>
        <w:rPr>
          <w:rFonts w:ascii="Arial" w:cs="Arial" w:eastAsia="Arial" w:hAnsi="Arial"/>
          <w:sz w:val="20"/>
          <w:szCs w:val="20"/>
          <w:color w:val="auto"/>
        </w:rPr>
        <w:t>All such financial statements shall be complete and correct in all material respects and shall be prepared in reasonable detail and in accordance with GAAP (except in the case of interim statements for the absence of footnotes and normal year-end adjustments) applied (except as approved by such accountants or officer, as the case may be, and disclosed in reasonable detail therein) consistently throughout the periods reflected therein and with prior periods.</w:t>
      </w:r>
    </w:p>
    <w:p>
      <w:pPr>
        <w:spacing w:after="0" w:line="13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Additionally, documents required to be delivered pursuant to this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6.2(e)</w:t>
      </w:r>
      <w:r>
        <w:rPr>
          <w:rFonts w:ascii="Arial" w:cs="Arial" w:eastAsia="Arial" w:hAnsi="Arial"/>
          <w:sz w:val="18"/>
          <w:szCs w:val="18"/>
          <w:color w:val="auto"/>
        </w:rPr>
        <w:t xml:space="preserve"> (to the extent any such documents are included in materials otherwise filed with the SEC) may be delivered electronically and, shall be deemed to have been delivered on the date on which NerdWallet posts such documents, or provides a link thereto, either: (i) on NerdWallet’s website on the Internet at the website address listed in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(ii) when such documents are posted electronically on NerdWallet’s behalf on an internet or intranet website to which each Lender and the Administrative Agent have access (whether a commercial, third-party website or whether sponsored by the Administrative Agent), if any; or (iii) on which NerdWallet files such documents with the SEC and such documents are publicly available on the SEC’s EDGAR filing system or any successor thereto, if 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NerdWallet shall deliver paper copies of such documents to the Administrative Agent or any Lender upon its request to the Borrower to deliver such paper copies until written request to cease delivering paper copies is given by the Administrative Agent or such Lender and (B) NerdWallet shall notify (which may be by facsimile or electronic mail) the Administrative Agent and each Lender of the posting of any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spacing w:after="0" w:line="11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6.2</w:t>
      </w:r>
      <w:r>
        <w:rPr>
          <w:sz w:val="20"/>
          <w:szCs w:val="20"/>
          <w:color w:val="auto"/>
        </w:rPr>
        <w:tab/>
      </w:r>
      <w:r>
        <w:rPr>
          <w:rFonts w:ascii="Arial" w:cs="Arial" w:eastAsia="Arial" w:hAnsi="Arial"/>
          <w:sz w:val="18"/>
          <w:szCs w:val="18"/>
          <w:b w:val="1"/>
          <w:bCs w:val="1"/>
          <w:color w:val="auto"/>
        </w:rPr>
        <w:t>Certificates; Reports; Other Information</w:t>
      </w:r>
      <w:r>
        <w:rPr>
          <w:rFonts w:ascii="Arial" w:cs="Arial" w:eastAsia="Arial" w:hAnsi="Arial"/>
          <w:sz w:val="18"/>
          <w:szCs w:val="18"/>
          <w:color w:val="auto"/>
        </w:rPr>
        <w:t>. Furnish to the Administrative Agent, for distribution to each Lender:</w:t>
      </w:r>
    </w:p>
    <w:p>
      <w:pPr>
        <w:spacing w:after="0" w:line="168" w:lineRule="exact"/>
        <w:rPr>
          <w:sz w:val="20"/>
          <w:szCs w:val="20"/>
          <w:color w:val="auto"/>
        </w:rPr>
      </w:pPr>
    </w:p>
    <w:p>
      <w:pPr>
        <w:jc w:val="both"/>
        <w:ind w:right="20" w:firstLine="1304"/>
        <w:spacing w:after="0" w:line="250" w:lineRule="auto"/>
        <w:tabs>
          <w:tab w:leader="none" w:pos="1811" w:val="left"/>
        </w:tabs>
        <w:numPr>
          <w:ilvl w:val="0"/>
          <w:numId w:val="422"/>
        </w:numPr>
        <w:rPr>
          <w:rFonts w:ascii="Arial" w:cs="Arial" w:eastAsia="Arial" w:hAnsi="Arial"/>
          <w:sz w:val="20"/>
          <w:szCs w:val="20"/>
          <w:color w:val="auto"/>
        </w:rPr>
      </w:pPr>
      <w:r>
        <w:rPr>
          <w:rFonts w:ascii="Arial" w:cs="Arial" w:eastAsia="Arial" w:hAnsi="Arial"/>
          <w:sz w:val="20"/>
          <w:szCs w:val="20"/>
          <w:color w:val="auto"/>
        </w:rPr>
        <w:t xml:space="preserve">concurrently with the delivery of the financial statements delivered pursuant to </w:t>
      </w:r>
      <w:r>
        <w:rPr>
          <w:rFonts w:ascii="Arial" w:cs="Arial" w:eastAsia="Arial" w:hAnsi="Arial"/>
          <w:sz w:val="20"/>
          <w:szCs w:val="20"/>
          <w:u w:val="single" w:color="auto"/>
          <w:color w:val="auto"/>
        </w:rPr>
        <w:t>Section 6.1(b)</w:t>
      </w:r>
      <w:r>
        <w:rPr>
          <w:rFonts w:ascii="Arial" w:cs="Arial" w:eastAsia="Arial" w:hAnsi="Arial"/>
          <w:sz w:val="20"/>
          <w:szCs w:val="20"/>
          <w:color w:val="auto"/>
        </w:rPr>
        <w:t>, a monthly accounts receivable aging report and a monthly Unbilled Accounts Receivable report, each in form and substance reasonably acceptable to the Administrative Agent;</w:t>
      </w:r>
    </w:p>
    <w:p>
      <w:pPr>
        <w:spacing w:after="0" w:line="131" w:lineRule="exact"/>
        <w:rPr>
          <w:rFonts w:ascii="Arial" w:cs="Arial" w:eastAsia="Arial" w:hAnsi="Arial"/>
          <w:sz w:val="20"/>
          <w:szCs w:val="20"/>
          <w:color w:val="auto"/>
        </w:rPr>
      </w:pPr>
    </w:p>
    <w:p>
      <w:pPr>
        <w:jc w:val="both"/>
        <w:ind w:firstLine="1304"/>
        <w:spacing w:after="0" w:line="272" w:lineRule="auto"/>
        <w:tabs>
          <w:tab w:leader="none" w:pos="1806" w:val="left"/>
        </w:tabs>
        <w:numPr>
          <w:ilvl w:val="0"/>
          <w:numId w:val="422"/>
        </w:numPr>
        <w:rPr>
          <w:rFonts w:ascii="Arial" w:cs="Arial" w:eastAsia="Arial" w:hAnsi="Arial"/>
          <w:sz w:val="18"/>
          <w:szCs w:val="18"/>
          <w:color w:val="auto"/>
        </w:rPr>
      </w:pPr>
      <w:r>
        <w:rPr>
          <w:rFonts w:ascii="Arial" w:cs="Arial" w:eastAsia="Arial" w:hAnsi="Arial"/>
          <w:sz w:val="18"/>
          <w:szCs w:val="18"/>
          <w:color w:val="auto"/>
        </w:rPr>
        <w:t xml:space="preserve">concurrently with the delivery of any financial statements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(i) a certificate of a Responsible Officer of the Borrower stating that, to the best of such Responsible Officer’s knowledge, each Loan Party during such period has observed or performed all of its covenants and other agreements, and satisfied every condition contained in this Agreement and the other Loan Documents to which it is a party to be observed, performed or satisfied by it, and that such Responsible Officer has obtained no knowledge of any Default or Event of Default except as specified in such certificate, (ii) a Compliance Certificate containing all information and calculations necessary for determining compliance by each Loan Party with the provisions of this Agreement referred to therein as of the last day of the applicable period of the Borrower, and (y) to the extent not previously disclosed to the Administrative Agent, a description of any change in the jurisdiction of organization of any Loan Party, and (iii) in the case of financial statements delivered pursuant to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updated insurance certificates evidencing the insurance coverage required to be maintained pursuant to </w:t>
      </w:r>
      <w:r>
        <w:rPr>
          <w:rFonts w:ascii="Arial" w:cs="Arial" w:eastAsia="Arial" w:hAnsi="Arial"/>
          <w:sz w:val="18"/>
          <w:szCs w:val="18"/>
          <w:u w:val="single" w:color="auto"/>
          <w:color w:val="auto"/>
        </w:rPr>
        <w:t>Section 6.6</w:t>
      </w:r>
      <w:r>
        <w:rPr>
          <w:rFonts w:ascii="Arial" w:cs="Arial" w:eastAsia="Arial" w:hAnsi="Arial"/>
          <w:sz w:val="18"/>
          <w:szCs w:val="18"/>
          <w:color w:val="auto"/>
        </w:rPr>
        <w: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ectPr>
          <w:pgSz w:w="11900" w:h="16838" w:orient="portrait"/>
          <w:cols w:equalWidth="0" w:num="1">
            <w:col w:w="11240"/>
          </w:cols>
          <w:pgMar w:left="320" w:top="771" w:right="339" w:bottom="1440" w:gutter="0" w:footer="0" w:header="0"/>
        </w:sectPr>
      </w:pPr>
    </w:p>
    <w:bookmarkStart w:id="470" w:name="page471"/>
    <w:bookmarkEnd w:id="470"/>
    <w:p>
      <w:pPr>
        <w:jc w:val="both"/>
        <w:ind w:firstLine="1304"/>
        <w:spacing w:after="0" w:line="257" w:lineRule="auto"/>
        <w:tabs>
          <w:tab w:leader="none" w:pos="1735" w:val="left"/>
        </w:tabs>
        <w:numPr>
          <w:ilvl w:val="0"/>
          <w:numId w:val="423"/>
        </w:numPr>
        <w:rPr>
          <w:rFonts w:ascii="Arial" w:cs="Arial" w:eastAsia="Arial" w:hAnsi="Arial"/>
          <w:sz w:val="19"/>
          <w:szCs w:val="19"/>
          <w:color w:val="auto"/>
        </w:rPr>
      </w:pPr>
      <w:r>
        <w:rPr>
          <w:rFonts w:ascii="Arial" w:cs="Arial" w:eastAsia="Arial" w:hAnsi="Arial"/>
          <w:sz w:val="19"/>
          <w:szCs w:val="19"/>
          <w:color w:val="auto"/>
        </w:rPr>
        <w:t>as soon as available, and in any event no later than 60 days after the end of each fiscal year of the Borrower, a detailed consolidated board of director approved operating budget for the following fiscal year (including a projected consolidated balance sheet of the Borrower and its Subsidiaries as of the end of each fiscal quarter of such fiscal year, the related consolidated statements of projected cash flow, projected changes in financial position and projected income and a description of the underlying assumptions applicable thereto), and, as soon as available, material revisions, if any, of such operating budget and projections with respect to such fiscal year (collectively, the “</w:t>
      </w:r>
      <w:r>
        <w:rPr>
          <w:rFonts w:ascii="Arial" w:cs="Arial" w:eastAsia="Arial" w:hAnsi="Arial"/>
          <w:sz w:val="19"/>
          <w:szCs w:val="19"/>
          <w:b w:val="1"/>
          <w:bCs w:val="1"/>
          <w:i w:val="1"/>
          <w:iCs w:val="1"/>
          <w:color w:val="auto"/>
        </w:rPr>
        <w:t>Projections</w:t>
      </w:r>
      <w:r>
        <w:rPr>
          <w:rFonts w:ascii="Arial" w:cs="Arial" w:eastAsia="Arial" w:hAnsi="Arial"/>
          <w:sz w:val="19"/>
          <w:szCs w:val="19"/>
          <w:color w:val="auto"/>
        </w:rPr>
        <w:t>”), which Projections shall in each case be accompanied by a certificate of a Responsible Officer of the Borrower stating that such Projections are based on reasonable estimates, information and assumptions and that such Responsible Officer has no reason to believe that such Projections are incorrect or misleading in any material respect;</w:t>
      </w:r>
    </w:p>
    <w:p>
      <w:pPr>
        <w:spacing w:after="0" w:line="126" w:lineRule="exact"/>
        <w:rPr>
          <w:rFonts w:ascii="Arial" w:cs="Arial" w:eastAsia="Arial" w:hAnsi="Arial"/>
          <w:sz w:val="19"/>
          <w:szCs w:val="19"/>
          <w:color w:val="auto"/>
        </w:rPr>
      </w:pPr>
    </w:p>
    <w:p>
      <w:pPr>
        <w:jc w:val="both"/>
        <w:ind w:firstLine="1304"/>
        <w:spacing w:after="0" w:line="246" w:lineRule="auto"/>
        <w:tabs>
          <w:tab w:leader="none" w:pos="1731" w:val="left"/>
        </w:tabs>
        <w:numPr>
          <w:ilvl w:val="0"/>
          <w:numId w:val="423"/>
        </w:numPr>
        <w:rPr>
          <w:rFonts w:ascii="Arial" w:cs="Arial" w:eastAsia="Arial" w:hAnsi="Arial"/>
          <w:sz w:val="20"/>
          <w:szCs w:val="20"/>
          <w:color w:val="auto"/>
        </w:rPr>
      </w:pPr>
      <w:r>
        <w:rPr>
          <w:rFonts w:ascii="Arial" w:cs="Arial" w:eastAsia="Arial" w:hAnsi="Arial"/>
          <w:sz w:val="20"/>
          <w:szCs w:val="20"/>
          <w:color w:val="auto"/>
        </w:rPr>
        <w:t>promptly, and in any event within 5 Business Days after receipt thereof by any Group Member, copies of each notice or other correspondence received from the SEC (or comparable agency in any applicable non-U.S. jurisdiction) concerning any investigation or possible investigation by such agency regarding financial or other operational results of any Group Member (other than routine comment letters from the staff of the SEC relating to the Borrower’s filings with the SEC);</w:t>
      </w:r>
    </w:p>
    <w:p>
      <w:pPr>
        <w:spacing w:after="0" w:line="137" w:lineRule="exact"/>
        <w:rPr>
          <w:rFonts w:ascii="Arial" w:cs="Arial" w:eastAsia="Arial" w:hAnsi="Arial"/>
          <w:sz w:val="20"/>
          <w:szCs w:val="20"/>
          <w:color w:val="auto"/>
        </w:rPr>
      </w:pPr>
    </w:p>
    <w:p>
      <w:pPr>
        <w:jc w:val="both"/>
        <w:ind w:firstLine="1304"/>
        <w:spacing w:after="0" w:line="244" w:lineRule="auto"/>
        <w:tabs>
          <w:tab w:leader="none" w:pos="1727" w:val="left"/>
        </w:tabs>
        <w:numPr>
          <w:ilvl w:val="0"/>
          <w:numId w:val="423"/>
        </w:numPr>
        <w:rPr>
          <w:rFonts w:ascii="Arial" w:cs="Arial" w:eastAsia="Arial" w:hAnsi="Arial"/>
          <w:sz w:val="20"/>
          <w:szCs w:val="20"/>
          <w:color w:val="auto"/>
        </w:rPr>
      </w:pPr>
      <w:r>
        <w:rPr>
          <w:rFonts w:ascii="Arial" w:cs="Arial" w:eastAsia="Arial" w:hAnsi="Arial"/>
          <w:sz w:val="20"/>
          <w:szCs w:val="20"/>
          <w:color w:val="auto"/>
        </w:rPr>
        <w:t>within 5 days after the same are sent, copies of each annual report, proxy or financial statement or other material report that any Group Member sends to the holders of any class of its Indebtedness or public equity securities and, within 5 days after the same are filed, copies of all annual, regular, periodic and special reports and registration statements which the Borrower may file with the SEC under Section 13 or 15(d) of the Exchange Act, or with any national securities exchange, and not otherwise required to be delivered to the Administrative Agent pursuant hereto;</w:t>
      </w:r>
    </w:p>
    <w:p>
      <w:pPr>
        <w:spacing w:after="0" w:line="140" w:lineRule="exact"/>
        <w:rPr>
          <w:rFonts w:ascii="Arial" w:cs="Arial" w:eastAsia="Arial" w:hAnsi="Arial"/>
          <w:sz w:val="20"/>
          <w:szCs w:val="20"/>
          <w:color w:val="auto"/>
        </w:rPr>
      </w:pPr>
    </w:p>
    <w:p>
      <w:pPr>
        <w:jc w:val="both"/>
        <w:ind w:firstLine="1304"/>
        <w:spacing w:after="0" w:line="246" w:lineRule="auto"/>
        <w:tabs>
          <w:tab w:leader="none" w:pos="1750" w:val="left"/>
        </w:tabs>
        <w:numPr>
          <w:ilvl w:val="0"/>
          <w:numId w:val="423"/>
        </w:numPr>
        <w:rPr>
          <w:rFonts w:ascii="Arial" w:cs="Arial" w:eastAsia="Arial" w:hAnsi="Arial"/>
          <w:sz w:val="20"/>
          <w:szCs w:val="20"/>
          <w:color w:val="auto"/>
        </w:rPr>
      </w:pPr>
      <w:r>
        <w:rPr>
          <w:rFonts w:ascii="Arial" w:cs="Arial" w:eastAsia="Arial" w:hAnsi="Arial"/>
          <w:sz w:val="20"/>
          <w:szCs w:val="20"/>
          <w:color w:val="auto"/>
        </w:rPr>
        <w:t>upon reasonable request by the Administrative Agent, within 5 days after the same are sent or received, copies of all correspondence, reports, documents and other filings with any Governmental Authority regarding compliance with or maintenance of Governmental Approvals or Requirements of Law or that could reasonably be expected to have a Material Adverse Effect on any of the Governmental Approvals or otherwise on the operations of the Group Members; and</w:t>
      </w:r>
    </w:p>
    <w:p>
      <w:pPr>
        <w:spacing w:after="0" w:line="137" w:lineRule="exact"/>
        <w:rPr>
          <w:rFonts w:ascii="Arial" w:cs="Arial" w:eastAsia="Arial" w:hAnsi="Arial"/>
          <w:sz w:val="20"/>
          <w:szCs w:val="20"/>
          <w:color w:val="auto"/>
        </w:rPr>
      </w:pPr>
    </w:p>
    <w:p>
      <w:pPr>
        <w:jc w:val="both"/>
        <w:ind w:firstLine="1304"/>
        <w:spacing w:after="0" w:line="250" w:lineRule="auto"/>
        <w:tabs>
          <w:tab w:leader="none" w:pos="1809" w:val="left"/>
        </w:tabs>
        <w:numPr>
          <w:ilvl w:val="0"/>
          <w:numId w:val="423"/>
        </w:numPr>
        <w:rPr>
          <w:rFonts w:ascii="Arial" w:cs="Arial" w:eastAsia="Arial" w:hAnsi="Arial"/>
          <w:sz w:val="20"/>
          <w:szCs w:val="20"/>
          <w:color w:val="auto"/>
        </w:rPr>
      </w:pPr>
      <w:r>
        <w:rPr>
          <w:rFonts w:ascii="Arial" w:cs="Arial" w:eastAsia="Arial" w:hAnsi="Arial"/>
          <w:sz w:val="20"/>
          <w:szCs w:val="20"/>
          <w:color w:val="auto"/>
        </w:rPr>
        <w:t>promptly, such additional other information regarding the operations, business affairs and financial condition of the Group Members, or compliance with the terms of the Loan Documents as the Administrative Agent or any Lender may from time to time reasonably request with respect to the Group Members.</w:t>
      </w:r>
    </w:p>
    <w:p>
      <w:pPr>
        <w:spacing w:after="0" w:line="12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6.3</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16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b w:val="1"/>
          <w:bCs w:val="1"/>
          <w:color w:val="auto"/>
        </w:rPr>
        <w:t>6.4 Payment of Obligations</w:t>
      </w:r>
      <w:r>
        <w:rPr>
          <w:rFonts w:ascii="Arial" w:cs="Arial" w:eastAsia="Arial" w:hAnsi="Arial"/>
          <w:sz w:val="19"/>
          <w:szCs w:val="19"/>
          <w:color w:val="auto"/>
        </w:rPr>
        <w:t>. Pay, discharge or otherwise satisfy at or before maturity or before they become delinquent (after</w:t>
      </w:r>
      <w:r>
        <w:rPr>
          <w:rFonts w:ascii="Arial" w:cs="Arial" w:eastAsia="Arial" w:hAnsi="Arial"/>
          <w:sz w:val="19"/>
          <w:szCs w:val="19"/>
          <w:b w:val="1"/>
          <w:bCs w:val="1"/>
          <w:color w:val="auto"/>
        </w:rPr>
        <w:t xml:space="preserve"> </w:t>
      </w:r>
      <w:r>
        <w:rPr>
          <w:rFonts w:ascii="Arial" w:cs="Arial" w:eastAsia="Arial" w:hAnsi="Arial"/>
          <w:sz w:val="19"/>
          <w:szCs w:val="19"/>
          <w:color w:val="auto"/>
        </w:rPr>
        <w:t>giving effect to any extensions granted or grace periods in effect), as the case may be, all its material obligations of whatever nature, except where the amount or validity thereof is currently being contested in good faith by appropriate proceedings and reserves in conformity with GAAP with respect thereto have been provided on the books of the relevant Group Member.</w:t>
      </w:r>
    </w:p>
    <w:p>
      <w:pPr>
        <w:spacing w:after="0" w:line="11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b w:val="1"/>
          <w:bCs w:val="1"/>
          <w:color w:val="auto"/>
        </w:rPr>
        <w:t>6.5 Maintenance of Existence; Compliance</w:t>
      </w:r>
      <w:r>
        <w:rPr>
          <w:rFonts w:ascii="Arial" w:cs="Arial" w:eastAsia="Arial" w:hAnsi="Arial"/>
          <w:sz w:val="18"/>
          <w:szCs w:val="18"/>
          <w:color w:val="auto"/>
        </w:rPr>
        <w:t>. (a)(i) Preserve, renew and keep in full force and effect its organizational existence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(ii) take all reasonable action to maintain or obtain all Governmental Approvals and all other rights, privileges and franchises necessary or desirable in the normal conduct of its business or necessary for the performance by such Person of its Obligations under any Loan Document, except, in each case, as otherwise permitted by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and except, in the case of clause (ii) above, to the extent that failure to do so could not reasonably be expected to have a Material Adverse Effect; (b) comply with all Contractual Obligations (including with respect to leasehold interests of the Borrower) and Requirements of Law except to the extent that failure to comply therewith could not, in the aggregate, reasonably be expected to have a Material Adverse Effect; and (c) comply with all Governmental Approvals, and any term, condition, rule, filing or fee obligation, or other requirement related thereto, except to the extent that failure to do so could not reasonably be expected to have a Material Adverse Effect. Without limiting the generality of the foregoing, the Borrower shall, and shall cause each of its ERISA Affiliates to: (1) maintain each Plan in compliance in all material respects with</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84</w:t>
      </w:r>
    </w:p>
    <w:p>
      <w:pPr>
        <w:sectPr>
          <w:pgSz w:w="11900" w:h="16838" w:orient="portrait"/>
          <w:cols w:equalWidth="0" w:num="1">
            <w:col w:w="11240"/>
          </w:cols>
          <w:pgMar w:left="320" w:top="771" w:right="339" w:bottom="1440" w:gutter="0" w:footer="0" w:header="0"/>
        </w:sectPr>
      </w:pPr>
    </w:p>
    <w:bookmarkStart w:id="471" w:name="page472"/>
    <w:bookmarkEnd w:id="471"/>
    <w:p>
      <w:pPr>
        <w:jc w:val="both"/>
        <w:spacing w:after="0" w:line="250" w:lineRule="auto"/>
        <w:rPr>
          <w:sz w:val="20"/>
          <w:szCs w:val="20"/>
          <w:color w:val="auto"/>
        </w:rPr>
      </w:pPr>
      <w:r>
        <w:rPr>
          <w:rFonts w:ascii="Arial" w:cs="Arial" w:eastAsia="Arial" w:hAnsi="Arial"/>
          <w:sz w:val="20"/>
          <w:szCs w:val="20"/>
          <w:color w:val="auto"/>
        </w:rPr>
        <w:t>the applicable provisions of ERISA, the Code or other Federal or state law; (2) cause each Qualified Plan to maintain its qualified status under Section 401(a) of the Code; (3) make all required material contributions to any Plan; and (4) not become a party to any Multiemployer Plan.</w:t>
      </w:r>
    </w:p>
    <w:p>
      <w:pPr>
        <w:spacing w:after="0" w:line="12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b w:val="1"/>
          <w:bCs w:val="1"/>
          <w:color w:val="auto"/>
        </w:rPr>
        <w:t>6.6 Maintenance of Property; Insurance</w:t>
      </w:r>
      <w:r>
        <w:rPr>
          <w:rFonts w:ascii="Arial" w:cs="Arial" w:eastAsia="Arial" w:hAnsi="Arial"/>
          <w:sz w:val="19"/>
          <w:szCs w:val="19"/>
          <w:color w:val="auto"/>
        </w:rPr>
        <w:t>. (a) Keep all property useful and necessary in its business in good working order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condition, ordinary wear and tear and casualty excepted, (b) maintain with financially sound and reputable insurance companies insurance on all its property in at least such amounts and against at least such risks (but including in any event public liability, product liability and business interruption) as are usually insured against in the same general area by companies engaged in the same or a similar business and shall provide to the Administrative Agent, insurance certificates and accompanying endorsements naming the Administrative Agent (for the benefit of the Secured Parties) as an “additional insured” or “lender loss payee,” as applicable, with respect to such insurance policies of the Loan Parties in form and substance reasonably satisfactory to the Administrative Agent, and (c) maintain flood insurance on all real property subject to a Mortgage as required under </w:t>
      </w:r>
      <w:r>
        <w:rPr>
          <w:rFonts w:ascii="Arial" w:cs="Arial" w:eastAsia="Arial" w:hAnsi="Arial"/>
          <w:sz w:val="19"/>
          <w:szCs w:val="19"/>
          <w:u w:val="single" w:color="auto"/>
          <w:color w:val="auto"/>
        </w:rPr>
        <w:t>Section 6.12(b)</w:t>
      </w:r>
      <w:r>
        <w:rPr>
          <w:rFonts w:ascii="Arial" w:cs="Arial" w:eastAsia="Arial" w:hAnsi="Arial"/>
          <w:sz w:val="19"/>
          <w:szCs w:val="19"/>
          <w:color w:val="auto"/>
        </w:rPr>
        <w:t>.</w:t>
      </w:r>
    </w:p>
    <w:p>
      <w:pPr>
        <w:spacing w:after="0" w:line="11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b w:val="1"/>
          <w:bCs w:val="1"/>
          <w:color w:val="auto"/>
        </w:rPr>
        <w:t>6.7 Books and Records; Discussions</w:t>
      </w:r>
      <w:r>
        <w:rPr>
          <w:rFonts w:ascii="Arial" w:cs="Arial" w:eastAsia="Arial" w:hAnsi="Arial"/>
          <w:sz w:val="18"/>
          <w:szCs w:val="18"/>
          <w:color w:val="auto"/>
        </w:rPr>
        <w:t>. (a) Keep proper books of records and account in which full, true and correct entries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conformity with GAAP and all Requirements of Law shall be made of all dealings and transactions in relation to its business and activities and (b) permit representatives and independent contractors of the Administrative Agent (who may be accompanied by any Lender) to visit and inspect any of its properties and examine and make abstracts from any of its books and records at any reasonable time and as often as may reasonably be desired and to discuss the business, operations, properties and financial and other condition of the Group Members with officers, directors and employees of the Group Members and with their independent certified public accountants;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 such inspections shall not be undertaken more frequently than once every 12 months unless an Event of Default has occurred and is continuing, and (ii) nothing in this </w:t>
      </w:r>
      <w:r>
        <w:rPr>
          <w:rFonts w:ascii="Arial" w:cs="Arial" w:eastAsia="Arial" w:hAnsi="Arial"/>
          <w:sz w:val="18"/>
          <w:szCs w:val="18"/>
          <w:u w:val="single" w:color="auto"/>
          <w:color w:val="auto"/>
        </w:rPr>
        <w:t>Section 6.7</w:t>
      </w:r>
      <w:r>
        <w:rPr>
          <w:rFonts w:ascii="Arial" w:cs="Arial" w:eastAsia="Arial" w:hAnsi="Arial"/>
          <w:sz w:val="18"/>
          <w:szCs w:val="18"/>
          <w:color w:val="auto"/>
        </w:rPr>
        <w:t xml:space="preserve"> shall require any Group Member to take any action that would violate a confidentiality agreement (to the extent not created in contemplation of such Group Member’s obligations hereunder) or waive any attorney-client or similar privilege (to the extent not created in contemplation of such Group Member’s obligations hereunder) of such Group Member.</w:t>
      </w:r>
    </w:p>
    <w:p>
      <w:pPr>
        <w:spacing w:after="0" w:line="11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6.8</w:t>
      </w:r>
      <w:r>
        <w:rPr>
          <w:sz w:val="20"/>
          <w:szCs w:val="20"/>
          <w:color w:val="auto"/>
        </w:rPr>
        <w:tab/>
      </w:r>
      <w:r>
        <w:rPr>
          <w:rFonts w:ascii="Arial" w:cs="Arial" w:eastAsia="Arial" w:hAnsi="Arial"/>
          <w:sz w:val="18"/>
          <w:szCs w:val="18"/>
          <w:b w:val="1"/>
          <w:bCs w:val="1"/>
          <w:color w:val="auto"/>
        </w:rPr>
        <w:t>Notices</w:t>
      </w:r>
      <w:r>
        <w:rPr>
          <w:rFonts w:ascii="Arial" w:cs="Arial" w:eastAsia="Arial" w:hAnsi="Arial"/>
          <w:sz w:val="18"/>
          <w:szCs w:val="18"/>
          <w:color w:val="auto"/>
        </w:rPr>
        <w:t>. Give prompt written notice to the Administrative Agent of:</w:t>
      </w:r>
    </w:p>
    <w:p>
      <w:pPr>
        <w:spacing w:after="0" w:line="168" w:lineRule="exact"/>
        <w:rPr>
          <w:sz w:val="20"/>
          <w:szCs w:val="20"/>
          <w:color w:val="auto"/>
        </w:rPr>
      </w:pPr>
    </w:p>
    <w:p>
      <w:pPr>
        <w:ind w:left="1720" w:hanging="416"/>
        <w:spacing w:after="0"/>
        <w:tabs>
          <w:tab w:leader="none" w:pos="1720" w:val="left"/>
        </w:tabs>
        <w:numPr>
          <w:ilvl w:val="0"/>
          <w:numId w:val="424"/>
        </w:numPr>
        <w:rPr>
          <w:rFonts w:ascii="Arial" w:cs="Arial" w:eastAsia="Arial" w:hAnsi="Arial"/>
          <w:sz w:val="20"/>
          <w:szCs w:val="20"/>
          <w:color w:val="auto"/>
        </w:rPr>
      </w:pPr>
      <w:r>
        <w:rPr>
          <w:rFonts w:ascii="Arial" w:cs="Arial" w:eastAsia="Arial" w:hAnsi="Arial"/>
          <w:sz w:val="20"/>
          <w:szCs w:val="20"/>
          <w:color w:val="auto"/>
        </w:rPr>
        <w:t>the occurrence of any Default or Event of Default;</w:t>
      </w:r>
    </w:p>
    <w:p>
      <w:pPr>
        <w:spacing w:after="0" w:line="161" w:lineRule="exact"/>
        <w:rPr>
          <w:rFonts w:ascii="Arial" w:cs="Arial" w:eastAsia="Arial" w:hAnsi="Arial"/>
          <w:sz w:val="20"/>
          <w:szCs w:val="20"/>
          <w:color w:val="auto"/>
        </w:rPr>
      </w:pPr>
    </w:p>
    <w:p>
      <w:pPr>
        <w:jc w:val="both"/>
        <w:ind w:firstLine="1304"/>
        <w:spacing w:after="0" w:line="269" w:lineRule="auto"/>
        <w:tabs>
          <w:tab w:leader="none" w:pos="1920" w:val="left"/>
        </w:tabs>
        <w:numPr>
          <w:ilvl w:val="0"/>
          <w:numId w:val="424"/>
        </w:numPr>
        <w:rPr>
          <w:rFonts w:ascii="Arial" w:cs="Arial" w:eastAsia="Arial" w:hAnsi="Arial"/>
          <w:sz w:val="19"/>
          <w:szCs w:val="19"/>
          <w:color w:val="auto"/>
        </w:rPr>
      </w:pPr>
      <w:r>
        <w:rPr>
          <w:rFonts w:ascii="Arial" w:cs="Arial" w:eastAsia="Arial" w:hAnsi="Arial"/>
          <w:sz w:val="19"/>
          <w:szCs w:val="19"/>
          <w:color w:val="auto"/>
        </w:rPr>
        <w:t>any (i) default or event of default under any Contractual Obligation of any Group Member or (ii) litigation, investigation or proceeding that may exist at any time between any Group Member and any Governmental Authority, that in either case, if not cured or if adversely determined, as the case may be, could reasonably be expected to have a Material Adverse Effect;</w:t>
      </w:r>
    </w:p>
    <w:p>
      <w:pPr>
        <w:spacing w:after="0" w:line="115" w:lineRule="exact"/>
        <w:rPr>
          <w:rFonts w:ascii="Arial" w:cs="Arial" w:eastAsia="Arial" w:hAnsi="Arial"/>
          <w:sz w:val="19"/>
          <w:szCs w:val="19"/>
          <w:color w:val="auto"/>
        </w:rPr>
      </w:pPr>
    </w:p>
    <w:p>
      <w:pPr>
        <w:jc w:val="both"/>
        <w:ind w:firstLine="1304"/>
        <w:spacing w:after="0" w:line="269" w:lineRule="auto"/>
        <w:tabs>
          <w:tab w:leader="none" w:pos="1718" w:val="left"/>
        </w:tabs>
        <w:numPr>
          <w:ilvl w:val="0"/>
          <w:numId w:val="424"/>
        </w:numPr>
        <w:rPr>
          <w:rFonts w:ascii="Arial" w:cs="Arial" w:eastAsia="Arial" w:hAnsi="Arial"/>
          <w:sz w:val="19"/>
          <w:szCs w:val="19"/>
          <w:color w:val="auto"/>
        </w:rPr>
      </w:pPr>
      <w:r>
        <w:rPr>
          <w:rFonts w:ascii="Arial" w:cs="Arial" w:eastAsia="Arial" w:hAnsi="Arial"/>
          <w:sz w:val="19"/>
          <w:szCs w:val="19"/>
          <w:color w:val="auto"/>
        </w:rPr>
        <w:t>any litigation or proceeding affecting any Group Member (i) in which the amount involved is $500,000 or more and not covered by insurance, (ii) in which injunctive or similar relief is sought against any Group Member which, if not cured or if adversely determined, could reasonably be expected to have a Material Adverse Effect, or (iii) which relates to any Loan Document;</w:t>
      </w:r>
    </w:p>
    <w:p>
      <w:pPr>
        <w:spacing w:after="0" w:line="115" w:lineRule="exact"/>
        <w:rPr>
          <w:rFonts w:ascii="Arial" w:cs="Arial" w:eastAsia="Arial" w:hAnsi="Arial"/>
          <w:sz w:val="19"/>
          <w:szCs w:val="19"/>
          <w:color w:val="auto"/>
        </w:rPr>
      </w:pPr>
    </w:p>
    <w:p>
      <w:pPr>
        <w:jc w:val="both"/>
        <w:ind w:firstLine="1304"/>
        <w:spacing w:after="0" w:line="256" w:lineRule="auto"/>
        <w:tabs>
          <w:tab w:leader="none" w:pos="1789" w:val="left"/>
        </w:tabs>
        <w:numPr>
          <w:ilvl w:val="0"/>
          <w:numId w:val="424"/>
        </w:numPr>
        <w:rPr>
          <w:rFonts w:ascii="Arial" w:cs="Arial" w:eastAsia="Arial" w:hAnsi="Arial"/>
          <w:sz w:val="19"/>
          <w:szCs w:val="19"/>
          <w:color w:val="auto"/>
        </w:rPr>
      </w:pPr>
      <w:r>
        <w:rPr>
          <w:rFonts w:ascii="Arial" w:cs="Arial" w:eastAsia="Arial" w:hAnsi="Arial"/>
          <w:sz w:val="19"/>
          <w:szCs w:val="19"/>
          <w:color w:val="auto"/>
        </w:rPr>
        <w:t>(i) promptly after the Borrower has knowledge or becomes aware of the occurrence of any of the following ERISA Events affecting the Borrower or any ERISA Affiliate (but in no event more than 10 days after such event (or such longer period as the Administrative Agent may agree in its reasonable discretion), the occurrence of any of the following ERISA Events, and shall provide the Administrative Agent with a copy of any notice with respect to such event that may be required to be filed with a Governmental Authority and any notice delivered by a Governmental Authority to the Borrower or any ERISA Affiliate with respect to such event: (A) an ERISA Event, (B) the adoption of any new Pension Plan by the Borrower or any ERISA Affiliate, (C) the adoption of any amendment to a Pension Plan, if such amendment will result in a material increase in contribution obligations or unfunded benefit liabilities (as defined in Section 4001(a)(18) of ERISA), or (D) the commencement of contributions by the Borrower or any ERISA Affiliate to any Plan that is subject to Title IV of ERISA or Section 412 of the Code; and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85</w:t>
      </w:r>
    </w:p>
    <w:p>
      <w:pPr>
        <w:sectPr>
          <w:pgSz w:w="11900" w:h="16838" w:orient="portrait"/>
          <w:cols w:equalWidth="0" w:num="1">
            <w:col w:w="11240"/>
          </w:cols>
          <w:pgMar w:left="320" w:top="771" w:right="339" w:bottom="1440" w:gutter="0" w:footer="0" w:header="0"/>
        </w:sectPr>
      </w:pPr>
    </w:p>
    <w:bookmarkStart w:id="472" w:name="page473"/>
    <w:bookmarkEnd w:id="472"/>
    <w:p>
      <w:pPr>
        <w:jc w:val="both"/>
        <w:ind w:firstLine="1952"/>
        <w:spacing w:after="0" w:line="278" w:lineRule="auto"/>
        <w:tabs>
          <w:tab w:leader="none" w:pos="2420" w:val="left"/>
        </w:tabs>
        <w:numPr>
          <w:ilvl w:val="1"/>
          <w:numId w:val="425"/>
        </w:numPr>
        <w:rPr>
          <w:rFonts w:ascii="Arial" w:cs="Arial" w:eastAsia="Arial" w:hAnsi="Arial"/>
          <w:sz w:val="18"/>
          <w:szCs w:val="18"/>
          <w:color w:val="auto"/>
        </w:rPr>
      </w:pPr>
      <w:r>
        <w:rPr>
          <w:rFonts w:ascii="Arial" w:cs="Arial" w:eastAsia="Arial" w:hAnsi="Arial"/>
          <w:sz w:val="18"/>
          <w:szCs w:val="18"/>
          <w:color w:val="auto"/>
        </w:rPr>
        <w:t>(A) promptly after request from the Administrative Agent, copies of each Schedule B (Actuarial Information) to the annual report (Form 5500 Series) filed by the Borrower or any of its ERISA Affiliates with the IRS with respect to each Pension Plan and such other documents or governmental reports or filings relating to any Pension Plan or Multiemployer Plan as the Administrative Agent shall reasonably request, and (B) promptly after the giving, sending or filing thereof, or the receipt thereof, copies of all notices received by the Borrower or any of its ERISA Affiliates from a Multiemployer Plan sponsor concerning an ERISA Event;</w:t>
      </w:r>
    </w:p>
    <w:p>
      <w:pPr>
        <w:spacing w:after="0" w:line="110" w:lineRule="exact"/>
        <w:rPr>
          <w:rFonts w:ascii="Arial" w:cs="Arial" w:eastAsia="Arial" w:hAnsi="Arial"/>
          <w:sz w:val="18"/>
          <w:szCs w:val="18"/>
          <w:color w:val="auto"/>
        </w:rPr>
      </w:pPr>
    </w:p>
    <w:p>
      <w:pPr>
        <w:ind w:left="1720" w:hanging="416"/>
        <w:spacing w:after="0"/>
        <w:tabs>
          <w:tab w:leader="none" w:pos="1720" w:val="left"/>
        </w:tabs>
        <w:numPr>
          <w:ilvl w:val="0"/>
          <w:numId w:val="426"/>
        </w:numPr>
        <w:rPr>
          <w:rFonts w:ascii="Arial" w:cs="Arial" w:eastAsia="Arial" w:hAnsi="Arial"/>
          <w:sz w:val="19"/>
          <w:szCs w:val="19"/>
          <w:color w:val="auto"/>
        </w:rPr>
      </w:pPr>
      <w:r>
        <w:rPr>
          <w:rFonts w:ascii="Arial" w:cs="Arial" w:eastAsia="Arial" w:hAnsi="Arial"/>
          <w:sz w:val="19"/>
          <w:szCs w:val="19"/>
          <w:color w:val="auto"/>
        </w:rPr>
        <w:t>any material change in the information provided in the most recently delivered Beneficial Ownership Certification;</w:t>
      </w:r>
    </w:p>
    <w:p>
      <w:pPr>
        <w:spacing w:after="0" w:line="173" w:lineRule="exact"/>
        <w:rPr>
          <w:rFonts w:ascii="Arial" w:cs="Arial" w:eastAsia="Arial" w:hAnsi="Arial"/>
          <w:sz w:val="19"/>
          <w:szCs w:val="19"/>
          <w:color w:val="auto"/>
        </w:rPr>
      </w:pPr>
    </w:p>
    <w:p>
      <w:pPr>
        <w:ind w:left="1700" w:hanging="396"/>
        <w:spacing w:after="0"/>
        <w:tabs>
          <w:tab w:leader="none" w:pos="1700" w:val="left"/>
        </w:tabs>
        <w:numPr>
          <w:ilvl w:val="0"/>
          <w:numId w:val="426"/>
        </w:numPr>
        <w:rPr>
          <w:rFonts w:ascii="Arial" w:cs="Arial" w:eastAsia="Arial" w:hAnsi="Arial"/>
          <w:sz w:val="20"/>
          <w:szCs w:val="20"/>
          <w:color w:val="auto"/>
        </w:rPr>
      </w:pPr>
      <w:r>
        <w:rPr>
          <w:rFonts w:ascii="Arial" w:cs="Arial" w:eastAsia="Arial" w:hAnsi="Arial"/>
          <w:sz w:val="20"/>
          <w:szCs w:val="20"/>
          <w:color w:val="auto"/>
        </w:rPr>
        <w:t>any material change in it accounting policies or financial reporting practices by any Loan Party;</w:t>
      </w:r>
    </w:p>
    <w:p>
      <w:pPr>
        <w:spacing w:after="0" w:line="161" w:lineRule="exact"/>
        <w:rPr>
          <w:rFonts w:ascii="Arial" w:cs="Arial" w:eastAsia="Arial" w:hAnsi="Arial"/>
          <w:sz w:val="20"/>
          <w:szCs w:val="20"/>
          <w:color w:val="auto"/>
        </w:rPr>
      </w:pPr>
    </w:p>
    <w:p>
      <w:pPr>
        <w:jc w:val="both"/>
        <w:ind w:firstLine="1304"/>
        <w:spacing w:after="0" w:line="244" w:lineRule="auto"/>
        <w:tabs>
          <w:tab w:leader="none" w:pos="1736" w:val="left"/>
        </w:tabs>
        <w:numPr>
          <w:ilvl w:val="0"/>
          <w:numId w:val="426"/>
        </w:numPr>
        <w:rPr>
          <w:rFonts w:ascii="Arial" w:cs="Arial" w:eastAsia="Arial" w:hAnsi="Arial"/>
          <w:sz w:val="20"/>
          <w:szCs w:val="20"/>
          <w:color w:val="auto"/>
        </w:rPr>
      </w:pPr>
      <w:r>
        <w:rPr>
          <w:rFonts w:ascii="Arial" w:cs="Arial" w:eastAsia="Arial" w:hAnsi="Arial"/>
          <w:sz w:val="20"/>
          <w:szCs w:val="20"/>
          <w:color w:val="auto"/>
        </w:rPr>
        <w:t xml:space="preserve">any deferral of payment of any contested taxes in excess of $100,000, and the Borrower shall (i) within thirty (30) days (or such longer period as the Administrative Agent may agree in its reasonable discretion) notify the Administrative Agent in writing of the commencement of, and any material development in, the proceedings with respect to such contested taxes, and (ii) post bonds or take any other steps required to prevent the governmental authority levying such contested taxes from obtaining a Lien upon any of the Collateral that is not a Lien permitted pursuant to </w:t>
      </w:r>
      <w:r>
        <w:rPr>
          <w:rFonts w:ascii="Arial" w:cs="Arial" w:eastAsia="Arial" w:hAnsi="Arial"/>
          <w:sz w:val="20"/>
          <w:szCs w:val="20"/>
          <w:u w:val="single" w:color="auto"/>
          <w:color w:val="auto"/>
        </w:rPr>
        <w:t>Section 7.3</w:t>
      </w:r>
      <w:r>
        <w:rPr>
          <w:rFonts w:ascii="Arial" w:cs="Arial" w:eastAsia="Arial" w:hAnsi="Arial"/>
          <w:sz w:val="20"/>
          <w:szCs w:val="20"/>
          <w:color w:val="auto"/>
        </w:rPr>
        <w:t>; and</w:t>
      </w:r>
    </w:p>
    <w:p>
      <w:pPr>
        <w:spacing w:after="0" w:line="140" w:lineRule="exact"/>
        <w:rPr>
          <w:rFonts w:ascii="Arial" w:cs="Arial" w:eastAsia="Arial" w:hAnsi="Arial"/>
          <w:sz w:val="20"/>
          <w:szCs w:val="20"/>
          <w:color w:val="auto"/>
        </w:rPr>
      </w:pPr>
    </w:p>
    <w:p>
      <w:pPr>
        <w:ind w:left="1740" w:hanging="436"/>
        <w:spacing w:after="0"/>
        <w:tabs>
          <w:tab w:leader="none" w:pos="1740" w:val="left"/>
        </w:tabs>
        <w:numPr>
          <w:ilvl w:val="0"/>
          <w:numId w:val="426"/>
        </w:numPr>
        <w:rPr>
          <w:rFonts w:ascii="Arial" w:cs="Arial" w:eastAsia="Arial" w:hAnsi="Arial"/>
          <w:sz w:val="20"/>
          <w:szCs w:val="20"/>
          <w:color w:val="auto"/>
        </w:rPr>
      </w:pPr>
      <w:r>
        <w:rPr>
          <w:rFonts w:ascii="Arial" w:cs="Arial" w:eastAsia="Arial" w:hAnsi="Arial"/>
          <w:sz w:val="20"/>
          <w:szCs w:val="20"/>
          <w:color w:val="auto"/>
        </w:rPr>
        <w:t>any development or event that has had or could reasonably be expected to have a Material Adverse Effect.</w:t>
      </w:r>
    </w:p>
    <w:p>
      <w:pPr>
        <w:spacing w:after="0" w:line="162"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color w:val="auto"/>
        </w:rPr>
        <w:t xml:space="preserve">Each notice pursuant to this </w:t>
      </w:r>
      <w:r>
        <w:rPr>
          <w:rFonts w:ascii="Arial" w:cs="Arial" w:eastAsia="Arial" w:hAnsi="Arial"/>
          <w:sz w:val="18"/>
          <w:szCs w:val="18"/>
          <w:u w:val="single" w:color="auto"/>
          <w:color w:val="auto"/>
        </w:rPr>
        <w:t>Section 6.8</w:t>
      </w:r>
      <w:r>
        <w:rPr>
          <w:rFonts w:ascii="Arial" w:cs="Arial" w:eastAsia="Arial" w:hAnsi="Arial"/>
          <w:sz w:val="18"/>
          <w:szCs w:val="18"/>
          <w:color w:val="auto"/>
        </w:rPr>
        <w:t xml:space="preserve"> shall be accompanied by a statement of a Responsible Officer of the Borrower setting forth details of the occurrence referred to therein and stating what action the relevant Group Member proposes to take with respect thereto.</w:t>
      </w:r>
    </w:p>
    <w:p>
      <w:pPr>
        <w:spacing w:after="0" w:line="7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6.9</w:t>
      </w:r>
      <w:r>
        <w:rPr>
          <w:sz w:val="20"/>
          <w:szCs w:val="20"/>
          <w:color w:val="auto"/>
        </w:rPr>
        <w:tab/>
      </w:r>
      <w:r>
        <w:rPr>
          <w:rFonts w:ascii="Arial" w:cs="Arial" w:eastAsia="Arial" w:hAnsi="Arial"/>
          <w:sz w:val="18"/>
          <w:szCs w:val="18"/>
          <w:b w:val="1"/>
          <w:bCs w:val="1"/>
          <w:color w:val="auto"/>
        </w:rPr>
        <w:t>Environmental Laws</w:t>
      </w:r>
      <w:r>
        <w:rPr>
          <w:rFonts w:ascii="Arial" w:cs="Arial" w:eastAsia="Arial" w:hAnsi="Arial"/>
          <w:sz w:val="18"/>
          <w:szCs w:val="18"/>
          <w:color w:val="auto"/>
        </w:rPr>
        <w:t>.</w:t>
      </w:r>
    </w:p>
    <w:p>
      <w:pPr>
        <w:spacing w:after="0" w:line="168" w:lineRule="exact"/>
        <w:rPr>
          <w:sz w:val="20"/>
          <w:szCs w:val="20"/>
          <w:color w:val="auto"/>
        </w:rPr>
      </w:pPr>
    </w:p>
    <w:p>
      <w:pPr>
        <w:jc w:val="both"/>
        <w:ind w:firstLine="1304"/>
        <w:spacing w:after="0" w:line="246" w:lineRule="auto"/>
        <w:tabs>
          <w:tab w:leader="none" w:pos="1726" w:val="left"/>
        </w:tabs>
        <w:numPr>
          <w:ilvl w:val="0"/>
          <w:numId w:val="427"/>
        </w:numPr>
        <w:rPr>
          <w:rFonts w:ascii="Arial" w:cs="Arial" w:eastAsia="Arial" w:hAnsi="Arial"/>
          <w:sz w:val="20"/>
          <w:szCs w:val="20"/>
          <w:color w:val="auto"/>
        </w:rPr>
      </w:pPr>
      <w:r>
        <w:rPr>
          <w:rFonts w:ascii="Arial" w:cs="Arial" w:eastAsia="Arial" w:hAnsi="Arial"/>
          <w:sz w:val="20"/>
          <w:szCs w:val="20"/>
          <w:color w:val="auto"/>
        </w:rPr>
        <w:t>Except as could not reasonably be expected to result in a Material Adverse Effect, comply with, and ensure compliance by all tenants and subtenants, if any, with, all applicable Environmental Laws, and obtain and comply with and maintain, and ensure that all tenants and subtenants obtain and comply with and maintain, any and all licenses, approvals, notifications, registrations or permits required by applicable Environmental Laws.</w:t>
      </w:r>
    </w:p>
    <w:p>
      <w:pPr>
        <w:spacing w:after="0" w:line="137" w:lineRule="exact"/>
        <w:rPr>
          <w:rFonts w:ascii="Arial" w:cs="Arial" w:eastAsia="Arial" w:hAnsi="Arial"/>
          <w:sz w:val="20"/>
          <w:szCs w:val="20"/>
          <w:color w:val="auto"/>
        </w:rPr>
      </w:pPr>
    </w:p>
    <w:p>
      <w:pPr>
        <w:jc w:val="both"/>
        <w:ind w:firstLine="1304"/>
        <w:spacing w:after="0" w:line="250" w:lineRule="auto"/>
        <w:tabs>
          <w:tab w:leader="none" w:pos="1910" w:val="left"/>
        </w:tabs>
        <w:numPr>
          <w:ilvl w:val="0"/>
          <w:numId w:val="427"/>
        </w:numPr>
        <w:rPr>
          <w:rFonts w:ascii="Arial" w:cs="Arial" w:eastAsia="Arial" w:hAnsi="Arial"/>
          <w:sz w:val="20"/>
          <w:szCs w:val="20"/>
          <w:color w:val="auto"/>
        </w:rPr>
      </w:pPr>
      <w:r>
        <w:rPr>
          <w:rFonts w:ascii="Arial" w:cs="Arial" w:eastAsia="Arial" w:hAnsi="Arial"/>
          <w:sz w:val="20"/>
          <w:szCs w:val="20"/>
          <w:color w:val="auto"/>
        </w:rPr>
        <w:t>Except as could not reasonably be expected to result in a Material Adverse Effect, conduct and complete all investigations, studies, sampling and testing, and all remedial, removal and other actions required under Environmental Laws and promptly comply with all lawful orders and directives of all Governmental Authorities regarding Environmental Laws.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ectPr>
          <w:pgSz w:w="11900" w:h="16838" w:orient="portrait"/>
          <w:cols w:equalWidth="0" w:num="1">
            <w:col w:w="11240"/>
          </w:cols>
          <w:pgMar w:left="320" w:top="771" w:right="339" w:bottom="1440" w:gutter="0" w:footer="0" w:header="0"/>
        </w:sectPr>
      </w:pPr>
    </w:p>
    <w:bookmarkStart w:id="473" w:name="page474"/>
    <w:bookmarkEnd w:id="473"/>
    <w:p>
      <w:pPr>
        <w:jc w:val="both"/>
        <w:ind w:firstLine="648"/>
        <w:spacing w:after="0" w:line="270" w:lineRule="auto"/>
        <w:rPr>
          <w:sz w:val="20"/>
          <w:szCs w:val="20"/>
          <w:color w:val="auto"/>
        </w:rPr>
      </w:pPr>
      <w:r>
        <w:rPr>
          <w:rFonts w:ascii="Arial" w:cs="Arial" w:eastAsia="Arial" w:hAnsi="Arial"/>
          <w:sz w:val="18"/>
          <w:szCs w:val="18"/>
          <w:b w:val="1"/>
          <w:bCs w:val="1"/>
          <w:color w:val="auto"/>
        </w:rPr>
        <w:t>6.10 Operating Accounts</w:t>
      </w:r>
      <w:r>
        <w:rPr>
          <w:rFonts w:ascii="Arial" w:cs="Arial" w:eastAsia="Arial" w:hAnsi="Arial"/>
          <w:sz w:val="18"/>
          <w:szCs w:val="18"/>
          <w:color w:val="auto"/>
        </w:rPr>
        <w:t>. Unless the Borrower and the Administrative Agent otherwise agree, the Borrower shall maintain its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all of its Domestic Subsidiaries’ operating and other deposit accounts, and securities/investment accounts with the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the Borrower shall be permitted to maintain an additional account or accounts at financial institutions other than the Lenders (the “</w:t>
      </w:r>
      <w:r>
        <w:rPr>
          <w:rFonts w:ascii="Arial" w:cs="Arial" w:eastAsia="Arial" w:hAnsi="Arial"/>
          <w:sz w:val="18"/>
          <w:szCs w:val="18"/>
          <w:b w:val="1"/>
          <w:bCs w:val="1"/>
          <w:color w:val="auto"/>
        </w:rPr>
        <w:t>Other</w:t>
      </w:r>
      <w:r>
        <w:rPr>
          <w:rFonts w:ascii="Arial" w:cs="Arial" w:eastAsia="Arial" w:hAnsi="Arial"/>
          <w:sz w:val="18"/>
          <w:szCs w:val="18"/>
          <w:color w:val="auto"/>
        </w:rPr>
        <w:t xml:space="preserve"> </w:t>
      </w:r>
      <w:r>
        <w:rPr>
          <w:rFonts w:ascii="Arial" w:cs="Arial" w:eastAsia="Arial" w:hAnsi="Arial"/>
          <w:sz w:val="18"/>
          <w:szCs w:val="18"/>
          <w:b w:val="1"/>
          <w:bCs w:val="1"/>
          <w:color w:val="auto"/>
        </w:rPr>
        <w:t>Accounts</w:t>
      </w:r>
      <w:r>
        <w:rPr>
          <w:rFonts w:ascii="Arial" w:cs="Arial" w:eastAsia="Arial" w:hAnsi="Arial"/>
          <w:sz w:val="18"/>
          <w:szCs w:val="18"/>
          <w:color w:val="auto"/>
        </w:rPr>
        <w:t>”), so long as (i) the aggregate principal balance in such Other Accounts does not exceed $10,000,000 at any time; and (ii)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Other Accounts are subject to a Control Agreement or Control Agreements in favor of the Administrative Agent. The Borrower and any other Loan Party shall (i) except as otherwise permitted pursuant to </w:t>
      </w:r>
      <w:r>
        <w:rPr>
          <w:rFonts w:ascii="Arial" w:cs="Arial" w:eastAsia="Arial" w:hAnsi="Arial"/>
          <w:sz w:val="18"/>
          <w:szCs w:val="18"/>
          <w:u w:val="single" w:color="auto"/>
          <w:color w:val="auto"/>
        </w:rPr>
        <w:t>Section 7.2(g)</w:t>
      </w:r>
      <w:r>
        <w:rPr>
          <w:rFonts w:ascii="Arial" w:cs="Arial" w:eastAsia="Arial" w:hAnsi="Arial"/>
          <w:sz w:val="18"/>
          <w:szCs w:val="18"/>
          <w:color w:val="auto"/>
        </w:rPr>
        <w:t>, obtain any Letters of Credit exclusively from the Lenders; and</w:t>
      </w:r>
    </w:p>
    <w:p>
      <w:pPr>
        <w:spacing w:after="0" w:line="2" w:lineRule="exact"/>
        <w:rPr>
          <w:sz w:val="20"/>
          <w:szCs w:val="20"/>
          <w:color w:val="auto"/>
        </w:rPr>
      </w:pPr>
    </w:p>
    <w:p>
      <w:pPr>
        <w:ind w:right="20" w:firstLine="8"/>
        <w:spacing w:after="0" w:line="244" w:lineRule="auto"/>
        <w:tabs>
          <w:tab w:leader="none" w:pos="315" w:val="left"/>
        </w:tabs>
        <w:numPr>
          <w:ilvl w:val="0"/>
          <w:numId w:val="428"/>
        </w:numPr>
        <w:rPr>
          <w:rFonts w:ascii="Arial" w:cs="Arial" w:eastAsia="Arial" w:hAnsi="Arial"/>
          <w:sz w:val="20"/>
          <w:szCs w:val="20"/>
          <w:color w:val="auto"/>
        </w:rPr>
      </w:pPr>
      <w:r>
        <w:rPr>
          <w:rFonts w:ascii="Arial" w:cs="Arial" w:eastAsia="Arial" w:hAnsi="Arial"/>
          <w:sz w:val="20"/>
          <w:szCs w:val="20"/>
          <w:color w:val="auto"/>
        </w:rPr>
        <w:t>except in jurisdictions where SVB does not offer business credit card services and as otherwise agreed by the Administrative Agent, obtain business credit cards exclusively from SVB.</w:t>
      </w:r>
    </w:p>
    <w:p>
      <w:pPr>
        <w:spacing w:after="0" w:line="13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b w:val="1"/>
          <w:bCs w:val="1"/>
          <w:color w:val="auto"/>
        </w:rPr>
        <w:t>6.11 Audits</w:t>
      </w:r>
      <w:r>
        <w:rPr>
          <w:rFonts w:ascii="Arial" w:cs="Arial" w:eastAsia="Arial" w:hAnsi="Arial"/>
          <w:sz w:val="19"/>
          <w:szCs w:val="19"/>
          <w:color w:val="auto"/>
        </w:rPr>
        <w:t>. At reasonable times, on 5 Business Day’s’ notice (</w:t>
      </w:r>
      <w:r>
        <w:rPr>
          <w:rFonts w:ascii="Arial" w:cs="Arial" w:eastAsia="Arial" w:hAnsi="Arial"/>
          <w:sz w:val="19"/>
          <w:szCs w:val="19"/>
          <w:u w:val="single" w:color="auto"/>
          <w:color w:val="auto"/>
        </w:rPr>
        <w:t>provided that</w:t>
      </w:r>
      <w:r>
        <w:rPr>
          <w:rFonts w:ascii="Arial" w:cs="Arial" w:eastAsia="Arial" w:hAnsi="Arial"/>
          <w:sz w:val="19"/>
          <w:szCs w:val="19"/>
          <w:b w:val="1"/>
          <w:bCs w:val="1"/>
          <w:color w:val="auto"/>
        </w:rPr>
        <w:t xml:space="preserve"> </w:t>
      </w:r>
      <w:r>
        <w:rPr>
          <w:rFonts w:ascii="Arial" w:cs="Arial" w:eastAsia="Arial" w:hAnsi="Arial"/>
          <w:sz w:val="19"/>
          <w:szCs w:val="19"/>
          <w:color w:val="auto"/>
        </w:rPr>
        <w:t>no notice is required if an Event of Default has</w:t>
      </w:r>
      <w:r>
        <w:rPr>
          <w:rFonts w:ascii="Arial" w:cs="Arial" w:eastAsia="Arial" w:hAnsi="Arial"/>
          <w:sz w:val="19"/>
          <w:szCs w:val="19"/>
          <w:b w:val="1"/>
          <w:bCs w:val="1"/>
          <w:color w:val="auto"/>
        </w:rPr>
        <w:t xml:space="preserve"> </w:t>
      </w:r>
      <w:r>
        <w:rPr>
          <w:rFonts w:ascii="Arial" w:cs="Arial" w:eastAsia="Arial" w:hAnsi="Arial"/>
          <w:sz w:val="19"/>
          <w:szCs w:val="19"/>
          <w:color w:val="auto"/>
        </w:rPr>
        <w:t>occurred and is continuing), the Administrative Agent, or its agents or independent contractors, shall have the right to inspect the Collateral and the right to audit and copy any and all of any Loan Party’s books and records including ledgers, federal and state tax returns, records regarding assets or liabilities, the Collateral, business operations or financial condition, and all computer programs or storage or any equipment containing such information. The foregoing inspections and audits shall be at the Borrower’s expense, and the charge therefor shall be $1,000 per person per day (or such higher amount as shall represent the Administrative Agent’s then-current standard charge for the same), plus reasonable out-of-pocket expenses. Such inspections and audits shall not be undertaken more frequently than once every 12 months, unless an Event of Default has occurred and is continuing.</w:t>
      </w:r>
    </w:p>
    <w:p>
      <w:pPr>
        <w:spacing w:after="0" w:line="11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6.12</w:t>
      </w:r>
      <w:r>
        <w:rPr>
          <w:sz w:val="20"/>
          <w:szCs w:val="20"/>
          <w:color w:val="auto"/>
        </w:rPr>
        <w:tab/>
      </w:r>
      <w:r>
        <w:rPr>
          <w:rFonts w:ascii="Arial" w:cs="Arial" w:eastAsia="Arial" w:hAnsi="Arial"/>
          <w:sz w:val="18"/>
          <w:szCs w:val="18"/>
          <w:b w:val="1"/>
          <w:bCs w:val="1"/>
          <w:color w:val="auto"/>
        </w:rPr>
        <w:t>Additional Collateral, Etc.</w:t>
      </w:r>
    </w:p>
    <w:p>
      <w:pPr>
        <w:spacing w:after="0" w:line="168" w:lineRule="exact"/>
        <w:rPr>
          <w:sz w:val="20"/>
          <w:szCs w:val="20"/>
          <w:color w:val="auto"/>
        </w:rPr>
      </w:pPr>
    </w:p>
    <w:p>
      <w:pPr>
        <w:jc w:val="both"/>
        <w:ind w:firstLine="1304"/>
        <w:spacing w:after="0" w:line="257" w:lineRule="auto"/>
        <w:tabs>
          <w:tab w:leader="none" w:pos="1752" w:val="left"/>
        </w:tabs>
        <w:numPr>
          <w:ilvl w:val="0"/>
          <w:numId w:val="429"/>
        </w:numPr>
        <w:rPr>
          <w:rFonts w:ascii="Arial" w:cs="Arial" w:eastAsia="Arial" w:hAnsi="Arial"/>
          <w:sz w:val="19"/>
          <w:szCs w:val="19"/>
          <w:color w:val="auto"/>
        </w:rPr>
      </w:pPr>
      <w:r>
        <w:rPr>
          <w:rFonts w:ascii="Arial" w:cs="Arial" w:eastAsia="Arial" w:hAnsi="Arial"/>
          <w:sz w:val="19"/>
          <w:szCs w:val="19"/>
          <w:color w:val="auto"/>
        </w:rPr>
        <w:t xml:space="preserve">With respect to any property (to the extent included in the definition of Collateral) acquired after the Closing Date by any Loan Party (other than (x) any property described in paragraph (b), (c) or (d) below, and (y) any property subject to a Lien expressly permitted by </w:t>
      </w:r>
      <w:r>
        <w:rPr>
          <w:rFonts w:ascii="Arial" w:cs="Arial" w:eastAsia="Arial" w:hAnsi="Arial"/>
          <w:sz w:val="19"/>
          <w:szCs w:val="19"/>
          <w:u w:val="single" w:color="auto"/>
          <w:color w:val="auto"/>
        </w:rPr>
        <w:t>Section 7.3(g)</w:t>
      </w:r>
      <w:r>
        <w:rPr>
          <w:rFonts w:ascii="Arial" w:cs="Arial" w:eastAsia="Arial" w:hAnsi="Arial"/>
          <w:sz w:val="19"/>
          <w:szCs w:val="19"/>
          <w:color w:val="auto"/>
        </w:rPr>
        <w:t xml:space="preserve">) as to which the Administrative Agent, for the benefit of the Secured Parties, does not have a perfected Lien, promptly (and in any event within 10 Business Days or such later date as the Administrative Agent may agree in its sole discretion) take all actions necessary or advisable in the opinion of the Administrative Agent to grant to the Administrative Agent, for the benefit of the Secured Parties, a perfected first priority (except as expressly permitted by </w:t>
      </w:r>
      <w:r>
        <w:rPr>
          <w:rFonts w:ascii="Arial" w:cs="Arial" w:eastAsia="Arial" w:hAnsi="Arial"/>
          <w:sz w:val="19"/>
          <w:szCs w:val="19"/>
          <w:u w:val="single" w:color="auto"/>
          <w:color w:val="auto"/>
        </w:rPr>
        <w:t>Section 7.3</w:t>
      </w:r>
      <w:r>
        <w:rPr>
          <w:rFonts w:ascii="Arial" w:cs="Arial" w:eastAsia="Arial" w:hAnsi="Arial"/>
          <w:sz w:val="19"/>
          <w:szCs w:val="19"/>
          <w:color w:val="auto"/>
        </w:rPr>
        <w:t>) security interest and Lien in such property, including the filing of Uniform Commercial Code financing statements in such jurisdictions as may be required by the Guarantee and Collateral Agreement or by law or as may be requested by the Administrative Agent.</w:t>
      </w:r>
    </w:p>
    <w:p>
      <w:pPr>
        <w:spacing w:after="0" w:line="126" w:lineRule="exact"/>
        <w:rPr>
          <w:rFonts w:ascii="Arial" w:cs="Arial" w:eastAsia="Arial" w:hAnsi="Arial"/>
          <w:sz w:val="19"/>
          <w:szCs w:val="19"/>
          <w:color w:val="auto"/>
        </w:rPr>
      </w:pPr>
    </w:p>
    <w:p>
      <w:pPr>
        <w:jc w:val="both"/>
        <w:ind w:firstLine="1304"/>
        <w:spacing w:after="0" w:line="269" w:lineRule="auto"/>
        <w:tabs>
          <w:tab w:leader="none" w:pos="1735" w:val="left"/>
        </w:tabs>
        <w:numPr>
          <w:ilvl w:val="0"/>
          <w:numId w:val="429"/>
        </w:numPr>
        <w:rPr>
          <w:rFonts w:ascii="Arial" w:cs="Arial" w:eastAsia="Arial" w:hAnsi="Arial"/>
          <w:sz w:val="18"/>
          <w:szCs w:val="18"/>
          <w:color w:val="auto"/>
        </w:rPr>
      </w:pPr>
      <w:r>
        <w:rPr>
          <w:rFonts w:ascii="Arial" w:cs="Arial" w:eastAsia="Arial" w:hAnsi="Arial"/>
          <w:sz w:val="18"/>
          <w:szCs w:val="18"/>
          <w:color w:val="auto"/>
        </w:rPr>
        <w:t xml:space="preserve">With respect to any fee interest in any real property having a fair market value (together with improvements thereof) of at least $1,000,000 (or such other amount as approved in writing by the Administrative Agent in its sole discretion) acquired after the Closing Date by any Loan Party (other than any such real property subject to a Lien expressly permitted by </w:t>
      </w:r>
      <w:r>
        <w:rPr>
          <w:rFonts w:ascii="Arial" w:cs="Arial" w:eastAsia="Arial" w:hAnsi="Arial"/>
          <w:sz w:val="18"/>
          <w:szCs w:val="18"/>
          <w:u w:val="single" w:color="auto"/>
          <w:color w:val="auto"/>
        </w:rPr>
        <w:t>Section 7.3(g)</w:t>
      </w:r>
      <w:r>
        <w:rPr>
          <w:rFonts w:ascii="Arial" w:cs="Arial" w:eastAsia="Arial" w:hAnsi="Arial"/>
          <w:sz w:val="18"/>
          <w:szCs w:val="18"/>
          <w:color w:val="auto"/>
        </w:rPr>
        <w:t xml:space="preserve">), promptly (and in any event within 60 days (or such longer time period as the Administrative Agent may agree in its sole discretion)) after such acquisition, to the extent requested by the Administrative Agent, (i) execute and deliver a first priority Mortgage, in favor of the Administrative Agent, for the benefit of the Secured Parties, covering such real property, (ii) if requested by the Administrative Agent, provide the Lenders with title and extended coverage insurance covering such real property in an amount not in excess of the fair market value as reasonably estimated by the Borrower as well as a current ALTA survey thereof, together with a surveyor’s certificate, each of the foregoing in form and substance reasonably satisfactory to the Administrative Agent and (iii) if requested by the Administrative Agent, deliver to the Administrative Agent legal opinions relating to the matters described above, which opinions shall be in form and substance, and from counsel, reasonably satisfactory to the Administrative Agent. In connection with the foregoing, no later than 5 Business Days prior to the date on which a Mortgage is executed and delivered pursuant to this </w:t>
      </w:r>
      <w:r>
        <w:rPr>
          <w:rFonts w:ascii="Arial" w:cs="Arial" w:eastAsia="Arial" w:hAnsi="Arial"/>
          <w:sz w:val="18"/>
          <w:szCs w:val="18"/>
          <w:u w:val="single" w:color="auto"/>
          <w:color w:val="auto"/>
        </w:rPr>
        <w:t>Section 6.12</w:t>
      </w:r>
      <w:r>
        <w:rPr>
          <w:rFonts w:ascii="Arial" w:cs="Arial" w:eastAsia="Arial" w:hAnsi="Arial"/>
          <w:sz w:val="18"/>
          <w:szCs w:val="18"/>
          <w:color w:val="auto"/>
        </w:rPr>
        <w:t>, in order to comply with the Flood Laws, the Administrative Agent (for delivery to each Lender) shall have received the following documents (collectively, the “</w:t>
      </w:r>
      <w:r>
        <w:rPr>
          <w:rFonts w:ascii="Arial" w:cs="Arial" w:eastAsia="Arial" w:hAnsi="Arial"/>
          <w:sz w:val="18"/>
          <w:szCs w:val="18"/>
          <w:b w:val="1"/>
          <w:bCs w:val="1"/>
          <w:i w:val="1"/>
          <w:iCs w:val="1"/>
          <w:color w:val="auto"/>
        </w:rPr>
        <w:t>Flood Documents</w:t>
      </w:r>
      <w:r>
        <w:rPr>
          <w:rFonts w:ascii="Arial" w:cs="Arial" w:eastAsia="Arial" w:hAnsi="Arial"/>
          <w:sz w:val="18"/>
          <w:szCs w:val="18"/>
          <w:color w:val="auto"/>
        </w:rPr>
        <w:t>”): (A) a completed standard “life of loan” flood hazard determination form (a “</w:t>
      </w:r>
      <w:r>
        <w:rPr>
          <w:rFonts w:ascii="Arial" w:cs="Arial" w:eastAsia="Arial" w:hAnsi="Arial"/>
          <w:sz w:val="18"/>
          <w:szCs w:val="18"/>
          <w:b w:val="1"/>
          <w:bCs w:val="1"/>
          <w:i w:val="1"/>
          <w:iCs w:val="1"/>
          <w:color w:val="auto"/>
        </w:rPr>
        <w:t>Flood Determination Form</w:t>
      </w:r>
      <w:r>
        <w:rPr>
          <w:rFonts w:ascii="Arial" w:cs="Arial" w:eastAsia="Arial" w:hAnsi="Arial"/>
          <w:sz w:val="18"/>
          <w:szCs w:val="18"/>
          <w:color w:val="auto"/>
        </w:rPr>
        <w:t>”) and such other documents as any Lender may reasonably request to complete its flood due diligence, (B) if the improvement(s) to the applicable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87</w:t>
      </w:r>
    </w:p>
    <w:p>
      <w:pPr>
        <w:sectPr>
          <w:pgSz w:w="11900" w:h="16838" w:orient="portrait"/>
          <w:cols w:equalWidth="0" w:num="1">
            <w:col w:w="11240"/>
          </w:cols>
          <w:pgMar w:left="320" w:top="765" w:right="339" w:bottom="1440" w:gutter="0" w:footer="0" w:header="0"/>
        </w:sectPr>
      </w:pPr>
    </w:p>
    <w:bookmarkStart w:id="474" w:name="page475"/>
    <w:bookmarkEnd w:id="474"/>
    <w:p>
      <w:pPr>
        <w:jc w:val="both"/>
        <w:spacing w:after="0" w:line="269" w:lineRule="auto"/>
        <w:rPr>
          <w:sz w:val="20"/>
          <w:szCs w:val="20"/>
          <w:color w:val="auto"/>
        </w:rPr>
      </w:pPr>
      <w:r>
        <w:rPr>
          <w:rFonts w:ascii="Arial" w:cs="Arial" w:eastAsia="Arial" w:hAnsi="Arial"/>
          <w:sz w:val="18"/>
          <w:szCs w:val="18"/>
          <w:color w:val="auto"/>
        </w:rPr>
        <w:t>improved real property is located in a special flood hazard area, a notification to the applicable Loan Party (if applicable) (“</w:t>
      </w:r>
      <w:r>
        <w:rPr>
          <w:rFonts w:ascii="Arial" w:cs="Arial" w:eastAsia="Arial" w:hAnsi="Arial"/>
          <w:sz w:val="18"/>
          <w:szCs w:val="18"/>
          <w:b w:val="1"/>
          <w:bCs w:val="1"/>
          <w:i w:val="1"/>
          <w:iCs w:val="1"/>
          <w:color w:val="auto"/>
        </w:rPr>
        <w:t>Loan Party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that flood insurance coverage under the National Flood Insurance Program (“</w:t>
      </w:r>
      <w:r>
        <w:rPr>
          <w:rFonts w:ascii="Arial" w:cs="Arial" w:eastAsia="Arial" w:hAnsi="Arial"/>
          <w:sz w:val="18"/>
          <w:szCs w:val="18"/>
          <w:b w:val="1"/>
          <w:bCs w:val="1"/>
          <w:i w:val="1"/>
          <w:iCs w:val="1"/>
          <w:color w:val="auto"/>
        </w:rPr>
        <w:t>NFIP</w:t>
      </w:r>
      <w:r>
        <w:rPr>
          <w:rFonts w:ascii="Arial" w:cs="Arial" w:eastAsia="Arial" w:hAnsi="Arial"/>
          <w:sz w:val="18"/>
          <w:szCs w:val="18"/>
          <w:color w:val="auto"/>
        </w:rPr>
        <w:t>”) is not available because the community does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participate in the NFIP, (C) documentation evidencing the applicable Loan Party’s receipt of any such Loan Party Notice (e.g., countersigned Loan Party Notice, return receipt of certified U.S. Mail, or overnight delivery), and (D) if the Loan Party Notice is required to be given and, to the extent flood insurance is required by any applicable Requirement of Law or any Lenders’ written regulatory or compliance procedures and flood insurance is available in the community in which the property is located, a copy of one of the following: the flood insurance policy, the applicable Loan Party’s application for a flood insurance policy plus proof of premium payment, a declaration page confirming that flood insurance has been issued, or such other evidence of flood insurance that complies with all applicable laws and regulations reasonably satisfactory to the Administrative Agent and each Lender (any of the foregoing being “</w:t>
      </w:r>
      <w:r>
        <w:rPr>
          <w:rFonts w:ascii="Arial" w:cs="Arial" w:eastAsia="Arial" w:hAnsi="Arial"/>
          <w:sz w:val="18"/>
          <w:szCs w:val="18"/>
          <w:b w:val="1"/>
          <w:bCs w:val="1"/>
          <w:i w:val="1"/>
          <w:iCs w:val="1"/>
          <w:color w:val="auto"/>
        </w:rPr>
        <w:t>Evidence of Flood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Insurance</w:t>
      </w:r>
      <w:r>
        <w:rPr>
          <w:rFonts w:ascii="Arial" w:cs="Arial" w:eastAsia="Arial" w:hAnsi="Arial"/>
          <w:sz w:val="18"/>
          <w:szCs w:val="18"/>
          <w:color w:val="auto"/>
        </w:rPr>
        <w:t>”). Notwithstanding anything contained herein to the contrary, no Mortgage will be executed and delivered until each Lender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confirmed to the Administrative Agent that such Lender has satisfactorily completed its flood insurance due diligence and compliance requirements. Each of the parties hereto acknowledges and agrees that, if there are any Mortgaged Properties, any increase, extension or renewal of any of the Revolving Commitments (including the provision of any Increase or any other incremental credit facilities hereunder, but excluding (i) any continuation or conversion of borrowings, (ii) the making of any Revolving Loans or (iii) the issuance, renewal or extension of Letters of Credit) shall be subject to (and conditioned upon): (A) the prior delivery of all applicable Flood Documents with respect to such Mortgaged Properties as required by the Flood Laws and as otherwise reasonably required by the Lenders and (B) the Administrative Agent having received written confirmation from each Lenders.</w:t>
      </w:r>
    </w:p>
    <w:p>
      <w:pPr>
        <w:spacing w:after="0" w:line="120" w:lineRule="exact"/>
        <w:rPr>
          <w:sz w:val="20"/>
          <w:szCs w:val="20"/>
          <w:color w:val="auto"/>
        </w:rPr>
      </w:pPr>
    </w:p>
    <w:p>
      <w:pPr>
        <w:jc w:val="both"/>
        <w:ind w:firstLine="1304"/>
        <w:spacing w:after="0" w:line="268" w:lineRule="auto"/>
        <w:tabs>
          <w:tab w:leader="none" w:pos="1732" w:val="left"/>
        </w:tabs>
        <w:numPr>
          <w:ilvl w:val="0"/>
          <w:numId w:val="430"/>
        </w:numPr>
        <w:rPr>
          <w:rFonts w:ascii="Arial" w:cs="Arial" w:eastAsia="Arial" w:hAnsi="Arial"/>
          <w:sz w:val="18"/>
          <w:szCs w:val="18"/>
          <w:color w:val="auto"/>
        </w:rPr>
      </w:pPr>
      <w:r>
        <w:rPr>
          <w:rFonts w:ascii="Arial" w:cs="Arial" w:eastAsia="Arial" w:hAnsi="Arial"/>
          <w:sz w:val="18"/>
          <w:szCs w:val="18"/>
          <w:color w:val="auto"/>
        </w:rPr>
        <w:t xml:space="preserve">With respect to any Subsidiary (other than an Immaterial Subsidiary) created or acquired after the Closing Date by any Loan Party (including pursuant to a Permitted Acquisition), or any new Subsidiary formed by Division or if an Immaterial Subsidiary ceases to qualify as an Immaterial Subsidiary, except to the extent compliance with this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is prohibited by existing Contractual Obligations (so long as such prohibition is not incurred in contemplation of such acquisition or the obligations hereunder) or Requirements of Law binding on such Subsidiary or its properties, or could reasonably be expected to result in material adverse tax consequences to NerdWallet or any of its Subsidiaries (as reasonably determined in good faith by NerdWallet), within 60 days (or such longer period as may be agreed to by the Administrative Agent, in its reasonable discretion) (i) execute and deliver to the Administrative Agent such amendments to the Guarantee and Collateral Agreement as the Administrative Agent reasonably deems necessary or advisable to grant to the Administrative Agent, for the benefit of the Secured Parties, a perfected first priority security interest in the Capital Stock of such Subsidiary that is owned directly by such Loan Party, (ii) deliver to the Administrative Agent such documents and instruments as may be required to grant, perfect, protect and ensure the priority of such security interest, including but not limited to, the certificates representing such Capital Stock (if applicable), together with undated stock powers, in blank, executed and delivered by a duly authorized officer of the relevant Loan Party, (iii) cause such Subsidiary (A) to become a party to the Guarantee and Collateral Agreement, (B) to take such actions as are necessary or advisable in the opinion of the Administrative Agent to grant to the Administrative Agent for the benefit of the Secured Parties a perfected first priority security interest in the Collateral described in the Guarantee and Collateral Agreement, with respect to such Subsidiary, including the filing of Uniform Commercial Code financing statements in such jurisdictions as may be required by the Guarantee and Collateral Agreement or by law or as may be reasonably requested by the Administrative Agent and (C) to deliver to the Administrative Agent a certificate of such Subsidiary, in a form reasonably satisfactory to the Administrative Agent, with appropriate insertions and attachments, and (iv) if requested by the Administrative Agent, deliver to the Administrative Agent legal opinions relating to the matters described above, which opinions shall be in form and substance, and from counsel, reasonably satisfactory to the Administrative Agent; it being agreed that if such new Subsidiary is formed by a Division, the foregoing requirements shall be satisfied concurrently with the formation of such Subsidiary.</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88</w:t>
      </w:r>
    </w:p>
    <w:p>
      <w:pPr>
        <w:sectPr>
          <w:pgSz w:w="11900" w:h="16838" w:orient="portrait"/>
          <w:cols w:equalWidth="0" w:num="1">
            <w:col w:w="11240"/>
          </w:cols>
          <w:pgMar w:left="320" w:top="771" w:right="339" w:bottom="1440" w:gutter="0" w:footer="0" w:header="0"/>
        </w:sectPr>
      </w:pPr>
    </w:p>
    <w:bookmarkStart w:id="475" w:name="page476"/>
    <w:bookmarkEnd w:id="475"/>
    <w:p>
      <w:pPr>
        <w:jc w:val="both"/>
        <w:ind w:firstLine="1304"/>
        <w:spacing w:after="0" w:line="255" w:lineRule="auto"/>
        <w:tabs>
          <w:tab w:leader="none" w:pos="1814" w:val="left"/>
        </w:tabs>
        <w:numPr>
          <w:ilvl w:val="0"/>
          <w:numId w:val="431"/>
        </w:numPr>
        <w:rPr>
          <w:rFonts w:ascii="Arial" w:cs="Arial" w:eastAsia="Arial" w:hAnsi="Arial"/>
          <w:sz w:val="19"/>
          <w:szCs w:val="19"/>
          <w:color w:val="auto"/>
        </w:rPr>
      </w:pPr>
      <w:r>
        <w:rPr>
          <w:rFonts w:ascii="Arial" w:cs="Arial" w:eastAsia="Arial" w:hAnsi="Arial"/>
          <w:sz w:val="19"/>
          <w:szCs w:val="19"/>
          <w:color w:val="auto"/>
        </w:rPr>
        <w:t>At the request of the Administrative Agent, each Loan Party shall use commercially reasonable efforts to obtain a landlord’s agreement or bailee letter, as applicable, from the lessor of each leased property or bailee with respect to any warehouse, processor or converter facility or other location where Collateral having a value in excess of $500,000 is stored or located, which agreement or letter shall contain a waiver or subordination of all Liens or claims that the landlord or bailee may assert against the Collateral at that location, and shall otherwise be reasonably satisfactory in form and substance to the Administrative Agent. After the Closing Date, no Collateral having a value in excess of $500,000 shall be stored at any location leased by any Loan Party and no Collateral having a value in excess of $500,000 shall be shipped to a processor or converter under arrangements established after the Closing Date without the prior written consent of the Administrative Agent unless and until the Borrower shall have used commercially reasonable efforts to obtain a reasonably satisfactory landlord agreement or bailee letter, as appropriate, with respect to such location. Each Loan Party shall pay and perform its material obligations under all leases and other agreements with respect to each leased location, warehouse or processing center where any Collateral is or may be located.</w:t>
      </w:r>
    </w:p>
    <w:p>
      <w:pPr>
        <w:spacing w:after="0" w:line="132" w:lineRule="exact"/>
        <w:rPr>
          <w:rFonts w:ascii="Arial" w:cs="Arial" w:eastAsia="Arial" w:hAnsi="Arial"/>
          <w:sz w:val="19"/>
          <w:szCs w:val="19"/>
          <w:color w:val="auto"/>
        </w:rPr>
      </w:pPr>
    </w:p>
    <w:p>
      <w:pPr>
        <w:jc w:val="both"/>
        <w:ind w:firstLine="1304"/>
        <w:spacing w:after="0" w:line="305" w:lineRule="auto"/>
        <w:tabs>
          <w:tab w:leader="none" w:pos="1713" w:val="left"/>
        </w:tabs>
        <w:numPr>
          <w:ilvl w:val="0"/>
          <w:numId w:val="431"/>
        </w:numPr>
        <w:rPr>
          <w:rFonts w:ascii="Arial" w:cs="Arial" w:eastAsia="Arial" w:hAnsi="Arial"/>
          <w:sz w:val="16"/>
          <w:szCs w:val="16"/>
          <w:color w:val="auto"/>
        </w:rPr>
      </w:pPr>
      <w:r>
        <w:rPr>
          <w:rFonts w:ascii="Arial" w:cs="Arial" w:eastAsia="Arial" w:hAnsi="Arial"/>
          <w:sz w:val="16"/>
          <w:szCs w:val="16"/>
          <w:color w:val="auto"/>
        </w:rPr>
        <w:t xml:space="preserve">Notwithstanding the foregoing, (i) in the case of Foreign Subsidiaries, all guarantees and security shall be subject to any applicable general mandatory statutory limitations, fraudulent preference, equitable subordination, foreign exchange laws or regulations (or analogous restrictions), transfer pricing or “thin capitalization” rules, earnings stripping, exchange control restrictions, applicable maintenance of capital, retention of title claims, employee consultation or approval requirements, corporate benefit, financial assistance, protection of liquidity, and similar laws, rules and regulations and customary guarantee limitation language in the relevant jurisdiction;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relevant Group Member shall use commercially reasonable endeavors to overcome such limitations;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Group Member shall be required to take any action the cost or risk of which such Group Member determines in its reasonable discretion exceeds the benefit of overcoming the applicable limitations; and (ii) Subsidiaries may be excluded from the guarantee requirements in circumstances where (1) the Borrower and the Administrative Agent reasonably agree that the cost or other consequence of providing such a guarantee is excessive in relation to the value afforded thereby or (2) in the case of Foreign Subsidiaries, such requirements would contravene any legal prohibition, could reasonably be expected to result in any violation or breach of, or conflict with, fiduciary duties or result in a risk of personal or criminal liability on the part of any officer, director, member or manager of such Subsidiary;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relevant Loan Party shall use commercially reasonable endeavors to overcome such limitations;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Group Member shall be required to take any action the cost or risk of which such Group Member determines in its reasonable discretion exceeds the benefit of overcoming the applicable limitations. As a result of the limitations in clause (i) above, the Administrative Agent may elect to waive the requirement to cause a Group Member to become a Guarantor hereunder and such Group Member shall not be a Loan Party for any purposes hereof.</w:t>
      </w:r>
    </w:p>
    <w:p>
      <w:pPr>
        <w:spacing w:after="0" w:line="32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6.13</w:t>
      </w:r>
      <w:r>
        <w:rPr>
          <w:sz w:val="20"/>
          <w:szCs w:val="20"/>
          <w:color w:val="auto"/>
        </w:rPr>
        <w:tab/>
      </w:r>
      <w:r>
        <w:rPr>
          <w:rFonts w:ascii="Arial" w:cs="Arial" w:eastAsia="Arial" w:hAnsi="Arial"/>
          <w:sz w:val="16"/>
          <w:szCs w:val="16"/>
          <w:b w:val="1"/>
          <w:bCs w:val="1"/>
          <w:color w:val="auto"/>
        </w:rPr>
        <w:t>Use of Proceeds</w:t>
      </w:r>
      <w:r>
        <w:rPr>
          <w:rFonts w:ascii="Arial" w:cs="Arial" w:eastAsia="Arial" w:hAnsi="Arial"/>
          <w:sz w:val="16"/>
          <w:szCs w:val="16"/>
          <w:color w:val="auto"/>
        </w:rPr>
        <w:t>. Use the proceeds of each credit extension only for the purposes specified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4.16</w:t>
      </w:r>
      <w:r>
        <w:rPr>
          <w:rFonts w:ascii="Arial" w:cs="Arial" w:eastAsia="Arial" w:hAnsi="Arial"/>
          <w:sz w:val="16"/>
          <w:szCs w:val="16"/>
          <w:color w:val="auto"/>
        </w:rPr>
        <w:t>.</w:t>
      </w:r>
    </w:p>
    <w:p>
      <w:pPr>
        <w:spacing w:after="0" w:line="162" w:lineRule="exact"/>
        <w:rPr>
          <w:sz w:val="20"/>
          <w:szCs w:val="20"/>
          <w:color w:val="auto"/>
        </w:rPr>
      </w:pPr>
    </w:p>
    <w:p>
      <w:pPr>
        <w:ind w:right="20" w:firstLine="648"/>
        <w:spacing w:after="0" w:line="293" w:lineRule="auto"/>
        <w:rPr>
          <w:sz w:val="20"/>
          <w:szCs w:val="20"/>
          <w:color w:val="auto"/>
        </w:rPr>
      </w:pPr>
      <w:r>
        <w:rPr>
          <w:rFonts w:ascii="Arial" w:cs="Arial" w:eastAsia="Arial" w:hAnsi="Arial"/>
          <w:sz w:val="19"/>
          <w:szCs w:val="19"/>
          <w:b w:val="1"/>
          <w:bCs w:val="1"/>
          <w:color w:val="auto"/>
        </w:rPr>
        <w:t>6.14 Designated Senior Indebtedness</w:t>
      </w:r>
      <w:r>
        <w:rPr>
          <w:rFonts w:ascii="Arial" w:cs="Arial" w:eastAsia="Arial" w:hAnsi="Arial"/>
          <w:sz w:val="19"/>
          <w:szCs w:val="19"/>
          <w:color w:val="auto"/>
        </w:rPr>
        <w:t>. Cause the Loan Documents and all of the Obligations to be deemed “Designated Senior</w:t>
      </w:r>
      <w:r>
        <w:rPr>
          <w:rFonts w:ascii="Arial" w:cs="Arial" w:eastAsia="Arial" w:hAnsi="Arial"/>
          <w:sz w:val="19"/>
          <w:szCs w:val="19"/>
          <w:b w:val="1"/>
          <w:bCs w:val="1"/>
          <w:color w:val="auto"/>
        </w:rPr>
        <w:t xml:space="preserve"> </w:t>
      </w:r>
      <w:r>
        <w:rPr>
          <w:rFonts w:ascii="Arial" w:cs="Arial" w:eastAsia="Arial" w:hAnsi="Arial"/>
          <w:sz w:val="19"/>
          <w:szCs w:val="19"/>
          <w:color w:val="auto"/>
        </w:rPr>
        <w:t>Indebtedness” or a similar concept thereto, if applicable, for purposes of any Indebtedness of the Loan Parties.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89</w:t>
      </w:r>
    </w:p>
    <w:p>
      <w:pPr>
        <w:sectPr>
          <w:pgSz w:w="11900" w:h="16838" w:orient="portrait"/>
          <w:cols w:equalWidth="0" w:num="1">
            <w:col w:w="11240"/>
          </w:cols>
          <w:pgMar w:left="320" w:top="771" w:right="339" w:bottom="1440" w:gutter="0" w:footer="0" w:header="0"/>
        </w:sectPr>
      </w:pPr>
    </w:p>
    <w:bookmarkStart w:id="476" w:name="page477"/>
    <w:bookmarkEnd w:id="476"/>
    <w:p>
      <w:pPr>
        <w:jc w:val="both"/>
        <w:ind w:firstLine="648"/>
        <w:spacing w:after="0" w:line="267" w:lineRule="auto"/>
        <w:rPr>
          <w:sz w:val="20"/>
          <w:szCs w:val="20"/>
          <w:color w:val="auto"/>
        </w:rPr>
      </w:pPr>
      <w:r>
        <w:rPr>
          <w:rFonts w:ascii="Arial" w:cs="Arial" w:eastAsia="Arial" w:hAnsi="Arial"/>
          <w:sz w:val="20"/>
          <w:szCs w:val="20"/>
          <w:b w:val="1"/>
          <w:bCs w:val="1"/>
          <w:color w:val="auto"/>
        </w:rPr>
        <w:t>6.15 Anti-Corruption Laws</w:t>
      </w:r>
      <w:r>
        <w:rPr>
          <w:rFonts w:ascii="Arial" w:cs="Arial" w:eastAsia="Arial" w:hAnsi="Arial"/>
          <w:sz w:val="20"/>
          <w:szCs w:val="20"/>
          <w:color w:val="auto"/>
        </w:rPr>
        <w:t>. Conduct its business in compliance in all material respects with all applicable anti-corruption laws</w:t>
      </w:r>
      <w:r>
        <w:rPr>
          <w:rFonts w:ascii="Arial" w:cs="Arial" w:eastAsia="Arial" w:hAnsi="Arial"/>
          <w:sz w:val="20"/>
          <w:szCs w:val="20"/>
          <w:b w:val="1"/>
          <w:bCs w:val="1"/>
          <w:color w:val="auto"/>
        </w:rPr>
        <w:t xml:space="preserve"> </w:t>
      </w:r>
      <w:r>
        <w:rPr>
          <w:rFonts w:ascii="Arial" w:cs="Arial" w:eastAsia="Arial" w:hAnsi="Arial"/>
          <w:sz w:val="20"/>
          <w:szCs w:val="20"/>
          <w:color w:val="auto"/>
        </w:rPr>
        <w:t>and maintain policies and procedures designed to promote and achieve compliance with such laws.</w:t>
      </w:r>
    </w:p>
    <w:p>
      <w:pPr>
        <w:spacing w:after="0" w:line="10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6.16 Further Assurances</w:t>
      </w:r>
      <w:r>
        <w:rPr>
          <w:rFonts w:ascii="Arial" w:cs="Arial" w:eastAsia="Arial" w:hAnsi="Arial"/>
          <w:sz w:val="20"/>
          <w:szCs w:val="20"/>
          <w:color w:val="auto"/>
        </w:rPr>
        <w:t>. Execute any further instruments and take such further action as the Administrative Agent reasonably</w:t>
      </w:r>
      <w:r>
        <w:rPr>
          <w:rFonts w:ascii="Arial" w:cs="Arial" w:eastAsia="Arial" w:hAnsi="Arial"/>
          <w:sz w:val="20"/>
          <w:szCs w:val="20"/>
          <w:b w:val="1"/>
          <w:bCs w:val="1"/>
          <w:color w:val="auto"/>
        </w:rPr>
        <w:t xml:space="preserve"> </w:t>
      </w:r>
      <w:r>
        <w:rPr>
          <w:rFonts w:ascii="Arial" w:cs="Arial" w:eastAsia="Arial" w:hAnsi="Arial"/>
          <w:sz w:val="20"/>
          <w:szCs w:val="20"/>
          <w:color w:val="auto"/>
        </w:rPr>
        <w:t>deems necessary to perfect, protect, ensure the priority of or continue the Administrative Agent’s Lien on the Collateral or to effect the purposes of this Agreement.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7</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NEGATIVE COVENANTS</w:t>
      </w:r>
    </w:p>
    <w:p>
      <w:pPr>
        <w:spacing w:after="0" w:line="14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Borrower hereby agrees that, at all times prior to the Discharge of Obligations, no Loan Party shall, nor shall any Loan Party permit any of its respective Subsidiaries to, directly or indirectly:</w:t>
      </w:r>
    </w:p>
    <w:p>
      <w:pPr>
        <w:spacing w:after="0" w:line="11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7.1</w:t>
      </w:r>
      <w:r>
        <w:rPr>
          <w:sz w:val="20"/>
          <w:szCs w:val="20"/>
          <w:color w:val="auto"/>
        </w:rPr>
        <w:tab/>
      </w:r>
      <w:r>
        <w:rPr>
          <w:rFonts w:ascii="Arial" w:cs="Arial" w:eastAsia="Arial" w:hAnsi="Arial"/>
          <w:sz w:val="16"/>
          <w:szCs w:val="16"/>
          <w:b w:val="1"/>
          <w:bCs w:val="1"/>
          <w:color w:val="auto"/>
        </w:rPr>
        <w:t>Financial Condition Covenants</w:t>
      </w:r>
      <w:r>
        <w:rPr>
          <w:rFonts w:ascii="Arial" w:cs="Arial" w:eastAsia="Arial" w:hAnsi="Arial"/>
          <w:sz w:val="16"/>
          <w:szCs w:val="16"/>
          <w:color w:val="auto"/>
        </w:rPr>
        <w:t>.</w:t>
      </w:r>
    </w:p>
    <w:p>
      <w:pPr>
        <w:spacing w:after="0" w:line="168" w:lineRule="exact"/>
        <w:rPr>
          <w:sz w:val="20"/>
          <w:szCs w:val="20"/>
          <w:color w:val="auto"/>
        </w:rPr>
      </w:pPr>
    </w:p>
    <w:p>
      <w:pPr>
        <w:jc w:val="both"/>
        <w:ind w:firstLine="1304"/>
        <w:spacing w:after="0" w:line="250" w:lineRule="auto"/>
        <w:tabs>
          <w:tab w:leader="none" w:pos="1713" w:val="left"/>
        </w:tabs>
        <w:numPr>
          <w:ilvl w:val="0"/>
          <w:numId w:val="432"/>
        </w:numPr>
        <w:rPr>
          <w:rFonts w:ascii="Arial" w:cs="Arial" w:eastAsia="Arial" w:hAnsi="Arial"/>
          <w:sz w:val="20"/>
          <w:szCs w:val="20"/>
          <w:color w:val="auto"/>
        </w:rPr>
      </w:pPr>
      <w:r>
        <w:rPr>
          <w:rFonts w:ascii="Arial" w:cs="Arial" w:eastAsia="Arial" w:hAnsi="Arial"/>
          <w:sz w:val="20"/>
          <w:szCs w:val="20"/>
          <w:u w:val="single" w:color="auto"/>
          <w:color w:val="auto"/>
        </w:rPr>
        <w:t>Adjusted Quick Ratio</w:t>
      </w:r>
      <w:r>
        <w:rPr>
          <w:rFonts w:ascii="Arial" w:cs="Arial" w:eastAsia="Arial" w:hAnsi="Arial"/>
          <w:sz w:val="20"/>
          <w:szCs w:val="20"/>
          <w:color w:val="auto"/>
        </w:rPr>
        <w:t xml:space="preserve">. Permit the Adjusted Quick Ratio, tested as of the last day of each calendar month, to be less than 1.25:1.00;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xml:space="preserve"> from and after a Qualified IPO of NerdWallet’s common stock, the foregoing financial covenant shall be tested quarterly as of the last day of each calendar quarter.</w:t>
      </w:r>
    </w:p>
    <w:p>
      <w:pPr>
        <w:spacing w:after="0" w:line="131" w:lineRule="exact"/>
        <w:rPr>
          <w:rFonts w:ascii="Arial" w:cs="Arial" w:eastAsia="Arial" w:hAnsi="Arial"/>
          <w:sz w:val="20"/>
          <w:szCs w:val="20"/>
          <w:color w:val="auto"/>
        </w:rPr>
      </w:pPr>
    </w:p>
    <w:p>
      <w:pPr>
        <w:ind w:firstLine="1304"/>
        <w:spacing w:after="0" w:line="287" w:lineRule="auto"/>
        <w:tabs>
          <w:tab w:leader="none" w:pos="1819" w:val="left"/>
        </w:tabs>
        <w:numPr>
          <w:ilvl w:val="0"/>
          <w:numId w:val="432"/>
        </w:numPr>
        <w:rPr>
          <w:rFonts w:ascii="Arial" w:cs="Arial" w:eastAsia="Arial" w:hAnsi="Arial"/>
          <w:sz w:val="19"/>
          <w:szCs w:val="19"/>
          <w:color w:val="auto"/>
        </w:rPr>
      </w:pPr>
      <w:r>
        <w:rPr>
          <w:rFonts w:ascii="Arial" w:cs="Arial" w:eastAsia="Arial" w:hAnsi="Arial"/>
          <w:sz w:val="19"/>
          <w:szCs w:val="19"/>
          <w:u w:val="single" w:color="auto"/>
          <w:color w:val="auto"/>
        </w:rPr>
        <w:t>Consolidated Adjusted EBITDA</w:t>
      </w:r>
      <w:r>
        <w:rPr>
          <w:rFonts w:ascii="Arial" w:cs="Arial" w:eastAsia="Arial" w:hAnsi="Arial"/>
          <w:sz w:val="19"/>
          <w:szCs w:val="19"/>
          <w:color w:val="auto"/>
        </w:rPr>
        <w:t>. Permit the Consolidated Adjusted EBITDA of the Borrower and its consolidated Subsidiaries, as of the last day of any fiscal quarter of the Borrower, on a trailing twelve month basis, to be less than the following:</w:t>
      </w:r>
    </w:p>
    <w:p>
      <w:pPr>
        <w:spacing w:after="0" w:line="146" w:lineRule="exact"/>
        <w:rPr>
          <w:sz w:val="20"/>
          <w:szCs w:val="20"/>
          <w:color w:val="auto"/>
        </w:rPr>
      </w:pPr>
    </w:p>
    <w:tbl>
      <w:tblPr>
        <w:tblLayout w:type="fixed"/>
        <w:tblInd w:w="1320" w:type="dxa"/>
        <w:tblCellMar>
          <w:top w:w="0" w:type="dxa"/>
          <w:left w:w="0" w:type="dxa"/>
          <w:bottom w:w="0" w:type="dxa"/>
          <w:right w:w="0" w:type="dxa"/>
        </w:tblCellMar>
      </w:tblPr>
      <w:tr>
        <w:trPr>
          <w:trHeight w:val="230"/>
        </w:trPr>
        <w:tc>
          <w:tcPr>
            <w:tcW w:w="4480" w:type="dxa"/>
            <w:vAlign w:val="bottom"/>
          </w:tcPr>
          <w:p>
            <w:pPr>
              <w:ind w:left="1000"/>
              <w:spacing w:after="0"/>
              <w:rPr>
                <w:sz w:val="20"/>
                <w:szCs w:val="20"/>
                <w:color w:val="auto"/>
              </w:rPr>
            </w:pPr>
            <w:r>
              <w:rPr>
                <w:rFonts w:ascii="Arial" w:cs="Arial" w:eastAsia="Arial" w:hAnsi="Arial"/>
                <w:sz w:val="20"/>
                <w:szCs w:val="20"/>
                <w:b w:val="1"/>
                <w:bCs w:val="1"/>
                <w:color w:val="auto"/>
              </w:rPr>
              <w:t>Quarterly Period Ending</w:t>
            </w:r>
          </w:p>
        </w:tc>
        <w:tc>
          <w:tcPr>
            <w:tcW w:w="3000" w:type="dxa"/>
            <w:vAlign w:val="bottom"/>
          </w:tcPr>
          <w:p>
            <w:pPr>
              <w:jc w:val="right"/>
              <w:ind w:right="341"/>
              <w:spacing w:after="0"/>
              <w:rPr>
                <w:sz w:val="20"/>
                <w:szCs w:val="20"/>
                <w:color w:val="auto"/>
              </w:rPr>
            </w:pPr>
            <w:r>
              <w:rPr>
                <w:rFonts w:ascii="Arial" w:cs="Arial" w:eastAsia="Arial" w:hAnsi="Arial"/>
                <w:sz w:val="20"/>
                <w:szCs w:val="20"/>
                <w:b w:val="1"/>
                <w:bCs w:val="1"/>
                <w:color w:val="auto"/>
              </w:rPr>
              <w:t>Adjusted EBITDA</w:t>
            </w:r>
          </w:p>
        </w:tc>
      </w:tr>
      <w:tr>
        <w:trPr>
          <w:trHeight w:val="256"/>
        </w:trPr>
        <w:tc>
          <w:tcPr>
            <w:tcW w:w="4480" w:type="dxa"/>
            <w:vAlign w:val="bottom"/>
          </w:tcPr>
          <w:p>
            <w:pPr>
              <w:spacing w:after="0"/>
              <w:rPr>
                <w:sz w:val="22"/>
                <w:szCs w:val="22"/>
                <w:color w:val="auto"/>
              </w:rPr>
            </w:pPr>
          </w:p>
        </w:tc>
        <w:tc>
          <w:tcPr>
            <w:tcW w:w="3000" w:type="dxa"/>
            <w:vAlign w:val="bottom"/>
          </w:tcPr>
          <w:p>
            <w:pPr>
              <w:jc w:val="right"/>
              <w:spacing w:after="0"/>
              <w:rPr>
                <w:sz w:val="20"/>
                <w:szCs w:val="20"/>
                <w:color w:val="auto"/>
              </w:rPr>
            </w:pPr>
            <w:r>
              <w:rPr>
                <w:rFonts w:ascii="Arial" w:cs="Arial" w:eastAsia="Arial" w:hAnsi="Arial"/>
                <w:sz w:val="20"/>
                <w:szCs w:val="20"/>
                <w:b w:val="1"/>
                <w:bCs w:val="1"/>
                <w:color w:val="auto"/>
              </w:rPr>
              <w:t>(negative Adjusted EBITDA)</w:t>
            </w:r>
          </w:p>
        </w:tc>
      </w:tr>
      <w:tr>
        <w:trPr>
          <w:trHeight w:val="432"/>
        </w:trPr>
        <w:tc>
          <w:tcPr>
            <w:tcW w:w="4480" w:type="dxa"/>
            <w:vAlign w:val="bottom"/>
          </w:tcPr>
          <w:p>
            <w:pPr>
              <w:spacing w:after="0"/>
              <w:rPr>
                <w:sz w:val="20"/>
                <w:szCs w:val="20"/>
                <w:color w:val="auto"/>
              </w:rPr>
            </w:pPr>
            <w:r>
              <w:rPr>
                <w:rFonts w:ascii="Arial" w:cs="Arial" w:eastAsia="Arial" w:hAnsi="Arial"/>
                <w:sz w:val="20"/>
                <w:szCs w:val="20"/>
                <w:color w:val="auto"/>
              </w:rPr>
              <w:t>September 30, 2020</w:t>
            </w:r>
          </w:p>
        </w:tc>
        <w:tc>
          <w:tcPr>
            <w:tcW w:w="3000" w:type="dxa"/>
            <w:vAlign w:val="bottom"/>
          </w:tcPr>
          <w:p>
            <w:pPr>
              <w:jc w:val="right"/>
              <w:ind w:right="81"/>
              <w:spacing w:after="0"/>
              <w:rPr>
                <w:sz w:val="20"/>
                <w:szCs w:val="20"/>
                <w:color w:val="auto"/>
              </w:rPr>
            </w:pPr>
            <w:r>
              <w:rPr>
                <w:rFonts w:ascii="Arial" w:cs="Arial" w:eastAsia="Arial" w:hAnsi="Arial"/>
                <w:sz w:val="20"/>
                <w:szCs w:val="20"/>
                <w:color w:val="auto"/>
              </w:rPr>
              <w:t>$0.00</w:t>
            </w:r>
          </w:p>
        </w:tc>
      </w:tr>
      <w:tr>
        <w:trPr>
          <w:trHeight w:val="432"/>
        </w:trPr>
        <w:tc>
          <w:tcPr>
            <w:tcW w:w="4480" w:type="dxa"/>
            <w:vAlign w:val="bottom"/>
          </w:tcPr>
          <w:p>
            <w:pPr>
              <w:spacing w:after="0"/>
              <w:rPr>
                <w:sz w:val="20"/>
                <w:szCs w:val="20"/>
                <w:color w:val="auto"/>
              </w:rPr>
            </w:pPr>
            <w:r>
              <w:rPr>
                <w:rFonts w:ascii="Arial" w:cs="Arial" w:eastAsia="Arial" w:hAnsi="Arial"/>
                <w:sz w:val="20"/>
                <w:szCs w:val="20"/>
                <w:color w:val="auto"/>
              </w:rPr>
              <w:t>December 31, 2020</w:t>
            </w:r>
          </w:p>
        </w:tc>
        <w:tc>
          <w:tcPr>
            <w:tcW w:w="3000" w:type="dxa"/>
            <w:vAlign w:val="bottom"/>
          </w:tcPr>
          <w:p>
            <w:pPr>
              <w:jc w:val="right"/>
              <w:ind w:right="81"/>
              <w:spacing w:after="0"/>
              <w:rPr>
                <w:sz w:val="20"/>
                <w:szCs w:val="20"/>
                <w:color w:val="auto"/>
              </w:rPr>
            </w:pPr>
            <w:r>
              <w:rPr>
                <w:rFonts w:ascii="Arial" w:cs="Arial" w:eastAsia="Arial" w:hAnsi="Arial"/>
                <w:sz w:val="20"/>
                <w:szCs w:val="20"/>
                <w:color w:val="auto"/>
              </w:rPr>
              <w:t>$0.00</w:t>
            </w:r>
          </w:p>
        </w:tc>
      </w:tr>
      <w:tr>
        <w:trPr>
          <w:trHeight w:val="432"/>
        </w:trPr>
        <w:tc>
          <w:tcPr>
            <w:tcW w:w="4480" w:type="dxa"/>
            <w:vAlign w:val="bottom"/>
          </w:tcPr>
          <w:p>
            <w:pPr>
              <w:spacing w:after="0"/>
              <w:rPr>
                <w:sz w:val="20"/>
                <w:szCs w:val="20"/>
                <w:color w:val="auto"/>
              </w:rPr>
            </w:pPr>
            <w:r>
              <w:rPr>
                <w:rFonts w:ascii="Arial" w:cs="Arial" w:eastAsia="Arial" w:hAnsi="Arial"/>
                <w:sz w:val="20"/>
                <w:szCs w:val="20"/>
                <w:color w:val="auto"/>
              </w:rPr>
              <w:t>March 31, 2021</w:t>
            </w:r>
          </w:p>
        </w:tc>
        <w:tc>
          <w:tcPr>
            <w:tcW w:w="3000" w:type="dxa"/>
            <w:vAlign w:val="bottom"/>
          </w:tcPr>
          <w:p>
            <w:pPr>
              <w:jc w:val="right"/>
              <w:ind w:right="81"/>
              <w:spacing w:after="0"/>
              <w:rPr>
                <w:sz w:val="20"/>
                <w:szCs w:val="20"/>
                <w:color w:val="auto"/>
              </w:rPr>
            </w:pPr>
            <w:r>
              <w:rPr>
                <w:rFonts w:ascii="Arial" w:cs="Arial" w:eastAsia="Arial" w:hAnsi="Arial"/>
                <w:sz w:val="20"/>
                <w:szCs w:val="20"/>
                <w:color w:val="auto"/>
              </w:rPr>
              <w:t>($20,000,000)</w:t>
            </w:r>
          </w:p>
        </w:tc>
      </w:tr>
      <w:tr>
        <w:trPr>
          <w:trHeight w:val="432"/>
        </w:trPr>
        <w:tc>
          <w:tcPr>
            <w:tcW w:w="4480" w:type="dxa"/>
            <w:vAlign w:val="bottom"/>
          </w:tcPr>
          <w:p>
            <w:pPr>
              <w:spacing w:after="0"/>
              <w:rPr>
                <w:sz w:val="20"/>
                <w:szCs w:val="20"/>
                <w:color w:val="auto"/>
              </w:rPr>
            </w:pPr>
            <w:r>
              <w:rPr>
                <w:rFonts w:ascii="Arial" w:cs="Arial" w:eastAsia="Arial" w:hAnsi="Arial"/>
                <w:sz w:val="20"/>
                <w:szCs w:val="20"/>
                <w:color w:val="auto"/>
              </w:rPr>
              <w:t>June 30, 2021</w:t>
            </w:r>
          </w:p>
        </w:tc>
        <w:tc>
          <w:tcPr>
            <w:tcW w:w="3000" w:type="dxa"/>
            <w:vAlign w:val="bottom"/>
          </w:tcPr>
          <w:p>
            <w:pPr>
              <w:jc w:val="right"/>
              <w:ind w:right="81"/>
              <w:spacing w:after="0"/>
              <w:rPr>
                <w:sz w:val="20"/>
                <w:szCs w:val="20"/>
                <w:color w:val="auto"/>
              </w:rPr>
            </w:pPr>
            <w:r>
              <w:rPr>
                <w:rFonts w:ascii="Arial" w:cs="Arial" w:eastAsia="Arial" w:hAnsi="Arial"/>
                <w:sz w:val="20"/>
                <w:szCs w:val="20"/>
                <w:color w:val="auto"/>
              </w:rPr>
              <w:t>($10,000,00)</w:t>
            </w:r>
          </w:p>
        </w:tc>
      </w:tr>
      <w:tr>
        <w:trPr>
          <w:trHeight w:val="411"/>
        </w:trPr>
        <w:tc>
          <w:tcPr>
            <w:tcW w:w="4480" w:type="dxa"/>
            <w:vAlign w:val="bottom"/>
          </w:tcPr>
          <w:p>
            <w:pPr>
              <w:spacing w:after="0"/>
              <w:rPr>
                <w:sz w:val="20"/>
                <w:szCs w:val="20"/>
                <w:color w:val="auto"/>
              </w:rPr>
            </w:pPr>
            <w:r>
              <w:rPr>
                <w:rFonts w:ascii="Arial" w:cs="Arial" w:eastAsia="Arial" w:hAnsi="Arial"/>
                <w:sz w:val="20"/>
                <w:szCs w:val="20"/>
                <w:color w:val="auto"/>
              </w:rPr>
              <w:t>September 30, 2021 through and including</w:t>
            </w:r>
          </w:p>
        </w:tc>
        <w:tc>
          <w:tcPr>
            <w:tcW w:w="3000" w:type="dxa"/>
            <w:vAlign w:val="bottom"/>
          </w:tcPr>
          <w:p>
            <w:pPr>
              <w:jc w:val="right"/>
              <w:ind w:right="81"/>
              <w:spacing w:after="0"/>
              <w:rPr>
                <w:sz w:val="20"/>
                <w:szCs w:val="20"/>
                <w:color w:val="auto"/>
              </w:rPr>
            </w:pPr>
            <w:r>
              <w:rPr>
                <w:rFonts w:ascii="Arial" w:cs="Arial" w:eastAsia="Arial" w:hAnsi="Arial"/>
                <w:sz w:val="20"/>
                <w:szCs w:val="20"/>
                <w:color w:val="auto"/>
              </w:rPr>
              <w:t>$5,000,000</w:t>
            </w:r>
          </w:p>
        </w:tc>
      </w:tr>
      <w:tr>
        <w:trPr>
          <w:trHeight w:val="250"/>
        </w:trPr>
        <w:tc>
          <w:tcPr>
            <w:tcW w:w="4480" w:type="dxa"/>
            <w:vAlign w:val="bottom"/>
          </w:tcPr>
          <w:p>
            <w:pPr>
              <w:spacing w:after="0"/>
              <w:rPr>
                <w:sz w:val="20"/>
                <w:szCs w:val="20"/>
                <w:color w:val="auto"/>
              </w:rPr>
            </w:pPr>
            <w:r>
              <w:rPr>
                <w:rFonts w:ascii="Arial" w:cs="Arial" w:eastAsia="Arial" w:hAnsi="Arial"/>
                <w:sz w:val="20"/>
                <w:szCs w:val="20"/>
                <w:color w:val="auto"/>
              </w:rPr>
              <w:t>December 31, 2021</w:t>
            </w:r>
          </w:p>
        </w:tc>
        <w:tc>
          <w:tcPr>
            <w:tcW w:w="3000" w:type="dxa"/>
            <w:vAlign w:val="bottom"/>
          </w:tcPr>
          <w:p>
            <w:pPr>
              <w:spacing w:after="0"/>
              <w:rPr>
                <w:sz w:val="21"/>
                <w:szCs w:val="21"/>
                <w:color w:val="auto"/>
              </w:rPr>
            </w:pPr>
          </w:p>
        </w:tc>
      </w:tr>
      <w:tr>
        <w:trPr>
          <w:trHeight w:val="411"/>
        </w:trPr>
        <w:tc>
          <w:tcPr>
            <w:tcW w:w="4480" w:type="dxa"/>
            <w:vAlign w:val="bottom"/>
          </w:tcPr>
          <w:p>
            <w:pPr>
              <w:spacing w:after="0"/>
              <w:rPr>
                <w:sz w:val="20"/>
                <w:szCs w:val="20"/>
                <w:color w:val="auto"/>
              </w:rPr>
            </w:pPr>
            <w:r>
              <w:rPr>
                <w:rFonts w:ascii="Arial" w:cs="Arial" w:eastAsia="Arial" w:hAnsi="Arial"/>
                <w:sz w:val="20"/>
                <w:szCs w:val="20"/>
                <w:color w:val="auto"/>
              </w:rPr>
              <w:t>March 31, 2022 and each calendar quarter ending</w:t>
            </w:r>
          </w:p>
        </w:tc>
        <w:tc>
          <w:tcPr>
            <w:tcW w:w="3000" w:type="dxa"/>
            <w:vAlign w:val="bottom"/>
          </w:tcPr>
          <w:p>
            <w:pPr>
              <w:jc w:val="right"/>
              <w:ind w:right="81"/>
              <w:spacing w:after="0"/>
              <w:rPr>
                <w:sz w:val="20"/>
                <w:szCs w:val="20"/>
                <w:color w:val="auto"/>
              </w:rPr>
            </w:pPr>
            <w:r>
              <w:rPr>
                <w:rFonts w:ascii="Arial" w:cs="Arial" w:eastAsia="Arial" w:hAnsi="Arial"/>
                <w:sz w:val="20"/>
                <w:szCs w:val="20"/>
                <w:color w:val="auto"/>
              </w:rPr>
              <w:t>$10,000,000</w:t>
            </w:r>
          </w:p>
        </w:tc>
      </w:tr>
      <w:tr>
        <w:trPr>
          <w:trHeight w:val="250"/>
        </w:trPr>
        <w:tc>
          <w:tcPr>
            <w:tcW w:w="4480" w:type="dxa"/>
            <w:vAlign w:val="bottom"/>
          </w:tcPr>
          <w:p>
            <w:pPr>
              <w:spacing w:after="0"/>
              <w:rPr>
                <w:sz w:val="20"/>
                <w:szCs w:val="20"/>
                <w:color w:val="auto"/>
              </w:rPr>
            </w:pPr>
            <w:r>
              <w:rPr>
                <w:rFonts w:ascii="Arial" w:cs="Arial" w:eastAsia="Arial" w:hAnsi="Arial"/>
                <w:sz w:val="20"/>
                <w:szCs w:val="20"/>
                <w:color w:val="auto"/>
              </w:rPr>
              <w:t>thereafter</w:t>
            </w:r>
          </w:p>
        </w:tc>
        <w:tc>
          <w:tcPr>
            <w:tcW w:w="3000" w:type="dxa"/>
            <w:vAlign w:val="bottom"/>
          </w:tcPr>
          <w:p>
            <w:pPr>
              <w:spacing w:after="0"/>
              <w:rPr>
                <w:sz w:val="21"/>
                <w:szCs w:val="21"/>
                <w:color w:val="auto"/>
              </w:rPr>
            </w:pPr>
          </w:p>
        </w:tc>
      </w:tr>
    </w:tbl>
    <w:p>
      <w:pPr>
        <w:spacing w:after="0" w:line="200" w:lineRule="exact"/>
        <w:rPr>
          <w:sz w:val="20"/>
          <w:szCs w:val="20"/>
          <w:color w:val="auto"/>
        </w:rPr>
      </w:pPr>
    </w:p>
    <w:p>
      <w:pPr>
        <w:spacing w:after="0" w:line="20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7.2</w:t>
      </w:r>
      <w:r>
        <w:rPr>
          <w:sz w:val="20"/>
          <w:szCs w:val="20"/>
          <w:color w:val="auto"/>
        </w:rPr>
        <w:tab/>
      </w:r>
      <w:r>
        <w:rPr>
          <w:rFonts w:ascii="Arial" w:cs="Arial" w:eastAsia="Arial" w:hAnsi="Arial"/>
          <w:sz w:val="16"/>
          <w:szCs w:val="16"/>
          <w:b w:val="1"/>
          <w:bCs w:val="1"/>
          <w:color w:val="auto"/>
        </w:rPr>
        <w:t>Indebtedness</w:t>
      </w:r>
      <w:r>
        <w:rPr>
          <w:rFonts w:ascii="Arial" w:cs="Arial" w:eastAsia="Arial" w:hAnsi="Arial"/>
          <w:sz w:val="16"/>
          <w:szCs w:val="16"/>
          <w:color w:val="auto"/>
        </w:rPr>
        <w:t>. Create, issue, incur, assume, become liable in respect of or suffer to exist any Indebtedness, except:</w:t>
      </w:r>
    </w:p>
    <w:p>
      <w:pPr>
        <w:spacing w:after="0" w:line="168" w:lineRule="exact"/>
        <w:rPr>
          <w:sz w:val="20"/>
          <w:szCs w:val="20"/>
          <w:color w:val="auto"/>
        </w:rPr>
      </w:pPr>
    </w:p>
    <w:p>
      <w:pPr>
        <w:ind w:left="1720" w:hanging="416"/>
        <w:spacing w:after="0"/>
        <w:tabs>
          <w:tab w:leader="none" w:pos="1720" w:val="left"/>
        </w:tabs>
        <w:numPr>
          <w:ilvl w:val="0"/>
          <w:numId w:val="433"/>
        </w:numPr>
        <w:rPr>
          <w:rFonts w:ascii="Arial" w:cs="Arial" w:eastAsia="Arial" w:hAnsi="Arial"/>
          <w:sz w:val="19"/>
          <w:szCs w:val="19"/>
          <w:color w:val="auto"/>
        </w:rPr>
      </w:pPr>
      <w:r>
        <w:rPr>
          <w:rFonts w:ascii="Arial" w:cs="Arial" w:eastAsia="Arial" w:hAnsi="Arial"/>
          <w:sz w:val="19"/>
          <w:szCs w:val="19"/>
          <w:color w:val="auto"/>
        </w:rPr>
        <w:t>Indebtedness of any Loan Party pursuant to any Loan Document and under any Cash Management Agreement;</w:t>
      </w:r>
    </w:p>
    <w:p>
      <w:pPr>
        <w:spacing w:after="0" w:line="173" w:lineRule="exact"/>
        <w:rPr>
          <w:rFonts w:ascii="Arial" w:cs="Arial" w:eastAsia="Arial" w:hAnsi="Arial"/>
          <w:sz w:val="19"/>
          <w:szCs w:val="19"/>
          <w:color w:val="auto"/>
        </w:rPr>
      </w:pPr>
    </w:p>
    <w:p>
      <w:pPr>
        <w:jc w:val="both"/>
        <w:ind w:firstLine="1304"/>
        <w:spacing w:after="0" w:line="250" w:lineRule="auto"/>
        <w:tabs>
          <w:tab w:leader="none" w:pos="1746" w:val="left"/>
        </w:tabs>
        <w:numPr>
          <w:ilvl w:val="0"/>
          <w:numId w:val="433"/>
        </w:numPr>
        <w:rPr>
          <w:rFonts w:ascii="Arial" w:cs="Arial" w:eastAsia="Arial" w:hAnsi="Arial"/>
          <w:sz w:val="20"/>
          <w:szCs w:val="20"/>
          <w:color w:val="auto"/>
        </w:rPr>
      </w:pPr>
      <w:r>
        <w:rPr>
          <w:rFonts w:ascii="Arial" w:cs="Arial" w:eastAsia="Arial" w:hAnsi="Arial"/>
          <w:sz w:val="20"/>
          <w:szCs w:val="20"/>
          <w:color w:val="auto"/>
        </w:rPr>
        <w:t>Indebtedness of (i) any Loan Party owing to any other Loan Party; (ii) any Group Member (which is not a Loan Party) owing to any other Group Member (which is not a Loan Party); (iii) any Group Member (which is not a Loan Party) owing to any Loan Party, which constitutes an Investment</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90</w:t>
      </w:r>
    </w:p>
    <w:p>
      <w:pPr>
        <w:sectPr>
          <w:pgSz w:w="11900" w:h="16838" w:orient="portrait"/>
          <w:cols w:equalWidth="0" w:num="1">
            <w:col w:w="11240"/>
          </w:cols>
          <w:pgMar w:left="320" w:top="765" w:right="339" w:bottom="1440" w:gutter="0" w:footer="0" w:header="0"/>
        </w:sectPr>
      </w:pPr>
    </w:p>
    <w:bookmarkStart w:id="477" w:name="page478"/>
    <w:bookmarkEnd w:id="477"/>
    <w:p>
      <w:pPr>
        <w:jc w:val="both"/>
        <w:spacing w:after="0" w:line="244" w:lineRule="auto"/>
        <w:rPr>
          <w:sz w:val="20"/>
          <w:szCs w:val="20"/>
          <w:color w:val="auto"/>
        </w:rPr>
      </w:pPr>
      <w:r>
        <w:rPr>
          <w:rFonts w:ascii="Arial" w:cs="Arial" w:eastAsia="Arial" w:hAnsi="Arial"/>
          <w:sz w:val="20"/>
          <w:szCs w:val="20"/>
          <w:color w:val="auto"/>
        </w:rPr>
        <w:t xml:space="preserve">permitted by </w:t>
      </w:r>
      <w:r>
        <w:rPr>
          <w:rFonts w:ascii="Arial" w:cs="Arial" w:eastAsia="Arial" w:hAnsi="Arial"/>
          <w:sz w:val="20"/>
          <w:szCs w:val="20"/>
          <w:u w:val="single" w:color="auto"/>
          <w:color w:val="auto"/>
        </w:rPr>
        <w:t>Section 7.8(f)(iii)</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xml:space="preserve">, if such Indebtedness is owing from any Group Member which is not a Loan Party to a Loan Party (other than to the extent such Indebtedness constitutes an Investment permitted by </w:t>
      </w:r>
      <w:r>
        <w:rPr>
          <w:rFonts w:ascii="Arial" w:cs="Arial" w:eastAsia="Arial" w:hAnsi="Arial"/>
          <w:sz w:val="20"/>
          <w:szCs w:val="20"/>
          <w:u w:val="single" w:color="auto"/>
          <w:color w:val="auto"/>
        </w:rPr>
        <w:t>Section 7.8(f)(iii)(B)</w:t>
      </w:r>
      <w:r>
        <w:rPr>
          <w:rFonts w:ascii="Arial" w:cs="Arial" w:eastAsia="Arial" w:hAnsi="Arial"/>
          <w:sz w:val="20"/>
          <w:szCs w:val="20"/>
          <w:color w:val="auto"/>
        </w:rPr>
        <w:t xml:space="preserve">) greater than $5,000,000 shall be evidenced by a promissory note and such promissory note shall be pledged as Collateral; and (iv) any Loan Party owing to any Group Member (which is not a Loan Party);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such Indebtedness is subordinated to the Obligations on terms and conditions reasonably acceptable to the Administrative Agent;</w:t>
      </w:r>
    </w:p>
    <w:p>
      <w:pPr>
        <w:spacing w:after="0" w:line="140" w:lineRule="exact"/>
        <w:rPr>
          <w:sz w:val="20"/>
          <w:szCs w:val="20"/>
          <w:color w:val="auto"/>
        </w:rPr>
      </w:pPr>
    </w:p>
    <w:p>
      <w:pPr>
        <w:jc w:val="both"/>
        <w:ind w:firstLine="1304"/>
        <w:spacing w:after="0" w:line="243" w:lineRule="auto"/>
        <w:tabs>
          <w:tab w:leader="none" w:pos="1772" w:val="left"/>
        </w:tabs>
        <w:numPr>
          <w:ilvl w:val="0"/>
          <w:numId w:val="434"/>
        </w:numPr>
        <w:rPr>
          <w:rFonts w:ascii="Arial" w:cs="Arial" w:eastAsia="Arial" w:hAnsi="Arial"/>
          <w:sz w:val="20"/>
          <w:szCs w:val="20"/>
          <w:color w:val="auto"/>
        </w:rPr>
      </w:pPr>
      <w:r>
        <w:rPr>
          <w:rFonts w:ascii="Arial" w:cs="Arial" w:eastAsia="Arial" w:hAnsi="Arial"/>
          <w:sz w:val="20"/>
          <w:szCs w:val="20"/>
          <w:color w:val="auto"/>
        </w:rPr>
        <w:t xml:space="preserve">Guarantee Obligations (i) of any Loan Party of the Indebtedness of any other Loan Party; (ii) of any Group Member (which is not a Loan Party) of the Indebtedness of any Loan Party; (iii) by any Group Member (which is not a Loan Party) of the Indebtedness of any other Group Member (which is not a Loan Party); or (iv) of any Loan Party of the Indebtedness of any Group Member that is not a Loan Party, so long as the aggregate amount of such Guarantee Obligations is an Investment permitted by </w:t>
      </w:r>
      <w:r>
        <w:rPr>
          <w:rFonts w:ascii="Arial" w:cs="Arial" w:eastAsia="Arial" w:hAnsi="Arial"/>
          <w:sz w:val="20"/>
          <w:szCs w:val="20"/>
          <w:u w:val="single" w:color="auto"/>
          <w:color w:val="auto"/>
        </w:rPr>
        <w:t>Section 7.8(f)(iii)</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 that</w:t>
      </w:r>
      <w:r>
        <w:rPr>
          <w:rFonts w:ascii="Arial" w:cs="Arial" w:eastAsia="Arial" w:hAnsi="Arial"/>
          <w:sz w:val="20"/>
          <w:szCs w:val="20"/>
          <w:color w:val="auto"/>
        </w:rPr>
        <w:t>, in any case of clauses (i), (ii), (iii), or (iv), the underlying Indebtedness so guaranteed is otherwise permitted by the terms hereof;</w:t>
      </w:r>
    </w:p>
    <w:p>
      <w:pPr>
        <w:spacing w:after="0" w:line="141" w:lineRule="exact"/>
        <w:rPr>
          <w:rFonts w:ascii="Arial" w:cs="Arial" w:eastAsia="Arial" w:hAnsi="Arial"/>
          <w:sz w:val="20"/>
          <w:szCs w:val="20"/>
          <w:color w:val="auto"/>
        </w:rPr>
      </w:pPr>
    </w:p>
    <w:p>
      <w:pPr>
        <w:jc w:val="both"/>
        <w:ind w:firstLine="1304"/>
        <w:spacing w:after="0" w:line="246" w:lineRule="auto"/>
        <w:tabs>
          <w:tab w:leader="none" w:pos="1794" w:val="left"/>
        </w:tabs>
        <w:numPr>
          <w:ilvl w:val="0"/>
          <w:numId w:val="434"/>
        </w:numPr>
        <w:rPr>
          <w:rFonts w:ascii="Arial" w:cs="Arial" w:eastAsia="Arial" w:hAnsi="Arial"/>
          <w:sz w:val="20"/>
          <w:szCs w:val="20"/>
          <w:color w:val="auto"/>
        </w:rPr>
      </w:pPr>
      <w:r>
        <w:rPr>
          <w:rFonts w:ascii="Arial" w:cs="Arial" w:eastAsia="Arial" w:hAnsi="Arial"/>
          <w:sz w:val="20"/>
          <w:szCs w:val="20"/>
          <w:color w:val="auto"/>
        </w:rPr>
        <w:t xml:space="preserve">(i) Indebtedness outstanding on the Closing Date and listed on </w:t>
      </w:r>
      <w:r>
        <w:rPr>
          <w:rFonts w:ascii="Arial" w:cs="Arial" w:eastAsia="Arial" w:hAnsi="Arial"/>
          <w:sz w:val="20"/>
          <w:szCs w:val="20"/>
          <w:u w:val="single" w:color="auto"/>
          <w:color w:val="auto"/>
        </w:rPr>
        <w:t>Schedule 7.2(d)</w:t>
      </w:r>
      <w:r>
        <w:rPr>
          <w:rFonts w:ascii="Arial" w:cs="Arial" w:eastAsia="Arial" w:hAnsi="Arial"/>
          <w:sz w:val="20"/>
          <w:szCs w:val="20"/>
          <w:color w:val="auto"/>
        </w:rPr>
        <w:t xml:space="preserve"> of the Disclosure Letter and (ii) any refinancings, refundings, renewals or extensions thereof (which do not shorten the maturity thereof or increase the principal amount thereof, except by an amount equal to a reasonable premium and other fees and expenses reasonably incurred in connection therewith); </w:t>
      </w:r>
      <w:r>
        <w:rPr>
          <w:rFonts w:ascii="Arial" w:cs="Arial" w:eastAsia="Arial" w:hAnsi="Arial"/>
          <w:sz w:val="20"/>
          <w:szCs w:val="20"/>
          <w:u w:val="single" w:color="auto"/>
          <w:color w:val="auto"/>
        </w:rPr>
        <w:t>provided</w:t>
      </w:r>
      <w:r>
        <w:rPr>
          <w:rFonts w:ascii="Arial" w:cs="Arial" w:eastAsia="Arial" w:hAnsi="Arial"/>
          <w:sz w:val="20"/>
          <w:szCs w:val="20"/>
          <w:color w:val="auto"/>
        </w:rPr>
        <w:t>, that the underlying Indebtedness is otherwise permitted by the terms hereof;</w:t>
      </w:r>
    </w:p>
    <w:p>
      <w:pPr>
        <w:spacing w:after="0" w:line="137" w:lineRule="exact"/>
        <w:rPr>
          <w:rFonts w:ascii="Arial" w:cs="Arial" w:eastAsia="Arial" w:hAnsi="Arial"/>
          <w:sz w:val="20"/>
          <w:szCs w:val="20"/>
          <w:color w:val="auto"/>
        </w:rPr>
      </w:pPr>
    </w:p>
    <w:p>
      <w:pPr>
        <w:jc w:val="both"/>
        <w:ind w:firstLine="1304"/>
        <w:spacing w:after="0" w:line="260" w:lineRule="auto"/>
        <w:tabs>
          <w:tab w:leader="none" w:pos="1717" w:val="left"/>
        </w:tabs>
        <w:numPr>
          <w:ilvl w:val="0"/>
          <w:numId w:val="434"/>
        </w:numPr>
        <w:rPr>
          <w:rFonts w:ascii="Arial" w:cs="Arial" w:eastAsia="Arial" w:hAnsi="Arial"/>
          <w:sz w:val="19"/>
          <w:szCs w:val="19"/>
          <w:color w:val="auto"/>
        </w:rPr>
      </w:pPr>
      <w:r>
        <w:rPr>
          <w:rFonts w:ascii="Arial" w:cs="Arial" w:eastAsia="Arial" w:hAnsi="Arial"/>
          <w:sz w:val="19"/>
          <w:szCs w:val="19"/>
          <w:color w:val="auto"/>
        </w:rPr>
        <w:t xml:space="preserve">Indebtedness (including, without limitation, Capital Lease Obligations and purchase money financing) secured by Liens permitted by </w:t>
      </w:r>
      <w:r>
        <w:rPr>
          <w:rFonts w:ascii="Arial" w:cs="Arial" w:eastAsia="Arial" w:hAnsi="Arial"/>
          <w:sz w:val="19"/>
          <w:szCs w:val="19"/>
          <w:u w:val="single" w:color="auto"/>
          <w:color w:val="auto"/>
        </w:rPr>
        <w:t>Section 7.3(g)</w:t>
      </w:r>
      <w:r>
        <w:rPr>
          <w:rFonts w:ascii="Arial" w:cs="Arial" w:eastAsia="Arial" w:hAnsi="Arial"/>
          <w:sz w:val="19"/>
          <w:szCs w:val="19"/>
          <w:color w:val="auto"/>
        </w:rPr>
        <w:t xml:space="preserve"> in an aggregate principal amount not to exceed $5,000,000 (or such greater amount as the Administrative Agent may agree in its sole discretion) at any one time outstanding and any refinancings, refundings, renewals or extensions thereof (which do not shorten the maturity thereof or increase the principal amount thereof, except by an amount equal to a reasonable premium and other fees and expenses reasonably incurred in connection therewith);</w:t>
      </w:r>
    </w:p>
    <w:p>
      <w:pPr>
        <w:spacing w:after="0" w:line="126" w:lineRule="exact"/>
        <w:rPr>
          <w:rFonts w:ascii="Arial" w:cs="Arial" w:eastAsia="Arial" w:hAnsi="Arial"/>
          <w:sz w:val="19"/>
          <w:szCs w:val="19"/>
          <w:color w:val="auto"/>
        </w:rPr>
      </w:pPr>
    </w:p>
    <w:p>
      <w:pPr>
        <w:ind w:left="1700" w:hanging="396"/>
        <w:spacing w:after="0"/>
        <w:tabs>
          <w:tab w:leader="none" w:pos="1700" w:val="left"/>
        </w:tabs>
        <w:numPr>
          <w:ilvl w:val="0"/>
          <w:numId w:val="434"/>
        </w:numPr>
        <w:rPr>
          <w:rFonts w:ascii="Arial" w:cs="Arial" w:eastAsia="Arial" w:hAnsi="Arial"/>
          <w:sz w:val="20"/>
          <w:szCs w:val="20"/>
          <w:color w:val="auto"/>
        </w:rPr>
      </w:pPr>
      <w:r>
        <w:rPr>
          <w:rFonts w:ascii="Arial" w:cs="Arial" w:eastAsia="Arial" w:hAnsi="Arial"/>
          <w:sz w:val="20"/>
          <w:szCs w:val="20"/>
          <w:color w:val="auto"/>
        </w:rPr>
        <w:t>Subordinated Indebtedness (including the Investor Indebtedness);</w:t>
      </w:r>
    </w:p>
    <w:p>
      <w:pPr>
        <w:spacing w:after="0" w:line="161" w:lineRule="exact"/>
        <w:rPr>
          <w:rFonts w:ascii="Arial" w:cs="Arial" w:eastAsia="Arial" w:hAnsi="Arial"/>
          <w:sz w:val="20"/>
          <w:szCs w:val="20"/>
          <w:color w:val="auto"/>
        </w:rPr>
      </w:pPr>
    </w:p>
    <w:p>
      <w:pPr>
        <w:jc w:val="both"/>
        <w:ind w:firstLine="1304"/>
        <w:spacing w:after="0" w:line="250" w:lineRule="auto"/>
        <w:tabs>
          <w:tab w:leader="none" w:pos="1735" w:val="left"/>
        </w:tabs>
        <w:numPr>
          <w:ilvl w:val="0"/>
          <w:numId w:val="434"/>
        </w:numPr>
        <w:rPr>
          <w:rFonts w:ascii="Arial" w:cs="Arial" w:eastAsia="Arial" w:hAnsi="Arial"/>
          <w:sz w:val="20"/>
          <w:szCs w:val="20"/>
          <w:color w:val="auto"/>
        </w:rPr>
      </w:pPr>
      <w:r>
        <w:rPr>
          <w:rFonts w:ascii="Arial" w:cs="Arial" w:eastAsia="Arial" w:hAnsi="Arial"/>
          <w:sz w:val="20"/>
          <w:szCs w:val="20"/>
          <w:color w:val="auto"/>
        </w:rPr>
        <w:t>Surety Indebtedness and any other Indebtedness in respect of letters of credit, banker’s acceptances, bank guarantees or similar arrangements, provided that the aggregate principal amount of any such Indebtedness outstanding at any time shall not exceed $1,000,000;</w:t>
      </w:r>
    </w:p>
    <w:p>
      <w:pPr>
        <w:spacing w:after="0" w:line="131" w:lineRule="exact"/>
        <w:rPr>
          <w:rFonts w:ascii="Arial" w:cs="Arial" w:eastAsia="Arial" w:hAnsi="Arial"/>
          <w:sz w:val="20"/>
          <w:szCs w:val="20"/>
          <w:color w:val="auto"/>
        </w:rPr>
      </w:pPr>
    </w:p>
    <w:p>
      <w:pPr>
        <w:ind w:left="1740" w:hanging="436"/>
        <w:spacing w:after="0"/>
        <w:tabs>
          <w:tab w:leader="none" w:pos="1740" w:val="left"/>
        </w:tabs>
        <w:numPr>
          <w:ilvl w:val="0"/>
          <w:numId w:val="434"/>
        </w:numPr>
        <w:rPr>
          <w:rFonts w:ascii="Arial" w:cs="Arial" w:eastAsia="Arial" w:hAnsi="Arial"/>
          <w:sz w:val="20"/>
          <w:szCs w:val="20"/>
          <w:color w:val="auto"/>
        </w:rPr>
      </w:pPr>
      <w:r>
        <w:rPr>
          <w:rFonts w:ascii="Arial" w:cs="Arial" w:eastAsia="Arial" w:hAnsi="Arial"/>
          <w:sz w:val="20"/>
          <w:szCs w:val="20"/>
          <w:color w:val="auto"/>
        </w:rPr>
        <w:t>unsecured Indebtedness to trade creditors in the ordinary course of business;</w:t>
      </w:r>
    </w:p>
    <w:p>
      <w:pPr>
        <w:spacing w:after="0" w:line="161" w:lineRule="exact"/>
        <w:rPr>
          <w:rFonts w:ascii="Arial" w:cs="Arial" w:eastAsia="Arial" w:hAnsi="Arial"/>
          <w:sz w:val="20"/>
          <w:szCs w:val="20"/>
          <w:color w:val="auto"/>
        </w:rPr>
      </w:pPr>
    </w:p>
    <w:p>
      <w:pPr>
        <w:jc w:val="both"/>
        <w:ind w:right="20" w:firstLine="1304"/>
        <w:spacing w:after="0" w:line="385" w:lineRule="auto"/>
        <w:tabs>
          <w:tab w:leader="none" w:pos="1718" w:val="left"/>
        </w:tabs>
        <w:numPr>
          <w:ilvl w:val="0"/>
          <w:numId w:val="434"/>
        </w:numPr>
        <w:rPr>
          <w:rFonts w:ascii="Arial" w:cs="Arial" w:eastAsia="Arial" w:hAnsi="Arial"/>
          <w:sz w:val="16"/>
          <w:szCs w:val="16"/>
          <w:color w:val="auto"/>
        </w:rPr>
      </w:pPr>
      <w:r>
        <w:rPr>
          <w:rFonts w:ascii="Arial" w:cs="Arial" w:eastAsia="Arial" w:hAnsi="Arial"/>
          <w:sz w:val="16"/>
          <w:szCs w:val="16"/>
          <w:color w:val="auto"/>
        </w:rPr>
        <w:t xml:space="preserve">obligations (contingent or otherwise) of the Group Members existing or arising under any Specified Swap Agreement,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such obligations are (or were) entered into by such Person in accordance with </w:t>
      </w:r>
      <w:r>
        <w:rPr>
          <w:rFonts w:ascii="Arial" w:cs="Arial" w:eastAsia="Arial" w:hAnsi="Arial"/>
          <w:sz w:val="16"/>
          <w:szCs w:val="16"/>
          <w:u w:val="single" w:color="auto"/>
          <w:color w:val="auto"/>
        </w:rPr>
        <w:t>Section 7.13</w:t>
      </w:r>
      <w:r>
        <w:rPr>
          <w:rFonts w:ascii="Arial" w:cs="Arial" w:eastAsia="Arial" w:hAnsi="Arial"/>
          <w:sz w:val="16"/>
          <w:szCs w:val="16"/>
          <w:color w:val="auto"/>
        </w:rPr>
        <w:t xml:space="preserve"> and not for purposes of speculation;</w:t>
      </w:r>
    </w:p>
    <w:p>
      <w:pPr>
        <w:spacing w:after="0" w:line="30" w:lineRule="exact"/>
        <w:rPr>
          <w:rFonts w:ascii="Arial" w:cs="Arial" w:eastAsia="Arial" w:hAnsi="Arial"/>
          <w:sz w:val="16"/>
          <w:szCs w:val="16"/>
          <w:color w:val="auto"/>
        </w:rPr>
      </w:pPr>
    </w:p>
    <w:p>
      <w:pPr>
        <w:jc w:val="both"/>
        <w:ind w:firstLine="1304"/>
        <w:spacing w:after="0" w:line="243" w:lineRule="auto"/>
        <w:tabs>
          <w:tab w:leader="none" w:pos="1703" w:val="left"/>
        </w:tabs>
        <w:numPr>
          <w:ilvl w:val="0"/>
          <w:numId w:val="434"/>
        </w:numPr>
        <w:rPr>
          <w:rFonts w:ascii="Arial" w:cs="Arial" w:eastAsia="Arial" w:hAnsi="Arial"/>
          <w:sz w:val="20"/>
          <w:szCs w:val="20"/>
          <w:color w:val="auto"/>
        </w:rPr>
      </w:pPr>
      <w:r>
        <w:rPr>
          <w:rFonts w:ascii="Arial" w:cs="Arial" w:eastAsia="Arial" w:hAnsi="Arial"/>
          <w:sz w:val="20"/>
          <w:szCs w:val="20"/>
          <w:color w:val="auto"/>
        </w:rPr>
        <w:t xml:space="preserve">Indebtedness of a Person (other than a Loan Party or an existing Subsidiary) existing at the time such Person is merged with or into a Loan Party or a Subsidiary or becomes a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Indebtedness was not, in any case, incurred by such other Person in connection with, or in contemplation of, such merger or acquisition, (ii) such merger or acquisition constitutes a Permitted Acquisition, (iii) with respect to any such Person who becomes a Subsidiary, (A) such Subsidiary and any of its Subsidiaries are the only obligors in respect of such Indebtedness, and (B) to the extent such Indebtedness is permitted to be secured hereunder, only the assets of such Subsidiary and any of its Subsidiaries secure such Indebtedness, and (iv) the aggregate amount of such Indebtedness does not exceed $1,000,000 in the aggregate;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w:t>
      </w:r>
    </w:p>
    <w:p>
      <w:pPr>
        <w:sectPr>
          <w:pgSz w:w="11900" w:h="16838" w:orient="portrait"/>
          <w:cols w:equalWidth="0" w:num="1">
            <w:col w:w="11240"/>
          </w:cols>
          <w:pgMar w:left="320" w:top="770" w:right="339" w:bottom="1440" w:gutter="0" w:footer="0" w:header="0"/>
        </w:sectPr>
      </w:pPr>
    </w:p>
    <w:bookmarkStart w:id="478" w:name="page479"/>
    <w:bookmarkEnd w:id="478"/>
    <w:p>
      <w:pPr>
        <w:ind w:left="1740" w:hanging="436"/>
        <w:spacing w:after="0"/>
        <w:tabs>
          <w:tab w:leader="none" w:pos="174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Indebtedness incurred as a result of endorsing negotiable instruments received in the ordinary course of business;</w:t>
      </w:r>
    </w:p>
    <w:p>
      <w:pPr>
        <w:spacing w:after="0" w:line="184" w:lineRule="exact"/>
        <w:rPr>
          <w:rFonts w:ascii="Arial" w:cs="Arial" w:eastAsia="Arial" w:hAnsi="Arial"/>
          <w:sz w:val="18"/>
          <w:szCs w:val="18"/>
          <w:color w:val="auto"/>
        </w:rPr>
      </w:pPr>
    </w:p>
    <w:p>
      <w:pPr>
        <w:jc w:val="both"/>
        <w:ind w:firstLine="1304"/>
        <w:spacing w:after="0" w:line="282" w:lineRule="auto"/>
        <w:tabs>
          <w:tab w:leader="none" w:pos="1819" w:val="left"/>
        </w:tabs>
        <w:numPr>
          <w:ilvl w:val="0"/>
          <w:numId w:val="435"/>
        </w:numPr>
        <w:rPr>
          <w:rFonts w:ascii="Arial" w:cs="Arial" w:eastAsia="Arial" w:hAnsi="Arial"/>
          <w:sz w:val="18"/>
          <w:szCs w:val="18"/>
          <w:color w:val="auto"/>
        </w:rPr>
      </w:pPr>
      <w:r>
        <w:rPr>
          <w:rFonts w:ascii="Arial" w:cs="Arial" w:eastAsia="Arial" w:hAnsi="Arial"/>
          <w:sz w:val="18"/>
          <w:szCs w:val="18"/>
          <w:color w:val="auto"/>
        </w:rPr>
        <w:t xml:space="preserve">Indebtedness in the form of purchase price adjustments, earn outs, deferred compensation, or other arrangements representing acquisition consideration or deferred payments of a similar nature incurred in connection with Investments permitted by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7.8</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amount of such obligation shall be deemed part of the cost of such Investment (the amount of which shall be deemed to be the amount required to be accrued as a liability in accordance with GAAP or the amount actually paid);</w:t>
      </w:r>
    </w:p>
    <w:p>
      <w:pPr>
        <w:spacing w:after="0" w:line="107" w:lineRule="exact"/>
        <w:rPr>
          <w:rFonts w:ascii="Arial" w:cs="Arial" w:eastAsia="Arial" w:hAnsi="Arial"/>
          <w:sz w:val="18"/>
          <w:szCs w:val="18"/>
          <w:color w:val="auto"/>
        </w:rPr>
      </w:pPr>
    </w:p>
    <w:p>
      <w:pPr>
        <w:ind w:left="1780" w:hanging="476"/>
        <w:spacing w:after="0"/>
        <w:tabs>
          <w:tab w:leader="none" w:pos="1780" w:val="left"/>
        </w:tabs>
        <w:numPr>
          <w:ilvl w:val="0"/>
          <w:numId w:val="435"/>
        </w:numPr>
        <w:rPr>
          <w:rFonts w:ascii="Arial" w:cs="Arial" w:eastAsia="Arial" w:hAnsi="Arial"/>
          <w:sz w:val="20"/>
          <w:szCs w:val="20"/>
          <w:color w:val="auto"/>
        </w:rPr>
      </w:pPr>
      <w:r>
        <w:rPr>
          <w:rFonts w:ascii="Arial" w:cs="Arial" w:eastAsia="Arial" w:hAnsi="Arial"/>
          <w:sz w:val="20"/>
          <w:szCs w:val="20"/>
          <w:color w:val="auto"/>
        </w:rPr>
        <w:t>Indebtedness consisting of the financing of insurance premiums;</w:t>
      </w:r>
    </w:p>
    <w:p>
      <w:pPr>
        <w:spacing w:after="0" w:line="161" w:lineRule="exact"/>
        <w:rPr>
          <w:rFonts w:ascii="Arial" w:cs="Arial" w:eastAsia="Arial" w:hAnsi="Arial"/>
          <w:sz w:val="20"/>
          <w:szCs w:val="20"/>
          <w:color w:val="auto"/>
        </w:rPr>
      </w:pPr>
    </w:p>
    <w:p>
      <w:pPr>
        <w:jc w:val="both"/>
        <w:ind w:firstLine="1304"/>
        <w:spacing w:after="0" w:line="250" w:lineRule="auto"/>
        <w:tabs>
          <w:tab w:leader="none" w:pos="1812" w:val="left"/>
        </w:tabs>
        <w:numPr>
          <w:ilvl w:val="0"/>
          <w:numId w:val="435"/>
        </w:numPr>
        <w:rPr>
          <w:rFonts w:ascii="Arial" w:cs="Arial" w:eastAsia="Arial" w:hAnsi="Arial"/>
          <w:sz w:val="20"/>
          <w:szCs w:val="20"/>
          <w:color w:val="auto"/>
        </w:rPr>
      </w:pPr>
      <w:r>
        <w:rPr>
          <w:rFonts w:ascii="Arial" w:cs="Arial" w:eastAsia="Arial" w:hAnsi="Arial"/>
          <w:sz w:val="20"/>
          <w:szCs w:val="20"/>
          <w:color w:val="auto"/>
        </w:rPr>
        <w:t>Indebtedness of Foreign Subsidiaries (i) in respect of business credit cards in an aggregate principal amount not to exceed $2,500,000 at any time outstanding; and (ii) otherwise in an aggregate principal amount not to exceed $5,000,000 at any time outstanding; and</w:t>
      </w:r>
    </w:p>
    <w:p>
      <w:pPr>
        <w:spacing w:after="0" w:line="131" w:lineRule="exact"/>
        <w:rPr>
          <w:rFonts w:ascii="Arial" w:cs="Arial" w:eastAsia="Arial" w:hAnsi="Arial"/>
          <w:sz w:val="20"/>
          <w:szCs w:val="20"/>
          <w:color w:val="auto"/>
        </w:rPr>
      </w:pPr>
    </w:p>
    <w:p>
      <w:pPr>
        <w:ind w:left="1760" w:hanging="456"/>
        <w:spacing w:after="0"/>
        <w:tabs>
          <w:tab w:leader="none" w:pos="1760" w:val="left"/>
        </w:tabs>
        <w:numPr>
          <w:ilvl w:val="0"/>
          <w:numId w:val="435"/>
        </w:numPr>
        <w:rPr>
          <w:rFonts w:ascii="Arial" w:cs="Arial" w:eastAsia="Arial" w:hAnsi="Arial"/>
          <w:sz w:val="16"/>
          <w:szCs w:val="16"/>
          <w:color w:val="auto"/>
        </w:rPr>
      </w:pPr>
      <w:r>
        <w:rPr>
          <w:rFonts w:ascii="Arial" w:cs="Arial" w:eastAsia="Arial" w:hAnsi="Arial"/>
          <w:sz w:val="16"/>
          <w:szCs w:val="16"/>
          <w:color w:val="auto"/>
        </w:rPr>
        <w:t>Indebtedness not otherwise permitted by this Section in an aggregate principal amount not to exceed $5,000,000 at any</w:t>
      </w:r>
    </w:p>
    <w:p>
      <w:pPr>
        <w:spacing w:after="0" w:line="6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time outstanding.</w:t>
      </w:r>
    </w:p>
    <w:p>
      <w:pPr>
        <w:spacing w:after="0" w:line="140"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b w:val="1"/>
          <w:bCs w:val="1"/>
          <w:color w:val="auto"/>
        </w:rPr>
        <w:t>7.3</w:t>
      </w:r>
      <w:r>
        <w:rPr>
          <w:sz w:val="20"/>
          <w:szCs w:val="20"/>
          <w:color w:val="auto"/>
        </w:rPr>
        <w:tab/>
      </w:r>
      <w:r>
        <w:rPr>
          <w:rFonts w:ascii="Arial" w:cs="Arial" w:eastAsia="Arial" w:hAnsi="Arial"/>
          <w:sz w:val="18"/>
          <w:szCs w:val="18"/>
          <w:b w:val="1"/>
          <w:bCs w:val="1"/>
          <w:color w:val="auto"/>
        </w:rPr>
        <w:t>Liens</w:t>
      </w:r>
      <w:r>
        <w:rPr>
          <w:rFonts w:ascii="Arial" w:cs="Arial" w:eastAsia="Arial" w:hAnsi="Arial"/>
          <w:sz w:val="18"/>
          <w:szCs w:val="18"/>
          <w:color w:val="auto"/>
        </w:rPr>
        <w:t>. Create, incur, assume or suffer to exist any Lien upon any of its property, whether now owned or hereafter acquired,</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except:</w:t>
      </w:r>
    </w:p>
    <w:p>
      <w:pPr>
        <w:spacing w:after="0" w:line="146" w:lineRule="exact"/>
        <w:rPr>
          <w:sz w:val="20"/>
          <w:szCs w:val="20"/>
          <w:color w:val="auto"/>
        </w:rPr>
      </w:pPr>
    </w:p>
    <w:p>
      <w:pPr>
        <w:ind w:right="20" w:firstLine="1304"/>
        <w:spacing w:after="0" w:line="287" w:lineRule="auto"/>
        <w:tabs>
          <w:tab w:leader="none" w:pos="1731" w:val="left"/>
        </w:tabs>
        <w:numPr>
          <w:ilvl w:val="0"/>
          <w:numId w:val="436"/>
        </w:numPr>
        <w:rPr>
          <w:rFonts w:ascii="Arial" w:cs="Arial" w:eastAsia="Arial" w:hAnsi="Arial"/>
          <w:sz w:val="19"/>
          <w:szCs w:val="19"/>
          <w:color w:val="auto"/>
        </w:rPr>
      </w:pPr>
      <w:r>
        <w:rPr>
          <w:rFonts w:ascii="Arial" w:cs="Arial" w:eastAsia="Arial" w:hAnsi="Arial"/>
          <w:sz w:val="19"/>
          <w:szCs w:val="19"/>
          <w:color w:val="auto"/>
        </w:rPr>
        <w:t xml:space="preserve">Liens for taxes not yet due or that are being contested in good faith by appropriate proceedings;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adequate reserves with respect thereto are maintained on the books of the applicable Group Member in conformity with GAAP;</w:t>
      </w:r>
    </w:p>
    <w:p>
      <w:pPr>
        <w:spacing w:after="0" w:line="98" w:lineRule="exact"/>
        <w:rPr>
          <w:rFonts w:ascii="Arial" w:cs="Arial" w:eastAsia="Arial" w:hAnsi="Arial"/>
          <w:sz w:val="19"/>
          <w:szCs w:val="19"/>
          <w:color w:val="auto"/>
        </w:rPr>
      </w:pPr>
    </w:p>
    <w:p>
      <w:pPr>
        <w:jc w:val="both"/>
        <w:ind w:firstLine="1304"/>
        <w:spacing w:after="0" w:line="250" w:lineRule="auto"/>
        <w:tabs>
          <w:tab w:leader="none" w:pos="1829" w:val="left"/>
        </w:tabs>
        <w:numPr>
          <w:ilvl w:val="0"/>
          <w:numId w:val="436"/>
        </w:numPr>
        <w:rPr>
          <w:rFonts w:ascii="Arial" w:cs="Arial" w:eastAsia="Arial" w:hAnsi="Arial"/>
          <w:sz w:val="20"/>
          <w:szCs w:val="20"/>
          <w:color w:val="auto"/>
        </w:rPr>
      </w:pPr>
      <w:r>
        <w:rPr>
          <w:rFonts w:ascii="Arial" w:cs="Arial" w:eastAsia="Arial" w:hAnsi="Arial"/>
          <w:sz w:val="20"/>
          <w:szCs w:val="20"/>
          <w:color w:val="auto"/>
        </w:rPr>
        <w:t>carriers’, warehousemen’s, landlord’s, mechanics’, materialmen’s, repairmen’s supplier’s, construction or other like Liens arising in the ordinary course of business that are not overdue for a period of more than 30 days or that are being contested in good faith by appropriate proceedings;</w:t>
      </w:r>
    </w:p>
    <w:p>
      <w:pPr>
        <w:spacing w:after="0" w:line="131" w:lineRule="exact"/>
        <w:rPr>
          <w:rFonts w:ascii="Arial" w:cs="Arial" w:eastAsia="Arial" w:hAnsi="Arial"/>
          <w:sz w:val="20"/>
          <w:szCs w:val="20"/>
          <w:color w:val="auto"/>
        </w:rPr>
      </w:pPr>
    </w:p>
    <w:p>
      <w:pPr>
        <w:ind w:left="1840" w:hanging="536"/>
        <w:spacing w:after="0"/>
        <w:tabs>
          <w:tab w:leader="none" w:pos="184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pledges or deposits in connection with workers’ compensation, unemployment insurance and other social security</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legislation;</w:t>
      </w:r>
    </w:p>
    <w:p>
      <w:pPr>
        <w:spacing w:after="0" w:line="145" w:lineRule="exact"/>
        <w:rPr>
          <w:rFonts w:ascii="Arial" w:cs="Arial" w:eastAsia="Arial" w:hAnsi="Arial"/>
          <w:sz w:val="18"/>
          <w:szCs w:val="18"/>
          <w:color w:val="auto"/>
        </w:rPr>
      </w:pPr>
    </w:p>
    <w:p>
      <w:pPr>
        <w:jc w:val="both"/>
        <w:ind w:firstLine="1304"/>
        <w:spacing w:after="0" w:line="269" w:lineRule="auto"/>
        <w:tabs>
          <w:tab w:leader="none" w:pos="1912" w:val="left"/>
        </w:tabs>
        <w:numPr>
          <w:ilvl w:val="0"/>
          <w:numId w:val="436"/>
        </w:numPr>
        <w:rPr>
          <w:rFonts w:ascii="Arial" w:cs="Arial" w:eastAsia="Arial" w:hAnsi="Arial"/>
          <w:sz w:val="19"/>
          <w:szCs w:val="19"/>
          <w:color w:val="auto"/>
        </w:rPr>
      </w:pPr>
      <w:r>
        <w:rPr>
          <w:rFonts w:ascii="Arial" w:cs="Arial" w:eastAsia="Arial" w:hAnsi="Arial"/>
          <w:sz w:val="19"/>
          <w:szCs w:val="19"/>
          <w:color w:val="auto"/>
        </w:rPr>
        <w:t>deposits to secure the performance of bids, trade contracts (other than for borrowed money), leases, statutory obligations, surety and appeal bonds, performance bonds and other obligations of a like nature incurred in the ordinary course of business (other than for indebtedness or any Liens arising under ERISA) or deposits made in connection with Permitted Acquisitions;</w:t>
      </w:r>
    </w:p>
    <w:p>
      <w:pPr>
        <w:spacing w:after="0" w:line="115" w:lineRule="exact"/>
        <w:rPr>
          <w:rFonts w:ascii="Arial" w:cs="Arial" w:eastAsia="Arial" w:hAnsi="Arial"/>
          <w:sz w:val="19"/>
          <w:szCs w:val="19"/>
          <w:color w:val="auto"/>
        </w:rPr>
      </w:pPr>
    </w:p>
    <w:p>
      <w:pPr>
        <w:jc w:val="both"/>
        <w:ind w:right="20" w:firstLine="1304"/>
        <w:spacing w:after="0" w:line="250" w:lineRule="auto"/>
        <w:tabs>
          <w:tab w:leader="none" w:pos="1749" w:val="left"/>
        </w:tabs>
        <w:numPr>
          <w:ilvl w:val="0"/>
          <w:numId w:val="436"/>
        </w:numPr>
        <w:rPr>
          <w:rFonts w:ascii="Arial" w:cs="Arial" w:eastAsia="Arial" w:hAnsi="Arial"/>
          <w:sz w:val="20"/>
          <w:szCs w:val="20"/>
          <w:color w:val="auto"/>
        </w:rPr>
      </w:pPr>
      <w:r>
        <w:rPr>
          <w:rFonts w:ascii="Arial" w:cs="Arial" w:eastAsia="Arial" w:hAnsi="Arial"/>
          <w:sz w:val="20"/>
          <w:szCs w:val="20"/>
          <w:color w:val="auto"/>
        </w:rPr>
        <w:t>easements, rights-of-way, restrictions and other similar encumbrances incurred in the ordinary course of business that, in the aggregate, are not substantial in amount and that do not in any case materially detract from the value of the property subject thereto or materially interfere with the ordinary conduct of the business of the applicable Group Member;</w:t>
      </w:r>
    </w:p>
    <w:p>
      <w:pPr>
        <w:spacing w:after="0" w:line="131" w:lineRule="exact"/>
        <w:rPr>
          <w:rFonts w:ascii="Arial" w:cs="Arial" w:eastAsia="Arial" w:hAnsi="Arial"/>
          <w:sz w:val="20"/>
          <w:szCs w:val="20"/>
          <w:color w:val="auto"/>
        </w:rPr>
      </w:pPr>
    </w:p>
    <w:p>
      <w:pPr>
        <w:jc w:val="both"/>
        <w:ind w:firstLine="1304"/>
        <w:spacing w:after="0" w:line="246" w:lineRule="auto"/>
        <w:tabs>
          <w:tab w:leader="none" w:pos="1719" w:val="left"/>
        </w:tabs>
        <w:numPr>
          <w:ilvl w:val="0"/>
          <w:numId w:val="436"/>
        </w:numPr>
        <w:rPr>
          <w:rFonts w:ascii="Arial" w:cs="Arial" w:eastAsia="Arial" w:hAnsi="Arial"/>
          <w:sz w:val="20"/>
          <w:szCs w:val="20"/>
          <w:color w:val="auto"/>
        </w:rPr>
      </w:pPr>
      <w:r>
        <w:rPr>
          <w:rFonts w:ascii="Arial" w:cs="Arial" w:eastAsia="Arial" w:hAnsi="Arial"/>
          <w:sz w:val="20"/>
          <w:szCs w:val="20"/>
          <w:color w:val="auto"/>
        </w:rPr>
        <w:t xml:space="preserve">Liens in existence on the Closing Date and listed on </w:t>
      </w:r>
      <w:r>
        <w:rPr>
          <w:rFonts w:ascii="Arial" w:cs="Arial" w:eastAsia="Arial" w:hAnsi="Arial"/>
          <w:sz w:val="20"/>
          <w:szCs w:val="20"/>
          <w:u w:val="single" w:color="auto"/>
          <w:color w:val="auto"/>
        </w:rPr>
        <w:t>Schedule 7.3(f)</w:t>
      </w:r>
      <w:r>
        <w:rPr>
          <w:rFonts w:ascii="Arial" w:cs="Arial" w:eastAsia="Arial" w:hAnsi="Arial"/>
          <w:sz w:val="20"/>
          <w:szCs w:val="20"/>
          <w:color w:val="auto"/>
        </w:rPr>
        <w:t xml:space="preserve"> of the Disclosure Letter;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(i) no such Lien is spread to cover any additional property after the Closing Date, (ii) the amount of Indebtedness or obligations secured or benefitted thereby is not increased, (iii) the direct or any contingent obligor with respect thereto is not changed, and (iv) any renewal or extension of the obligations secured thereby is permitted by </w:t>
      </w:r>
      <w:r>
        <w:rPr>
          <w:rFonts w:ascii="Arial" w:cs="Arial" w:eastAsia="Arial" w:hAnsi="Arial"/>
          <w:sz w:val="20"/>
          <w:szCs w:val="20"/>
          <w:u w:val="single" w:color="auto"/>
          <w:color w:val="auto"/>
        </w:rPr>
        <w:t>Section 7.2(d)</w:t>
      </w:r>
      <w:r>
        <w:rPr>
          <w:rFonts w:ascii="Arial" w:cs="Arial" w:eastAsia="Arial" w:hAnsi="Arial"/>
          <w:sz w:val="20"/>
          <w:szCs w:val="20"/>
          <w:color w:val="auto"/>
        </w:rPr>
        <w:t>;</w:t>
      </w:r>
    </w:p>
    <w:p>
      <w:pPr>
        <w:spacing w:after="0" w:line="137" w:lineRule="exact"/>
        <w:rPr>
          <w:rFonts w:ascii="Arial" w:cs="Arial" w:eastAsia="Arial" w:hAnsi="Arial"/>
          <w:sz w:val="20"/>
          <w:szCs w:val="20"/>
          <w:color w:val="auto"/>
        </w:rPr>
      </w:pPr>
    </w:p>
    <w:p>
      <w:pPr>
        <w:jc w:val="both"/>
        <w:ind w:firstLine="1304"/>
        <w:spacing w:after="0" w:line="263" w:lineRule="auto"/>
        <w:tabs>
          <w:tab w:leader="none" w:pos="1800" w:val="left"/>
        </w:tabs>
        <w:numPr>
          <w:ilvl w:val="0"/>
          <w:numId w:val="436"/>
        </w:numPr>
        <w:rPr>
          <w:rFonts w:ascii="Arial" w:cs="Arial" w:eastAsia="Arial" w:hAnsi="Arial"/>
          <w:sz w:val="19"/>
          <w:szCs w:val="19"/>
          <w:color w:val="auto"/>
        </w:rPr>
      </w:pPr>
      <w:r>
        <w:rPr>
          <w:rFonts w:ascii="Arial" w:cs="Arial" w:eastAsia="Arial" w:hAnsi="Arial"/>
          <w:sz w:val="19"/>
          <w:szCs w:val="19"/>
          <w:color w:val="auto"/>
        </w:rPr>
        <w:t xml:space="preserve">Liens securing Indebtedness incurred pursuant to </w:t>
      </w:r>
      <w:r>
        <w:rPr>
          <w:rFonts w:ascii="Arial" w:cs="Arial" w:eastAsia="Arial" w:hAnsi="Arial"/>
          <w:sz w:val="19"/>
          <w:szCs w:val="19"/>
          <w:u w:val="single" w:color="auto"/>
          <w:color w:val="auto"/>
        </w:rPr>
        <w:t>Section 7.2(e)</w:t>
      </w:r>
      <w:r>
        <w:rPr>
          <w:rFonts w:ascii="Arial" w:cs="Arial" w:eastAsia="Arial" w:hAnsi="Arial"/>
          <w:sz w:val="19"/>
          <w:szCs w:val="19"/>
          <w:color w:val="auto"/>
        </w:rPr>
        <w:t xml:space="preserve"> to finance the acquisition of fixed or capital assets;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 such Liens shall be created substantially simultaneously with, or within 90 days after, the acquisition of such fixed or capital assets, (ii) such Liens do not at any time encumber any property other than the property financed by such Indebtedness and the proceeds thereof, and (iii) the amount of Indebtedness secured thereby is not increased;</w:t>
      </w:r>
    </w:p>
    <w:p>
      <w:pPr>
        <w:spacing w:after="0" w:line="122" w:lineRule="exact"/>
        <w:rPr>
          <w:rFonts w:ascii="Arial" w:cs="Arial" w:eastAsia="Arial" w:hAnsi="Arial"/>
          <w:sz w:val="19"/>
          <w:szCs w:val="19"/>
          <w:color w:val="auto"/>
        </w:rPr>
      </w:pPr>
    </w:p>
    <w:p>
      <w:pPr>
        <w:ind w:left="1740" w:hanging="436"/>
        <w:spacing w:after="0"/>
        <w:tabs>
          <w:tab w:leader="none" w:pos="1740" w:val="left"/>
        </w:tabs>
        <w:numPr>
          <w:ilvl w:val="0"/>
          <w:numId w:val="436"/>
        </w:numPr>
        <w:rPr>
          <w:rFonts w:ascii="Arial" w:cs="Arial" w:eastAsia="Arial" w:hAnsi="Arial"/>
          <w:sz w:val="20"/>
          <w:szCs w:val="20"/>
          <w:color w:val="auto"/>
        </w:rPr>
      </w:pPr>
      <w:r>
        <w:rPr>
          <w:rFonts w:ascii="Arial" w:cs="Arial" w:eastAsia="Arial" w:hAnsi="Arial"/>
          <w:sz w:val="20"/>
          <w:szCs w:val="20"/>
          <w:color w:val="auto"/>
        </w:rPr>
        <w:t>Liens created pursuant to the Security Documents;</w:t>
      </w:r>
    </w:p>
    <w:p>
      <w:pPr>
        <w:spacing w:after="0" w:line="161" w:lineRule="exact"/>
        <w:rPr>
          <w:rFonts w:ascii="Arial" w:cs="Arial" w:eastAsia="Arial" w:hAnsi="Arial"/>
          <w:sz w:val="20"/>
          <w:szCs w:val="20"/>
          <w:color w:val="auto"/>
        </w:rPr>
      </w:pPr>
    </w:p>
    <w:p>
      <w:pPr>
        <w:ind w:firstLine="1304"/>
        <w:spacing w:after="0" w:line="260" w:lineRule="auto"/>
        <w:tabs>
          <w:tab w:leader="none" w:pos="1691" w:val="left"/>
        </w:tabs>
        <w:numPr>
          <w:ilvl w:val="0"/>
          <w:numId w:val="436"/>
        </w:numPr>
        <w:rPr>
          <w:rFonts w:ascii="Arial" w:cs="Arial" w:eastAsia="Arial" w:hAnsi="Arial"/>
          <w:sz w:val="20"/>
          <w:szCs w:val="20"/>
          <w:color w:val="auto"/>
        </w:rPr>
      </w:pPr>
      <w:r>
        <w:rPr>
          <w:rFonts w:ascii="Arial" w:cs="Arial" w:eastAsia="Arial" w:hAnsi="Arial"/>
          <w:sz w:val="20"/>
          <w:szCs w:val="20"/>
          <w:color w:val="auto"/>
        </w:rPr>
        <w:t>(x) any interest or title of a lessor or licensor under any lease or license entered into by a Group Member in the ordinary course of its business and covering only the assets so leased or</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ectPr>
          <w:pgSz w:w="11900" w:h="16838" w:orient="portrait"/>
          <w:cols w:equalWidth="0" w:num="1">
            <w:col w:w="11240"/>
          </w:cols>
          <w:pgMar w:left="320" w:top="770" w:right="339" w:bottom="1440" w:gutter="0" w:footer="0" w:header="0"/>
        </w:sectPr>
      </w:pPr>
    </w:p>
    <w:bookmarkStart w:id="479" w:name="page480"/>
    <w:bookmarkEnd w:id="479"/>
    <w:p>
      <w:pPr>
        <w:jc w:val="both"/>
        <w:spacing w:after="0" w:line="282" w:lineRule="auto"/>
        <w:rPr>
          <w:sz w:val="20"/>
          <w:szCs w:val="20"/>
          <w:color w:val="auto"/>
        </w:rPr>
      </w:pPr>
      <w:r>
        <w:rPr>
          <w:rFonts w:ascii="Arial" w:cs="Arial" w:eastAsia="Arial" w:hAnsi="Arial"/>
          <w:sz w:val="18"/>
          <w:szCs w:val="18"/>
          <w:color w:val="auto"/>
        </w:rPr>
        <w:t>licensed, (y) leases, licenses, subleases and sublicenses of real property granted to others in the ordinary course of business and (z) non-exclusive licenses of Intellectual Property in the ordinary course of business and other licenses and sublicenses that could not result in a legal transfer of title of the licensed property but that may be exclusive in respects other than territory and that may be exclusive as to territory only as to discreet geographical areas outside of the United States, in each case in the ordinary course of business;</w:t>
      </w:r>
    </w:p>
    <w:p>
      <w:pPr>
        <w:spacing w:after="0" w:line="107" w:lineRule="exact"/>
        <w:rPr>
          <w:sz w:val="20"/>
          <w:szCs w:val="20"/>
          <w:color w:val="auto"/>
        </w:rPr>
      </w:pPr>
    </w:p>
    <w:p>
      <w:pPr>
        <w:ind w:left="1680" w:hanging="376"/>
        <w:spacing w:after="0"/>
        <w:tabs>
          <w:tab w:leader="none" w:pos="1680" w:val="left"/>
        </w:tabs>
        <w:numPr>
          <w:ilvl w:val="1"/>
          <w:numId w:val="437"/>
        </w:numPr>
        <w:rPr>
          <w:rFonts w:ascii="Arial" w:cs="Arial" w:eastAsia="Arial" w:hAnsi="Arial"/>
          <w:sz w:val="19"/>
          <w:szCs w:val="19"/>
          <w:color w:val="auto"/>
        </w:rPr>
      </w:pPr>
      <w:r>
        <w:rPr>
          <w:rFonts w:ascii="Arial" w:cs="Arial" w:eastAsia="Arial" w:hAnsi="Arial"/>
          <w:sz w:val="19"/>
          <w:szCs w:val="19"/>
          <w:color w:val="auto"/>
        </w:rPr>
        <w:t xml:space="preserve">judgment Liens that do not constitute a Default or an Event of Default under </w:t>
      </w:r>
      <w:r>
        <w:rPr>
          <w:rFonts w:ascii="Arial" w:cs="Arial" w:eastAsia="Arial" w:hAnsi="Arial"/>
          <w:sz w:val="19"/>
          <w:szCs w:val="19"/>
          <w:u w:val="single" w:color="auto"/>
          <w:color w:val="auto"/>
        </w:rPr>
        <w:t>Section 8.1(h)</w:t>
      </w:r>
      <w:r>
        <w:rPr>
          <w:rFonts w:ascii="Arial" w:cs="Arial" w:eastAsia="Arial" w:hAnsi="Arial"/>
          <w:sz w:val="19"/>
          <w:szCs w:val="19"/>
          <w:color w:val="auto"/>
        </w:rPr>
        <w:t xml:space="preserve"> of this Agreement;</w:t>
      </w:r>
    </w:p>
    <w:p>
      <w:pPr>
        <w:spacing w:after="0" w:line="173" w:lineRule="exact"/>
        <w:rPr>
          <w:rFonts w:ascii="Arial" w:cs="Arial" w:eastAsia="Arial" w:hAnsi="Arial"/>
          <w:sz w:val="19"/>
          <w:szCs w:val="19"/>
          <w:color w:val="auto"/>
        </w:rPr>
      </w:pPr>
    </w:p>
    <w:p>
      <w:pPr>
        <w:jc w:val="both"/>
        <w:ind w:firstLine="1304"/>
        <w:spacing w:after="0" w:line="278" w:lineRule="auto"/>
        <w:tabs>
          <w:tab w:leader="none" w:pos="1725" w:val="left"/>
        </w:tabs>
        <w:numPr>
          <w:ilvl w:val="1"/>
          <w:numId w:val="437"/>
        </w:numPr>
        <w:rPr>
          <w:rFonts w:ascii="Arial" w:cs="Arial" w:eastAsia="Arial" w:hAnsi="Arial"/>
          <w:sz w:val="18"/>
          <w:szCs w:val="18"/>
          <w:color w:val="auto"/>
        </w:rPr>
      </w:pPr>
      <w:r>
        <w:rPr>
          <w:rFonts w:ascii="Arial" w:cs="Arial" w:eastAsia="Arial" w:hAnsi="Arial"/>
          <w:sz w:val="18"/>
          <w:szCs w:val="18"/>
          <w:color w:val="auto"/>
        </w:rPr>
        <w:t>bankers’ Liens, rights of setoff and other similar Liens existing solely with respect to cash, Cash Equivalents, securities, commodities and other funds on deposit in one or more accounts maintained by a Group Member, in each case arising in the ordinary course of business in favor of banks, other depositary institutions, securities or commodities intermediaries or brokerages with which such accounts are maintained securing amounts owing to such banks or financial institutions with respect to cash management and operating account management or are arising under Section 4-208 or 4-210 of the UCC on items in the course of collection;</w:t>
      </w:r>
    </w:p>
    <w:p>
      <w:pPr>
        <w:spacing w:after="0" w:line="110" w:lineRule="exact"/>
        <w:rPr>
          <w:rFonts w:ascii="Arial" w:cs="Arial" w:eastAsia="Arial" w:hAnsi="Arial"/>
          <w:sz w:val="18"/>
          <w:szCs w:val="18"/>
          <w:color w:val="auto"/>
        </w:rPr>
      </w:pPr>
    </w:p>
    <w:p>
      <w:pPr>
        <w:ind w:left="1700" w:hanging="396"/>
        <w:spacing w:after="0"/>
        <w:tabs>
          <w:tab w:leader="none" w:pos="1700" w:val="left"/>
        </w:tabs>
        <w:numPr>
          <w:ilvl w:val="1"/>
          <w:numId w:val="437"/>
        </w:numPr>
        <w:rPr>
          <w:rFonts w:ascii="Arial" w:cs="Arial" w:eastAsia="Arial" w:hAnsi="Arial"/>
          <w:sz w:val="16"/>
          <w:szCs w:val="16"/>
          <w:color w:val="auto"/>
        </w:rPr>
      </w:pPr>
      <w:r>
        <w:rPr>
          <w:rFonts w:ascii="Arial" w:cs="Arial" w:eastAsia="Arial" w:hAnsi="Arial"/>
          <w:sz w:val="16"/>
          <w:szCs w:val="16"/>
          <w:color w:val="auto"/>
        </w:rPr>
        <w:t xml:space="preserve">(i) cash deposits and liens on cash and Cash Equivalents pledged to secure Indebtedness permitted under </w:t>
      </w:r>
      <w:r>
        <w:rPr>
          <w:rFonts w:ascii="Arial" w:cs="Arial" w:eastAsia="Arial" w:hAnsi="Arial"/>
          <w:sz w:val="16"/>
          <w:szCs w:val="16"/>
          <w:u w:val="single" w:color="auto"/>
          <w:color w:val="auto"/>
        </w:rPr>
        <w:t>Section 7.2(g)</w:t>
      </w:r>
      <w:r>
        <w:rPr>
          <w:rFonts w:ascii="Arial" w:cs="Arial" w:eastAsia="Arial" w:hAnsi="Arial"/>
          <w:sz w:val="16"/>
          <w:szCs w:val="16"/>
          <w:color w:val="auto"/>
        </w:rPr>
        <w:t>,</w:t>
      </w:r>
    </w:p>
    <w:p>
      <w:pPr>
        <w:spacing w:after="0" w:line="61" w:lineRule="exact"/>
        <w:rPr>
          <w:rFonts w:ascii="Arial" w:cs="Arial" w:eastAsia="Arial" w:hAnsi="Arial"/>
          <w:sz w:val="16"/>
          <w:szCs w:val="16"/>
          <w:color w:val="auto"/>
        </w:rPr>
      </w:pPr>
    </w:p>
    <w:p>
      <w:pPr>
        <w:jc w:val="both"/>
        <w:ind w:firstLine="8"/>
        <w:spacing w:after="0" w:line="281" w:lineRule="auto"/>
        <w:tabs>
          <w:tab w:leader="none" w:pos="309" w:val="left"/>
        </w:tabs>
        <w:numPr>
          <w:ilvl w:val="0"/>
          <w:numId w:val="438"/>
        </w:numPr>
        <w:rPr>
          <w:rFonts w:ascii="Arial" w:cs="Arial" w:eastAsia="Arial" w:hAnsi="Arial"/>
          <w:sz w:val="18"/>
          <w:szCs w:val="18"/>
          <w:color w:val="auto"/>
        </w:rPr>
      </w:pPr>
      <w:r>
        <w:rPr>
          <w:rFonts w:ascii="Arial" w:cs="Arial" w:eastAsia="Arial" w:hAnsi="Arial"/>
          <w:sz w:val="18"/>
          <w:szCs w:val="18"/>
          <w:color w:val="auto"/>
        </w:rPr>
        <w:t xml:space="preserve">Liens securing reimbursement obligations with respect to letters of credit, banker’s acceptances, bank guarantees permitted by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7.2(g)</w:t>
      </w:r>
      <w:r>
        <w:rPr>
          <w:rFonts w:ascii="Arial" w:cs="Arial" w:eastAsia="Arial" w:hAnsi="Arial"/>
          <w:sz w:val="18"/>
          <w:szCs w:val="18"/>
          <w:color w:val="auto"/>
        </w:rPr>
        <w:t xml:space="preserve"> that encumber documents and other property relating to such letters of credit, (iii) Liens securing Obligations under any Specified Swap Agreements permitted by </w:t>
      </w:r>
      <w:r>
        <w:rPr>
          <w:rFonts w:ascii="Arial" w:cs="Arial" w:eastAsia="Arial" w:hAnsi="Arial"/>
          <w:sz w:val="18"/>
          <w:szCs w:val="18"/>
          <w:u w:val="single" w:color="auto"/>
          <w:color w:val="auto"/>
        </w:rPr>
        <w:t>Section 7.2(i)</w:t>
      </w:r>
      <w:r>
        <w:rPr>
          <w:rFonts w:ascii="Arial" w:cs="Arial" w:eastAsia="Arial" w:hAnsi="Arial"/>
          <w:sz w:val="18"/>
          <w:szCs w:val="18"/>
          <w:color w:val="auto"/>
        </w:rPr>
        <w:t>, and (iv) Liens on cash deposits securing minimum capitalization requirements;</w:t>
      </w:r>
    </w:p>
    <w:p>
      <w:pPr>
        <w:spacing w:after="0" w:line="107" w:lineRule="exact"/>
        <w:rPr>
          <w:rFonts w:ascii="Arial" w:cs="Arial" w:eastAsia="Arial" w:hAnsi="Arial"/>
          <w:sz w:val="18"/>
          <w:szCs w:val="18"/>
          <w:color w:val="auto"/>
        </w:rPr>
      </w:pPr>
    </w:p>
    <w:p>
      <w:pPr>
        <w:jc w:val="both"/>
        <w:ind w:firstLine="1304"/>
        <w:spacing w:after="0" w:line="282" w:lineRule="auto"/>
        <w:tabs>
          <w:tab w:leader="none" w:pos="1870" w:val="left"/>
        </w:tabs>
        <w:numPr>
          <w:ilvl w:val="1"/>
          <w:numId w:val="438"/>
        </w:numPr>
        <w:rPr>
          <w:rFonts w:ascii="Arial" w:cs="Arial" w:eastAsia="Arial" w:hAnsi="Arial"/>
          <w:sz w:val="18"/>
          <w:szCs w:val="18"/>
          <w:color w:val="auto"/>
        </w:rPr>
      </w:pPr>
      <w:r>
        <w:rPr>
          <w:rFonts w:ascii="Arial" w:cs="Arial" w:eastAsia="Arial" w:hAnsi="Arial"/>
          <w:sz w:val="18"/>
          <w:szCs w:val="18"/>
          <w:color w:val="auto"/>
        </w:rPr>
        <w:t xml:space="preserve">Liens on property of a Person existing at the time such Person is acquired by, merged into or consolidated with a Group Member or becomes a Subsidiary of a Group Member or acquired by a Group Member;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 such Liens were not created in contemplation of such acquisition, merger, consolidation or Investment, (ii) such Liens do not extend to any assets other than those of such Person, and (iii) the applicable Indebtedness or obligation secured by such Lien is not prohibited under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107" w:lineRule="exact"/>
        <w:rPr>
          <w:rFonts w:ascii="Arial" w:cs="Arial" w:eastAsia="Arial" w:hAnsi="Arial"/>
          <w:sz w:val="18"/>
          <w:szCs w:val="18"/>
          <w:color w:val="auto"/>
        </w:rPr>
      </w:pPr>
    </w:p>
    <w:p>
      <w:pPr>
        <w:jc w:val="both"/>
        <w:ind w:firstLine="1304"/>
        <w:spacing w:after="0" w:line="250" w:lineRule="auto"/>
        <w:tabs>
          <w:tab w:leader="none" w:pos="1860" w:val="left"/>
        </w:tabs>
        <w:numPr>
          <w:ilvl w:val="1"/>
          <w:numId w:val="438"/>
        </w:numPr>
        <w:rPr>
          <w:rFonts w:ascii="Arial" w:cs="Arial" w:eastAsia="Arial" w:hAnsi="Arial"/>
          <w:sz w:val="20"/>
          <w:szCs w:val="20"/>
          <w:color w:val="auto"/>
        </w:rPr>
      </w:pPr>
      <w:r>
        <w:rPr>
          <w:rFonts w:ascii="Arial" w:cs="Arial" w:eastAsia="Arial" w:hAnsi="Arial"/>
          <w:sz w:val="20"/>
          <w:szCs w:val="20"/>
          <w:color w:val="auto"/>
        </w:rPr>
        <w:t>the replacement, extension or renewal of any Lien permitted by clause (m) above upon or in the same property theretofore subject thereto or the replacement, extension or renewal (without increase in the amount or change in any direct or contingent obligor) of the Indebtedness secured thereby;</w:t>
      </w:r>
    </w:p>
    <w:p>
      <w:pPr>
        <w:spacing w:after="0" w:line="131" w:lineRule="exact"/>
        <w:rPr>
          <w:rFonts w:ascii="Arial" w:cs="Arial" w:eastAsia="Arial" w:hAnsi="Arial"/>
          <w:sz w:val="20"/>
          <w:szCs w:val="20"/>
          <w:color w:val="auto"/>
        </w:rPr>
      </w:pPr>
    </w:p>
    <w:p>
      <w:pPr>
        <w:ind w:left="1740" w:hanging="436"/>
        <w:spacing w:after="0"/>
        <w:tabs>
          <w:tab w:leader="none" w:pos="1740" w:val="left"/>
        </w:tabs>
        <w:numPr>
          <w:ilvl w:val="1"/>
          <w:numId w:val="438"/>
        </w:numPr>
        <w:rPr>
          <w:rFonts w:ascii="Arial" w:cs="Arial" w:eastAsia="Arial" w:hAnsi="Arial"/>
          <w:sz w:val="18"/>
          <w:szCs w:val="18"/>
          <w:color w:val="auto"/>
        </w:rPr>
      </w:pPr>
      <w:r>
        <w:rPr>
          <w:rFonts w:ascii="Arial" w:cs="Arial" w:eastAsia="Arial" w:hAnsi="Arial"/>
          <w:sz w:val="18"/>
          <w:szCs w:val="18"/>
          <w:color w:val="auto"/>
        </w:rPr>
        <w:t>Liens on insurance proceeds in favor of insurance companies granted solely to secured financed insurance premiums;</w:t>
      </w:r>
    </w:p>
    <w:p>
      <w:pPr>
        <w:spacing w:after="0" w:line="184" w:lineRule="exact"/>
        <w:rPr>
          <w:rFonts w:ascii="Arial" w:cs="Arial" w:eastAsia="Arial" w:hAnsi="Arial"/>
          <w:sz w:val="18"/>
          <w:szCs w:val="18"/>
          <w:color w:val="auto"/>
        </w:rPr>
      </w:pPr>
    </w:p>
    <w:p>
      <w:pPr>
        <w:ind w:right="20" w:firstLine="1304"/>
        <w:spacing w:after="0" w:line="260" w:lineRule="auto"/>
        <w:tabs>
          <w:tab w:leader="none" w:pos="1768" w:val="left"/>
        </w:tabs>
        <w:numPr>
          <w:ilvl w:val="1"/>
          <w:numId w:val="438"/>
        </w:numPr>
        <w:rPr>
          <w:rFonts w:ascii="Arial" w:cs="Arial" w:eastAsia="Arial" w:hAnsi="Arial"/>
          <w:sz w:val="20"/>
          <w:szCs w:val="20"/>
          <w:color w:val="auto"/>
        </w:rPr>
      </w:pPr>
      <w:r>
        <w:rPr>
          <w:rFonts w:ascii="Arial" w:cs="Arial" w:eastAsia="Arial" w:hAnsi="Arial"/>
          <w:sz w:val="20"/>
          <w:szCs w:val="20"/>
          <w:color w:val="auto"/>
        </w:rPr>
        <w:t>Liens in favor of custom and revenue authorities arising as a matter of law to secure the payment of custom duties in connection with the importation of goods;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93</w:t>
      </w:r>
    </w:p>
    <w:p>
      <w:pPr>
        <w:sectPr>
          <w:pgSz w:w="11900" w:h="16838" w:orient="portrait"/>
          <w:cols w:equalWidth="0" w:num="1">
            <w:col w:w="11240"/>
          </w:cols>
          <w:pgMar w:left="320" w:top="770" w:right="339" w:bottom="1440" w:gutter="0" w:footer="0" w:header="0"/>
        </w:sectPr>
      </w:pPr>
    </w:p>
    <w:bookmarkStart w:id="480" w:name="page481"/>
    <w:bookmarkEnd w:id="480"/>
    <w:p>
      <w:pPr>
        <w:ind w:firstLine="1304"/>
        <w:spacing w:after="0" w:line="260" w:lineRule="auto"/>
        <w:tabs>
          <w:tab w:leader="none" w:pos="1833" w:val="left"/>
        </w:tabs>
        <w:numPr>
          <w:ilvl w:val="0"/>
          <w:numId w:val="439"/>
        </w:numPr>
        <w:rPr>
          <w:rFonts w:ascii="Arial" w:cs="Arial" w:eastAsia="Arial" w:hAnsi="Arial"/>
          <w:sz w:val="20"/>
          <w:szCs w:val="20"/>
          <w:color w:val="auto"/>
        </w:rPr>
      </w:pPr>
      <w:r>
        <w:rPr>
          <w:rFonts w:ascii="Arial" w:cs="Arial" w:eastAsia="Arial" w:hAnsi="Arial"/>
          <w:sz w:val="20"/>
          <w:szCs w:val="20"/>
          <w:color w:val="auto"/>
        </w:rPr>
        <w:t>Liens on any earnest money deposits required in connection with a Permitted Acquisition or consisting of earnest money deposits required in connection with an acquisition of property not otherwise prohibited hereunder;</w:t>
      </w:r>
    </w:p>
    <w:p>
      <w:pPr>
        <w:spacing w:after="0" w:line="122" w:lineRule="exact"/>
        <w:rPr>
          <w:rFonts w:ascii="Arial" w:cs="Arial" w:eastAsia="Arial" w:hAnsi="Arial"/>
          <w:sz w:val="20"/>
          <w:szCs w:val="20"/>
          <w:color w:val="auto"/>
        </w:rPr>
      </w:pPr>
    </w:p>
    <w:p>
      <w:pPr>
        <w:ind w:left="1700" w:hanging="396"/>
        <w:spacing w:after="0"/>
        <w:tabs>
          <w:tab w:leader="none" w:pos="1700" w:val="left"/>
        </w:tabs>
        <w:numPr>
          <w:ilvl w:val="0"/>
          <w:numId w:val="439"/>
        </w:numPr>
        <w:rPr>
          <w:rFonts w:ascii="Arial" w:cs="Arial" w:eastAsia="Arial" w:hAnsi="Arial"/>
          <w:sz w:val="20"/>
          <w:szCs w:val="20"/>
          <w:color w:val="auto"/>
        </w:rPr>
      </w:pPr>
      <w:r>
        <w:rPr>
          <w:rFonts w:ascii="Arial" w:cs="Arial" w:eastAsia="Arial" w:hAnsi="Arial"/>
          <w:sz w:val="20"/>
          <w:szCs w:val="20"/>
          <w:color w:val="auto"/>
        </w:rPr>
        <w:t xml:space="preserve">Liens securing Subordinated Indebtedness permitted under </w:t>
      </w:r>
      <w:r>
        <w:rPr>
          <w:rFonts w:ascii="Arial" w:cs="Arial" w:eastAsia="Arial" w:hAnsi="Arial"/>
          <w:sz w:val="20"/>
          <w:szCs w:val="20"/>
          <w:u w:val="single" w:color="auto"/>
          <w:color w:val="auto"/>
        </w:rPr>
        <w:t>Section 7.2(f)</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firstLine="1304"/>
        <w:spacing w:after="0" w:line="260" w:lineRule="auto"/>
        <w:tabs>
          <w:tab w:leader="none" w:pos="1736" w:val="left"/>
        </w:tabs>
        <w:numPr>
          <w:ilvl w:val="0"/>
          <w:numId w:val="439"/>
        </w:numPr>
        <w:rPr>
          <w:rFonts w:ascii="Arial" w:cs="Arial" w:eastAsia="Arial" w:hAnsi="Arial"/>
          <w:sz w:val="20"/>
          <w:szCs w:val="20"/>
          <w:color w:val="auto"/>
        </w:rPr>
      </w:pPr>
      <w:r>
        <w:rPr>
          <w:rFonts w:ascii="Arial" w:cs="Arial" w:eastAsia="Arial" w:hAnsi="Arial"/>
          <w:sz w:val="20"/>
          <w:szCs w:val="20"/>
          <w:color w:val="auto"/>
        </w:rPr>
        <w:t>Liens that are contractual rights of setoff relating to purchase orders and other agreements entered into with customers of such Person in the ordinary course of business;</w:t>
      </w:r>
    </w:p>
    <w:p>
      <w:pPr>
        <w:spacing w:after="0" w:line="122" w:lineRule="exact"/>
        <w:rPr>
          <w:rFonts w:ascii="Arial" w:cs="Arial" w:eastAsia="Arial" w:hAnsi="Arial"/>
          <w:sz w:val="20"/>
          <w:szCs w:val="20"/>
          <w:color w:val="auto"/>
        </w:rPr>
      </w:pPr>
    </w:p>
    <w:p>
      <w:pPr>
        <w:ind w:left="1680" w:hanging="376"/>
        <w:spacing w:after="0"/>
        <w:tabs>
          <w:tab w:leader="none" w:pos="1680" w:val="left"/>
        </w:tabs>
        <w:numPr>
          <w:ilvl w:val="0"/>
          <w:numId w:val="439"/>
        </w:numPr>
        <w:rPr>
          <w:rFonts w:ascii="Arial" w:cs="Arial" w:eastAsia="Arial" w:hAnsi="Arial"/>
          <w:sz w:val="20"/>
          <w:szCs w:val="20"/>
          <w:color w:val="auto"/>
        </w:rPr>
      </w:pPr>
      <w:r>
        <w:rPr>
          <w:rFonts w:ascii="Arial" w:cs="Arial" w:eastAsia="Arial" w:hAnsi="Arial"/>
          <w:sz w:val="20"/>
          <w:szCs w:val="20"/>
          <w:color w:val="auto"/>
        </w:rPr>
        <w:t xml:space="preserve">Liens securing Indebtedness incurred pursuant to </w:t>
      </w:r>
      <w:r>
        <w:rPr>
          <w:rFonts w:ascii="Arial" w:cs="Arial" w:eastAsia="Arial" w:hAnsi="Arial"/>
          <w:sz w:val="20"/>
          <w:szCs w:val="20"/>
          <w:u w:val="single" w:color="auto"/>
          <w:color w:val="auto"/>
        </w:rPr>
        <w:t>Section 7.2(o)</w:t>
      </w:r>
      <w:r>
        <w:rPr>
          <w:rFonts w:ascii="Arial" w:cs="Arial" w:eastAsia="Arial" w:hAnsi="Arial"/>
          <w:sz w:val="20"/>
          <w:szCs w:val="20"/>
          <w:color w:val="auto"/>
        </w:rPr>
        <w:t>; and</w:t>
      </w:r>
    </w:p>
    <w:p>
      <w:pPr>
        <w:spacing w:after="0" w:line="161" w:lineRule="exact"/>
        <w:rPr>
          <w:rFonts w:ascii="Arial" w:cs="Arial" w:eastAsia="Arial" w:hAnsi="Arial"/>
          <w:sz w:val="20"/>
          <w:szCs w:val="20"/>
          <w:color w:val="auto"/>
        </w:rPr>
      </w:pPr>
    </w:p>
    <w:p>
      <w:pPr>
        <w:ind w:left="1740" w:hanging="436"/>
        <w:spacing w:after="0"/>
        <w:tabs>
          <w:tab w:leader="none" w:pos="1740" w:val="left"/>
        </w:tabs>
        <w:numPr>
          <w:ilvl w:val="0"/>
          <w:numId w:val="439"/>
        </w:numPr>
        <w:rPr>
          <w:rFonts w:ascii="Arial" w:cs="Arial" w:eastAsia="Arial" w:hAnsi="Arial"/>
          <w:sz w:val="20"/>
          <w:szCs w:val="20"/>
          <w:color w:val="auto"/>
        </w:rPr>
      </w:pPr>
      <w:r>
        <w:rPr>
          <w:rFonts w:ascii="Arial" w:cs="Arial" w:eastAsia="Arial" w:hAnsi="Arial"/>
          <w:sz w:val="20"/>
          <w:szCs w:val="20"/>
          <w:color w:val="auto"/>
        </w:rPr>
        <w:t>other Liens securing obligations in an outstanding amount not to exceed $5,000,000 at any one time.</w:t>
      </w:r>
    </w:p>
    <w:p>
      <w:pPr>
        <w:spacing w:after="0" w:line="162"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Notwithstanding the foregoing, no Lien shall encumber any Group Member’s Intellectual Property except for Liens arising by operation of law and Liens described in clause (i)(z) above.</w:t>
      </w:r>
    </w:p>
    <w:p>
      <w:pPr>
        <w:spacing w:after="0" w:line="117"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7.4 Fundamental Changes</w:t>
      </w:r>
      <w:r>
        <w:rPr>
          <w:rFonts w:ascii="Arial" w:cs="Arial" w:eastAsia="Arial" w:hAnsi="Arial"/>
          <w:sz w:val="20"/>
          <w:szCs w:val="20"/>
          <w:color w:val="auto"/>
        </w:rPr>
        <w:t>. Consummate any merger, consolidation or amalgamation, or liquidate, wind up or dissolve itself (or</w:t>
      </w:r>
      <w:r>
        <w:rPr>
          <w:rFonts w:ascii="Arial" w:cs="Arial" w:eastAsia="Arial" w:hAnsi="Arial"/>
          <w:sz w:val="20"/>
          <w:szCs w:val="20"/>
          <w:b w:val="1"/>
          <w:bCs w:val="1"/>
          <w:color w:val="auto"/>
        </w:rPr>
        <w:t xml:space="preserve"> </w:t>
      </w:r>
      <w:r>
        <w:rPr>
          <w:rFonts w:ascii="Arial" w:cs="Arial" w:eastAsia="Arial" w:hAnsi="Arial"/>
          <w:sz w:val="20"/>
          <w:szCs w:val="20"/>
          <w:color w:val="auto"/>
        </w:rPr>
        <w:t>suffer any liquidation or dissolution), or Dispose of all or substantially all of its property or business, except that:</w:t>
      </w:r>
    </w:p>
    <w:p>
      <w:pPr>
        <w:spacing w:after="0" w:line="115" w:lineRule="exact"/>
        <w:rPr>
          <w:sz w:val="20"/>
          <w:szCs w:val="20"/>
          <w:color w:val="auto"/>
        </w:rPr>
      </w:pPr>
    </w:p>
    <w:p>
      <w:pPr>
        <w:jc w:val="both"/>
        <w:ind w:firstLine="1304"/>
        <w:spacing w:after="0" w:line="259" w:lineRule="auto"/>
        <w:tabs>
          <w:tab w:leader="none" w:pos="1722" w:val="left"/>
        </w:tabs>
        <w:numPr>
          <w:ilvl w:val="1"/>
          <w:numId w:val="440"/>
        </w:numPr>
        <w:rPr>
          <w:rFonts w:ascii="Arial" w:cs="Arial" w:eastAsia="Arial" w:hAnsi="Arial"/>
          <w:sz w:val="19"/>
          <w:szCs w:val="19"/>
          <w:color w:val="auto"/>
        </w:rPr>
      </w:pPr>
      <w:r>
        <w:rPr>
          <w:rFonts w:ascii="Arial" w:cs="Arial" w:eastAsia="Arial" w:hAnsi="Arial"/>
          <w:sz w:val="19"/>
          <w:szCs w:val="19"/>
          <w:color w:val="auto"/>
        </w:rPr>
        <w:t>(i) any Group Member that is not a Loan Party may be merged, amalgamated or consolidated with or into (A) any Loan Party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a Loan Party shall be the continuing or surviving Person, or the continuing or surviving Person shall become a Loan Party substantially contemporaneous with such merger, amalgamation or consolidation) or (B) any Group Member that is not a Loan Party, and (ii) any Loan Party may be merged, amalgamated or consolidated with or into with any other Loan Party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if such merger, amalgamation or consolidation involves (x) NerdWallet, NerdWallet shall be the continuing or surviving Person or (y) NerdWallet Compare and not NerdWallet, NerdWallet Compare shall be the continuing or surviving Person);</w:t>
      </w:r>
    </w:p>
    <w:p>
      <w:pPr>
        <w:spacing w:after="0" w:line="124" w:lineRule="exact"/>
        <w:rPr>
          <w:rFonts w:ascii="Arial" w:cs="Arial" w:eastAsia="Arial" w:hAnsi="Arial"/>
          <w:sz w:val="19"/>
          <w:szCs w:val="19"/>
          <w:color w:val="auto"/>
        </w:rPr>
      </w:pPr>
    </w:p>
    <w:p>
      <w:pPr>
        <w:jc w:val="both"/>
        <w:ind w:firstLine="1304"/>
        <w:spacing w:after="0" w:line="272" w:lineRule="auto"/>
        <w:tabs>
          <w:tab w:leader="none" w:pos="1828" w:val="left"/>
        </w:tabs>
        <w:numPr>
          <w:ilvl w:val="1"/>
          <w:numId w:val="440"/>
        </w:numPr>
        <w:rPr>
          <w:rFonts w:ascii="Arial" w:cs="Arial" w:eastAsia="Arial" w:hAnsi="Arial"/>
          <w:sz w:val="18"/>
          <w:szCs w:val="18"/>
          <w:color w:val="auto"/>
        </w:rPr>
      </w:pPr>
      <w:r>
        <w:rPr>
          <w:rFonts w:ascii="Arial" w:cs="Arial" w:eastAsia="Arial" w:hAnsi="Arial"/>
          <w:sz w:val="18"/>
          <w:szCs w:val="18"/>
          <w:color w:val="auto"/>
        </w:rPr>
        <w:t xml:space="preserve">(i) any Group Member that is not a Loan Party may Dispose of any or all of its assets (including upon voluntary liquidation, dissolution or otherwise) (A) to any other Group Member or (B) pursuant to a Disposition permitted by </w:t>
      </w:r>
      <w:r>
        <w:rPr>
          <w:rFonts w:ascii="Arial" w:cs="Arial" w:eastAsia="Arial" w:hAnsi="Arial"/>
          <w:sz w:val="18"/>
          <w:szCs w:val="18"/>
          <w:u w:val="single" w:color="auto"/>
          <w:color w:val="auto"/>
        </w:rPr>
        <w:t>Section 7.5</w:t>
      </w:r>
      <w:r>
        <w:rPr>
          <w:rFonts w:ascii="Arial" w:cs="Arial" w:eastAsia="Arial" w:hAnsi="Arial"/>
          <w:sz w:val="18"/>
          <w:szCs w:val="18"/>
          <w:color w:val="auto"/>
        </w:rPr>
        <w:t>; and (ii) any Loan Party (other than NerdWallet) may Dispose of any or all of its assets (including upon voluntary liquidation, dissolution or otherwise)</w:t>
      </w:r>
    </w:p>
    <w:p>
      <w:pPr>
        <w:ind w:left="340" w:hanging="332"/>
        <w:spacing w:after="0"/>
        <w:tabs>
          <w:tab w:leader="none" w:pos="340" w:val="left"/>
        </w:tabs>
        <w:numPr>
          <w:ilvl w:val="0"/>
          <w:numId w:val="441"/>
        </w:numPr>
        <w:rPr>
          <w:rFonts w:ascii="Arial" w:cs="Arial" w:eastAsia="Arial" w:hAnsi="Arial"/>
          <w:sz w:val="20"/>
          <w:szCs w:val="20"/>
          <w:color w:val="auto"/>
        </w:rPr>
      </w:pPr>
      <w:r>
        <w:rPr>
          <w:rFonts w:ascii="Arial" w:cs="Arial" w:eastAsia="Arial" w:hAnsi="Arial"/>
          <w:sz w:val="20"/>
          <w:szCs w:val="20"/>
          <w:color w:val="auto"/>
        </w:rPr>
        <w:t xml:space="preserve">to any other Loan Party or (B) pursuant to a Disposition permitted by </w:t>
      </w:r>
      <w:r>
        <w:rPr>
          <w:rFonts w:ascii="Arial" w:cs="Arial" w:eastAsia="Arial" w:hAnsi="Arial"/>
          <w:sz w:val="20"/>
          <w:szCs w:val="20"/>
          <w:u w:val="single" w:color="auto"/>
          <w:color w:val="auto"/>
        </w:rPr>
        <w:t>Section 7.5</w:t>
      </w:r>
      <w:r>
        <w:rPr>
          <w:rFonts w:ascii="Arial" w:cs="Arial" w:eastAsia="Arial" w:hAnsi="Arial"/>
          <w:sz w:val="20"/>
          <w:szCs w:val="20"/>
          <w:color w:val="auto"/>
        </w:rPr>
        <w:t>;</w:t>
      </w:r>
    </w:p>
    <w:p>
      <w:pPr>
        <w:spacing w:after="0" w:line="145" w:lineRule="exact"/>
        <w:rPr>
          <w:rFonts w:ascii="Arial" w:cs="Arial" w:eastAsia="Arial" w:hAnsi="Arial"/>
          <w:sz w:val="20"/>
          <w:szCs w:val="20"/>
          <w:color w:val="auto"/>
        </w:rPr>
      </w:pPr>
    </w:p>
    <w:p>
      <w:pPr>
        <w:ind w:left="1720" w:hanging="416"/>
        <w:spacing w:after="0"/>
        <w:tabs>
          <w:tab w:leader="none" w:pos="1720" w:val="left"/>
        </w:tabs>
        <w:numPr>
          <w:ilvl w:val="1"/>
          <w:numId w:val="441"/>
        </w:numPr>
        <w:rPr>
          <w:rFonts w:ascii="Arial" w:cs="Arial" w:eastAsia="Arial" w:hAnsi="Arial"/>
          <w:sz w:val="18"/>
          <w:szCs w:val="18"/>
          <w:color w:val="auto"/>
        </w:rPr>
      </w:pPr>
      <w:r>
        <w:rPr>
          <w:rFonts w:ascii="Arial" w:cs="Arial" w:eastAsia="Arial" w:hAnsi="Arial"/>
          <w:sz w:val="18"/>
          <w:szCs w:val="18"/>
          <w:color w:val="auto"/>
        </w:rPr>
        <w:t xml:space="preserve">any Investment expressly permitted by </w:t>
      </w:r>
      <w:r>
        <w:rPr>
          <w:rFonts w:ascii="Arial" w:cs="Arial" w:eastAsia="Arial" w:hAnsi="Arial"/>
          <w:sz w:val="18"/>
          <w:szCs w:val="18"/>
          <w:u w:val="single" w:color="auto"/>
          <w:color w:val="auto"/>
        </w:rPr>
        <w:t>Section 7.8</w:t>
      </w:r>
      <w:r>
        <w:rPr>
          <w:rFonts w:ascii="Arial" w:cs="Arial" w:eastAsia="Arial" w:hAnsi="Arial"/>
          <w:sz w:val="18"/>
          <w:szCs w:val="18"/>
          <w:color w:val="auto"/>
        </w:rPr>
        <w:t xml:space="preserve"> may be structured as a merger, consolidation or amalgamation; and</w:t>
      </w:r>
    </w:p>
    <w:p>
      <w:pPr>
        <w:spacing w:after="0" w:line="184" w:lineRule="exact"/>
        <w:rPr>
          <w:rFonts w:ascii="Arial" w:cs="Arial" w:eastAsia="Arial" w:hAnsi="Arial"/>
          <w:sz w:val="18"/>
          <w:szCs w:val="18"/>
          <w:color w:val="auto"/>
        </w:rPr>
      </w:pPr>
    </w:p>
    <w:p>
      <w:pPr>
        <w:ind w:right="20" w:firstLine="1304"/>
        <w:spacing w:after="0" w:line="316" w:lineRule="auto"/>
        <w:tabs>
          <w:tab w:leader="none" w:pos="1768" w:val="left"/>
        </w:tabs>
        <w:numPr>
          <w:ilvl w:val="1"/>
          <w:numId w:val="441"/>
        </w:numPr>
        <w:rPr>
          <w:rFonts w:ascii="Arial" w:cs="Arial" w:eastAsia="Arial" w:hAnsi="Arial"/>
          <w:sz w:val="18"/>
          <w:szCs w:val="18"/>
          <w:color w:val="auto"/>
        </w:rPr>
      </w:pPr>
      <w:r>
        <w:rPr>
          <w:rFonts w:ascii="Arial" w:cs="Arial" w:eastAsia="Arial" w:hAnsi="Arial"/>
          <w:sz w:val="18"/>
          <w:szCs w:val="18"/>
          <w:color w:val="auto"/>
        </w:rPr>
        <w:t>any Subsidiary that is a limited liability company may consummate a Division as the dividing Person if, immediately upon the consummation of the Division, the assets of the applicable dividing Person are held by one or more Guarantors.</w:t>
      </w:r>
    </w:p>
    <w:p>
      <w:pPr>
        <w:spacing w:after="0" w:line="7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7.5</w:t>
      </w:r>
      <w:r>
        <w:rPr>
          <w:sz w:val="20"/>
          <w:szCs w:val="20"/>
          <w:color w:val="auto"/>
        </w:rPr>
        <w:tab/>
      </w:r>
      <w:r>
        <w:rPr>
          <w:rFonts w:ascii="Arial" w:cs="Arial" w:eastAsia="Arial" w:hAnsi="Arial"/>
          <w:sz w:val="18"/>
          <w:szCs w:val="18"/>
          <w:b w:val="1"/>
          <w:bCs w:val="1"/>
          <w:color w:val="auto"/>
        </w:rPr>
        <w:t>Disposition of Property</w:t>
      </w:r>
      <w:r>
        <w:rPr>
          <w:rFonts w:ascii="Arial" w:cs="Arial" w:eastAsia="Arial" w:hAnsi="Arial"/>
          <w:sz w:val="18"/>
          <w:szCs w:val="18"/>
          <w:color w:val="auto"/>
        </w:rPr>
        <w:t>. Dispose of any of its property, whether now owned or hereafter acquired, or, in the case of any</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Subsidiary of the Borrower, issue or sell any shares of such Subsidiary’s Capital Stock to any Person, except:</w:t>
      </w:r>
    </w:p>
    <w:p>
      <w:pPr>
        <w:spacing w:after="0" w:line="146" w:lineRule="exact"/>
        <w:rPr>
          <w:sz w:val="20"/>
          <w:szCs w:val="20"/>
          <w:color w:val="auto"/>
        </w:rPr>
      </w:pPr>
    </w:p>
    <w:p>
      <w:pPr>
        <w:ind w:left="1720" w:hanging="416"/>
        <w:spacing w:after="0"/>
        <w:tabs>
          <w:tab w:leader="none" w:pos="1720" w:val="left"/>
        </w:tabs>
        <w:numPr>
          <w:ilvl w:val="0"/>
          <w:numId w:val="442"/>
        </w:numPr>
        <w:rPr>
          <w:rFonts w:ascii="Arial" w:cs="Arial" w:eastAsia="Arial" w:hAnsi="Arial"/>
          <w:sz w:val="20"/>
          <w:szCs w:val="20"/>
          <w:color w:val="auto"/>
        </w:rPr>
      </w:pPr>
      <w:r>
        <w:rPr>
          <w:rFonts w:ascii="Arial" w:cs="Arial" w:eastAsia="Arial" w:hAnsi="Arial"/>
          <w:sz w:val="20"/>
          <w:szCs w:val="20"/>
          <w:color w:val="auto"/>
        </w:rPr>
        <w:t>Dispositions of obsolete, worn out or surplus property in the ordinary course of business;</w:t>
      </w:r>
    </w:p>
    <w:p>
      <w:pPr>
        <w:spacing w:after="0" w:line="161" w:lineRule="exact"/>
        <w:rPr>
          <w:rFonts w:ascii="Arial" w:cs="Arial" w:eastAsia="Arial" w:hAnsi="Arial"/>
          <w:sz w:val="20"/>
          <w:szCs w:val="20"/>
          <w:color w:val="auto"/>
        </w:rPr>
      </w:pPr>
    </w:p>
    <w:p>
      <w:pPr>
        <w:ind w:left="1740" w:hanging="436"/>
        <w:spacing w:after="0"/>
        <w:tabs>
          <w:tab w:leader="none" w:pos="1740" w:val="left"/>
        </w:tabs>
        <w:numPr>
          <w:ilvl w:val="0"/>
          <w:numId w:val="442"/>
        </w:numPr>
        <w:rPr>
          <w:rFonts w:ascii="Arial" w:cs="Arial" w:eastAsia="Arial" w:hAnsi="Arial"/>
          <w:sz w:val="20"/>
          <w:szCs w:val="20"/>
          <w:color w:val="auto"/>
        </w:rPr>
      </w:pPr>
      <w:r>
        <w:rPr>
          <w:rFonts w:ascii="Arial" w:cs="Arial" w:eastAsia="Arial" w:hAnsi="Arial"/>
          <w:sz w:val="20"/>
          <w:szCs w:val="20"/>
          <w:color w:val="auto"/>
        </w:rPr>
        <w:t>Dispositions of Inventory in the ordinary course of business;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94</w:t>
      </w:r>
    </w:p>
    <w:p>
      <w:pPr>
        <w:sectPr>
          <w:pgSz w:w="11900" w:h="16838" w:orient="portrait"/>
          <w:cols w:equalWidth="0" w:num="1">
            <w:col w:w="11240"/>
          </w:cols>
          <w:pgMar w:left="320" w:top="770" w:right="339" w:bottom="1440" w:gutter="0" w:footer="0" w:header="0"/>
        </w:sectPr>
      </w:pPr>
    </w:p>
    <w:bookmarkStart w:id="481" w:name="page482"/>
    <w:bookmarkEnd w:id="481"/>
    <w:p>
      <w:pPr>
        <w:ind w:left="1720" w:hanging="416"/>
        <w:spacing w:after="0"/>
        <w:tabs>
          <w:tab w:leader="none" w:pos="1720" w:val="left"/>
        </w:tabs>
        <w:numPr>
          <w:ilvl w:val="1"/>
          <w:numId w:val="443"/>
        </w:numPr>
        <w:rPr>
          <w:rFonts w:ascii="Arial" w:cs="Arial" w:eastAsia="Arial" w:hAnsi="Arial"/>
          <w:sz w:val="20"/>
          <w:szCs w:val="20"/>
          <w:color w:val="auto"/>
        </w:rPr>
      </w:pPr>
      <w:r>
        <w:rPr>
          <w:rFonts w:ascii="Arial" w:cs="Arial" w:eastAsia="Arial" w:hAnsi="Arial"/>
          <w:sz w:val="20"/>
          <w:szCs w:val="20"/>
          <w:color w:val="auto"/>
        </w:rPr>
        <w:t xml:space="preserve">Dispositions permitted by </w:t>
      </w:r>
      <w:r>
        <w:rPr>
          <w:rFonts w:ascii="Arial" w:cs="Arial" w:eastAsia="Arial" w:hAnsi="Arial"/>
          <w:sz w:val="20"/>
          <w:szCs w:val="20"/>
          <w:u w:val="single" w:color="auto"/>
          <w:color w:val="auto"/>
        </w:rPr>
        <w:t>Sections 7.4(b)(i)(A)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(b)(ii)(A)</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740" w:hanging="436"/>
        <w:spacing w:after="0"/>
        <w:tabs>
          <w:tab w:leader="none" w:pos="174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the sale or issuance of the Capital Stock of a Subsidiary of the Borrower (i) to the Borrower or any other Loan Party, or</w:t>
      </w:r>
    </w:p>
    <w:p>
      <w:pPr>
        <w:spacing w:after="0" w:line="38" w:lineRule="exact"/>
        <w:rPr>
          <w:rFonts w:ascii="Arial" w:cs="Arial" w:eastAsia="Arial" w:hAnsi="Arial"/>
          <w:sz w:val="18"/>
          <w:szCs w:val="18"/>
          <w:color w:val="auto"/>
        </w:rPr>
      </w:pPr>
    </w:p>
    <w:p>
      <w:pPr>
        <w:ind w:right="20" w:firstLine="8"/>
        <w:spacing w:after="0" w:line="244" w:lineRule="auto"/>
        <w:tabs>
          <w:tab w:leader="none" w:pos="294" w:val="left"/>
        </w:tabs>
        <w:numPr>
          <w:ilvl w:val="0"/>
          <w:numId w:val="444"/>
        </w:numPr>
        <w:rPr>
          <w:rFonts w:ascii="Arial" w:cs="Arial" w:eastAsia="Arial" w:hAnsi="Arial"/>
          <w:sz w:val="20"/>
          <w:szCs w:val="20"/>
          <w:color w:val="auto"/>
        </w:rPr>
      </w:pPr>
      <w:r>
        <w:rPr>
          <w:rFonts w:ascii="Arial" w:cs="Arial" w:eastAsia="Arial" w:hAnsi="Arial"/>
          <w:sz w:val="20"/>
          <w:szCs w:val="20"/>
          <w:color w:val="auto"/>
        </w:rPr>
        <w:t>by a Subsidiary that is not a Loan Party to another Subsidiary that is not a Loan Party or (iii) in connection with any transaction that does not result in a Change of Control;</w:t>
      </w:r>
    </w:p>
    <w:p>
      <w:pPr>
        <w:spacing w:after="0" w:line="137" w:lineRule="exact"/>
        <w:rPr>
          <w:rFonts w:ascii="Arial" w:cs="Arial" w:eastAsia="Arial" w:hAnsi="Arial"/>
          <w:sz w:val="20"/>
          <w:szCs w:val="20"/>
          <w:color w:val="auto"/>
        </w:rPr>
      </w:pPr>
    </w:p>
    <w:p>
      <w:pPr>
        <w:ind w:firstLine="1304"/>
        <w:spacing w:after="0" w:line="260" w:lineRule="auto"/>
        <w:tabs>
          <w:tab w:leader="none" w:pos="1718" w:val="left"/>
        </w:tabs>
        <w:numPr>
          <w:ilvl w:val="1"/>
          <w:numId w:val="444"/>
        </w:numPr>
        <w:rPr>
          <w:rFonts w:ascii="Arial" w:cs="Arial" w:eastAsia="Arial" w:hAnsi="Arial"/>
          <w:sz w:val="20"/>
          <w:szCs w:val="20"/>
          <w:color w:val="auto"/>
        </w:rPr>
      </w:pPr>
      <w:r>
        <w:rPr>
          <w:rFonts w:ascii="Arial" w:cs="Arial" w:eastAsia="Arial" w:hAnsi="Arial"/>
          <w:sz w:val="20"/>
          <w:szCs w:val="20"/>
          <w:color w:val="auto"/>
        </w:rPr>
        <w:t>the use or transfer of money, cash or Cash Equivalents in a manner that is not prohibited by the terms of this Agreement or the other Loan Documents;</w:t>
      </w:r>
    </w:p>
    <w:p>
      <w:pPr>
        <w:spacing w:after="0" w:line="122" w:lineRule="exact"/>
        <w:rPr>
          <w:rFonts w:ascii="Arial" w:cs="Arial" w:eastAsia="Arial" w:hAnsi="Arial"/>
          <w:sz w:val="20"/>
          <w:szCs w:val="20"/>
          <w:color w:val="auto"/>
        </w:rPr>
      </w:pPr>
    </w:p>
    <w:p>
      <w:pPr>
        <w:ind w:left="1780" w:hanging="476"/>
        <w:spacing w:after="0"/>
        <w:tabs>
          <w:tab w:leader="none" w:pos="1780" w:val="left"/>
        </w:tabs>
        <w:numPr>
          <w:ilvl w:val="1"/>
          <w:numId w:val="444"/>
        </w:numPr>
        <w:rPr>
          <w:rFonts w:ascii="Arial" w:cs="Arial" w:eastAsia="Arial" w:hAnsi="Arial"/>
          <w:sz w:val="18"/>
          <w:szCs w:val="18"/>
          <w:color w:val="auto"/>
        </w:rPr>
      </w:pPr>
      <w:r>
        <w:rPr>
          <w:rFonts w:ascii="Arial" w:cs="Arial" w:eastAsia="Arial" w:hAnsi="Arial"/>
          <w:sz w:val="18"/>
          <w:szCs w:val="18"/>
          <w:color w:val="auto"/>
        </w:rPr>
        <w:t>the non-exclusive licensing of patents, trademarks, copyrights, and other Intellectual Property rights in the ordinary</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course of business;</w:t>
      </w:r>
    </w:p>
    <w:p>
      <w:pPr>
        <w:spacing w:after="0" w:line="145" w:lineRule="exact"/>
        <w:rPr>
          <w:rFonts w:ascii="Arial" w:cs="Arial" w:eastAsia="Arial" w:hAnsi="Arial"/>
          <w:sz w:val="18"/>
          <w:szCs w:val="18"/>
          <w:color w:val="auto"/>
        </w:rPr>
      </w:pPr>
    </w:p>
    <w:p>
      <w:pPr>
        <w:jc w:val="both"/>
        <w:ind w:firstLine="1304"/>
        <w:spacing w:after="0" w:line="246" w:lineRule="auto"/>
        <w:tabs>
          <w:tab w:leader="none" w:pos="1729" w:val="left"/>
        </w:tabs>
        <w:numPr>
          <w:ilvl w:val="1"/>
          <w:numId w:val="444"/>
        </w:numPr>
        <w:rPr>
          <w:rFonts w:ascii="Arial" w:cs="Arial" w:eastAsia="Arial" w:hAnsi="Arial"/>
          <w:sz w:val="20"/>
          <w:szCs w:val="20"/>
          <w:color w:val="auto"/>
        </w:rPr>
      </w:pPr>
      <w:r>
        <w:rPr>
          <w:rFonts w:ascii="Arial" w:cs="Arial" w:eastAsia="Arial" w:hAnsi="Arial"/>
          <w:sz w:val="20"/>
          <w:szCs w:val="20"/>
          <w:color w:val="auto"/>
        </w:rPr>
        <w:t xml:space="preserve">the Disposition of property (i) from any Loan Party to any other Loan Party, and (ii) from any Group Member (which is not a Loan Party) to any other Group Member;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in each case in which there is a Lien over the relevant property in favor of the Administrative Agent in advance of the Disposition, an equivalent Lien will be granted to the Administrative Agent by the Group Member which acquires the property;</w:t>
      </w:r>
    </w:p>
    <w:p>
      <w:pPr>
        <w:spacing w:after="0" w:line="137" w:lineRule="exact"/>
        <w:rPr>
          <w:rFonts w:ascii="Arial" w:cs="Arial" w:eastAsia="Arial" w:hAnsi="Arial"/>
          <w:sz w:val="20"/>
          <w:szCs w:val="20"/>
          <w:color w:val="auto"/>
        </w:rPr>
      </w:pPr>
    </w:p>
    <w:p>
      <w:pPr>
        <w:ind w:left="1740" w:hanging="436"/>
        <w:spacing w:after="0"/>
        <w:tabs>
          <w:tab w:leader="none" w:pos="1740" w:val="left"/>
        </w:tabs>
        <w:numPr>
          <w:ilvl w:val="1"/>
          <w:numId w:val="444"/>
        </w:numPr>
        <w:rPr>
          <w:rFonts w:ascii="Arial" w:cs="Arial" w:eastAsia="Arial" w:hAnsi="Arial"/>
          <w:sz w:val="20"/>
          <w:szCs w:val="20"/>
          <w:color w:val="auto"/>
        </w:rPr>
      </w:pPr>
      <w:r>
        <w:rPr>
          <w:rFonts w:ascii="Arial" w:cs="Arial" w:eastAsia="Arial" w:hAnsi="Arial"/>
          <w:sz w:val="20"/>
          <w:szCs w:val="20"/>
          <w:color w:val="auto"/>
        </w:rPr>
        <w:t>Dispositions of property subject to a Casualty Event;</w:t>
      </w:r>
    </w:p>
    <w:p>
      <w:pPr>
        <w:spacing w:after="0" w:line="161" w:lineRule="exact"/>
        <w:rPr>
          <w:rFonts w:ascii="Arial" w:cs="Arial" w:eastAsia="Arial" w:hAnsi="Arial"/>
          <w:sz w:val="20"/>
          <w:szCs w:val="20"/>
          <w:color w:val="auto"/>
        </w:rPr>
      </w:pPr>
    </w:p>
    <w:p>
      <w:pPr>
        <w:ind w:left="1680" w:hanging="376"/>
        <w:spacing w:after="0"/>
        <w:tabs>
          <w:tab w:leader="none" w:pos="1680" w:val="left"/>
        </w:tabs>
        <w:numPr>
          <w:ilvl w:val="1"/>
          <w:numId w:val="444"/>
        </w:numPr>
        <w:rPr>
          <w:rFonts w:ascii="Arial" w:cs="Arial" w:eastAsia="Arial" w:hAnsi="Arial"/>
          <w:sz w:val="20"/>
          <w:szCs w:val="20"/>
          <w:color w:val="auto"/>
        </w:rPr>
      </w:pPr>
      <w:r>
        <w:rPr>
          <w:rFonts w:ascii="Arial" w:cs="Arial" w:eastAsia="Arial" w:hAnsi="Arial"/>
          <w:sz w:val="20"/>
          <w:szCs w:val="20"/>
          <w:color w:val="auto"/>
        </w:rPr>
        <w:t>leases or subleases of real property;</w:t>
      </w:r>
    </w:p>
    <w:p>
      <w:pPr>
        <w:spacing w:after="0" w:line="161" w:lineRule="exact"/>
        <w:rPr>
          <w:rFonts w:ascii="Arial" w:cs="Arial" w:eastAsia="Arial" w:hAnsi="Arial"/>
          <w:sz w:val="20"/>
          <w:szCs w:val="20"/>
          <w:color w:val="auto"/>
        </w:rPr>
      </w:pPr>
    </w:p>
    <w:p>
      <w:pPr>
        <w:ind w:firstLine="1304"/>
        <w:spacing w:after="0" w:line="260" w:lineRule="auto"/>
        <w:tabs>
          <w:tab w:leader="none" w:pos="1681" w:val="left"/>
        </w:tabs>
        <w:numPr>
          <w:ilvl w:val="1"/>
          <w:numId w:val="444"/>
        </w:numPr>
        <w:rPr>
          <w:rFonts w:ascii="Arial" w:cs="Arial" w:eastAsia="Arial" w:hAnsi="Arial"/>
          <w:sz w:val="20"/>
          <w:szCs w:val="20"/>
          <w:color w:val="auto"/>
        </w:rPr>
      </w:pPr>
      <w:r>
        <w:rPr>
          <w:rFonts w:ascii="Arial" w:cs="Arial" w:eastAsia="Arial" w:hAnsi="Arial"/>
          <w:sz w:val="20"/>
          <w:szCs w:val="20"/>
          <w:color w:val="auto"/>
        </w:rPr>
        <w:t>the sale or discount without recourse of accounts receivable arising in the ordinary course of business in connection with the compromise or collection thereof;</w:t>
      </w:r>
    </w:p>
    <w:p>
      <w:pPr>
        <w:spacing w:after="0" w:line="122" w:lineRule="exact"/>
        <w:rPr>
          <w:rFonts w:ascii="Arial" w:cs="Arial" w:eastAsia="Arial" w:hAnsi="Arial"/>
          <w:sz w:val="20"/>
          <w:szCs w:val="20"/>
          <w:color w:val="auto"/>
        </w:rPr>
      </w:pPr>
    </w:p>
    <w:p>
      <w:pPr>
        <w:jc w:val="both"/>
        <w:ind w:firstLine="1304"/>
        <w:spacing w:after="0" w:line="250" w:lineRule="auto"/>
        <w:tabs>
          <w:tab w:leader="none" w:pos="1737" w:val="left"/>
        </w:tabs>
        <w:numPr>
          <w:ilvl w:val="1"/>
          <w:numId w:val="444"/>
        </w:numPr>
        <w:rPr>
          <w:rFonts w:ascii="Arial" w:cs="Arial" w:eastAsia="Arial" w:hAnsi="Arial"/>
          <w:sz w:val="20"/>
          <w:szCs w:val="20"/>
          <w:color w:val="auto"/>
        </w:rPr>
      </w:pPr>
      <w:r>
        <w:rPr>
          <w:rFonts w:ascii="Arial" w:cs="Arial" w:eastAsia="Arial" w:hAnsi="Arial"/>
          <w:sz w:val="20"/>
          <w:szCs w:val="20"/>
          <w:color w:val="auto"/>
        </w:rPr>
        <w:t>any abandonment, cancellation, non-renewal or discontinuance of use or maintenance of Intellectual Property (or rights relating thereto) of any Group Member that the Borrower determines in good faith is desirable in the conduct of its business and not materially disadvantageous to the interests of the Lenders;</w:t>
      </w:r>
    </w:p>
    <w:p>
      <w:pPr>
        <w:spacing w:after="0" w:line="131" w:lineRule="exact"/>
        <w:rPr>
          <w:rFonts w:ascii="Arial" w:cs="Arial" w:eastAsia="Arial" w:hAnsi="Arial"/>
          <w:sz w:val="20"/>
          <w:szCs w:val="20"/>
          <w:color w:val="auto"/>
        </w:rPr>
      </w:pPr>
    </w:p>
    <w:p>
      <w:pPr>
        <w:jc w:val="both"/>
        <w:ind w:firstLine="1304"/>
        <w:spacing w:after="0" w:line="250" w:lineRule="auto"/>
        <w:tabs>
          <w:tab w:leader="none" w:pos="1716" w:val="left"/>
        </w:tabs>
        <w:numPr>
          <w:ilvl w:val="1"/>
          <w:numId w:val="444"/>
        </w:numPr>
        <w:rPr>
          <w:rFonts w:ascii="Arial" w:cs="Arial" w:eastAsia="Arial" w:hAnsi="Arial"/>
          <w:sz w:val="20"/>
          <w:szCs w:val="20"/>
          <w:color w:val="auto"/>
        </w:rPr>
      </w:pPr>
      <w:r>
        <w:rPr>
          <w:rFonts w:ascii="Arial" w:cs="Arial" w:eastAsia="Arial" w:hAnsi="Arial"/>
          <w:sz w:val="20"/>
          <w:szCs w:val="20"/>
          <w:color w:val="auto"/>
        </w:rPr>
        <w:t xml:space="preserve">Dispositions of other property having a fair market value not to exceed $1,000,000 in the aggregate for any fiscal year of the Borrower,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at the time of any such Disposition, no Event of Default shall have occurred and be continuing or would result from such Disposition; and</w:t>
      </w:r>
    </w:p>
    <w:p>
      <w:pPr>
        <w:spacing w:after="0" w:line="131" w:lineRule="exact"/>
        <w:rPr>
          <w:rFonts w:ascii="Arial" w:cs="Arial" w:eastAsia="Arial" w:hAnsi="Arial"/>
          <w:sz w:val="20"/>
          <w:szCs w:val="20"/>
          <w:color w:val="auto"/>
        </w:rPr>
      </w:pPr>
    </w:p>
    <w:p>
      <w:pPr>
        <w:ind w:left="1840" w:hanging="536"/>
        <w:spacing w:after="0"/>
        <w:tabs>
          <w:tab w:leader="none" w:pos="1840" w:val="left"/>
        </w:tabs>
        <w:numPr>
          <w:ilvl w:val="1"/>
          <w:numId w:val="444"/>
        </w:numPr>
        <w:rPr>
          <w:rFonts w:ascii="Arial" w:cs="Arial" w:eastAsia="Arial" w:hAnsi="Arial"/>
          <w:sz w:val="18"/>
          <w:szCs w:val="18"/>
          <w:color w:val="auto"/>
        </w:rPr>
      </w:pPr>
      <w:r>
        <w:rPr>
          <w:rFonts w:ascii="Arial" w:cs="Arial" w:eastAsia="Arial" w:hAnsi="Arial"/>
          <w:sz w:val="18"/>
          <w:szCs w:val="18"/>
          <w:color w:val="auto"/>
        </w:rPr>
        <w:t xml:space="preserve">Restricted Payments permitted by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Investments permitted by </w:t>
      </w:r>
      <w:r>
        <w:rPr>
          <w:rFonts w:ascii="Arial" w:cs="Arial" w:eastAsia="Arial" w:hAnsi="Arial"/>
          <w:sz w:val="18"/>
          <w:szCs w:val="18"/>
          <w:u w:val="single" w:color="auto"/>
          <w:color w:val="auto"/>
        </w:rPr>
        <w:t>Section 7.8</w:t>
      </w:r>
      <w:r>
        <w:rPr>
          <w:rFonts w:ascii="Arial" w:cs="Arial" w:eastAsia="Arial" w:hAnsi="Arial"/>
          <w:sz w:val="18"/>
          <w:szCs w:val="18"/>
          <w:color w:val="auto"/>
        </w:rPr>
        <w:t xml:space="preserve"> and Liens permitted by </w:t>
      </w:r>
      <w:r>
        <w:rPr>
          <w:rFonts w:ascii="Arial" w:cs="Arial" w:eastAsia="Arial" w:hAnsi="Arial"/>
          <w:sz w:val="18"/>
          <w:szCs w:val="18"/>
          <w:u w:val="single" w:color="auto"/>
          <w:color w:val="auto"/>
        </w:rPr>
        <w:t>Section</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u w:val="single" w:color="auto"/>
          <w:color w:val="auto"/>
        </w:rPr>
        <w:t>7.3</w:t>
      </w:r>
      <w:r>
        <w:rPr>
          <w:rFonts w:ascii="Arial" w:cs="Arial" w:eastAsia="Arial" w:hAnsi="Arial"/>
          <w:sz w:val="20"/>
          <w:szCs w:val="20"/>
          <w:color w:val="auto"/>
        </w:rPr>
        <w: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i w:val="1"/>
          <w:iCs w:val="1"/>
          <w:color w:val="auto"/>
        </w:rPr>
        <w:t>,</w:t>
      </w:r>
      <w:r>
        <w:rPr>
          <w:rFonts w:ascii="Arial" w:cs="Arial" w:eastAsia="Arial" w:hAnsi="Arial"/>
          <w:sz w:val="18"/>
          <w:szCs w:val="18"/>
          <w:color w:val="auto"/>
        </w:rPr>
        <w:t xml:space="preserve"> that any Disposition made pursuant to this </w:t>
      </w:r>
      <w:r>
        <w:rPr>
          <w:rFonts w:ascii="Arial" w:cs="Arial" w:eastAsia="Arial" w:hAnsi="Arial"/>
          <w:sz w:val="18"/>
          <w:szCs w:val="18"/>
          <w:u w:val="single" w:color="auto"/>
          <w:color w:val="auto"/>
        </w:rPr>
        <w:t>Section 7.5</w:t>
      </w:r>
      <w:r>
        <w:rPr>
          <w:rFonts w:ascii="Arial" w:cs="Arial" w:eastAsia="Arial" w:hAnsi="Arial"/>
          <w:sz w:val="18"/>
          <w:szCs w:val="18"/>
          <w:color w:val="auto"/>
        </w:rPr>
        <w:t xml:space="preserve"> (other than Dispositions (x) solely between Loan Parties,</w:t>
      </w:r>
    </w:p>
    <w:p>
      <w:pPr>
        <w:spacing w:after="0" w:line="39" w:lineRule="exact"/>
        <w:rPr>
          <w:sz w:val="20"/>
          <w:szCs w:val="20"/>
          <w:color w:val="auto"/>
        </w:rPr>
      </w:pPr>
    </w:p>
    <w:p>
      <w:pPr>
        <w:jc w:val="both"/>
        <w:ind w:right="20" w:firstLine="8"/>
        <w:spacing w:after="0" w:line="241" w:lineRule="auto"/>
        <w:tabs>
          <w:tab w:leader="none" w:pos="280" w:val="left"/>
        </w:tabs>
        <w:numPr>
          <w:ilvl w:val="0"/>
          <w:numId w:val="445"/>
        </w:numPr>
        <w:rPr>
          <w:rFonts w:ascii="Arial" w:cs="Arial" w:eastAsia="Arial" w:hAnsi="Arial"/>
          <w:sz w:val="20"/>
          <w:szCs w:val="20"/>
          <w:color w:val="auto"/>
        </w:rPr>
      </w:pPr>
      <w:r>
        <w:rPr>
          <w:rFonts w:ascii="Arial" w:cs="Arial" w:eastAsia="Arial" w:hAnsi="Arial"/>
          <w:sz w:val="20"/>
          <w:szCs w:val="20"/>
          <w:color w:val="auto"/>
        </w:rPr>
        <w:t>Dispositions solely between Group Members that are not Loan Parties or (z) Dispositions between a Loan Party and a Group Member that is not a Loan Party in which the terms thereof in favor of a Loan Party are at least arm’s length terms) shall be made in good faith on an arm’s length basis for fair value.</w:t>
      </w:r>
    </w:p>
    <w:p>
      <w:pPr>
        <w:spacing w:after="0" w:line="13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b w:val="1"/>
          <w:bCs w:val="1"/>
          <w:color w:val="auto"/>
        </w:rPr>
        <w:t>7.6 Restricted Payments</w:t>
      </w:r>
      <w:r>
        <w:rPr>
          <w:rFonts w:ascii="Arial" w:cs="Arial" w:eastAsia="Arial" w:hAnsi="Arial"/>
          <w:sz w:val="20"/>
          <w:szCs w:val="20"/>
          <w:color w:val="auto"/>
        </w:rPr>
        <w:t>. Make any payment or prepayment of principal of, premium, if any, or interest on, or redemption,</w:t>
      </w:r>
      <w:r>
        <w:rPr>
          <w:rFonts w:ascii="Arial" w:cs="Arial" w:eastAsia="Arial" w:hAnsi="Arial"/>
          <w:sz w:val="20"/>
          <w:szCs w:val="20"/>
          <w:b w:val="1"/>
          <w:bCs w:val="1"/>
          <w:color w:val="auto"/>
        </w:rPr>
        <w:t xml:space="preserve"> </w:t>
      </w:r>
      <w:r>
        <w:rPr>
          <w:rFonts w:ascii="Arial" w:cs="Arial" w:eastAsia="Arial" w:hAnsi="Arial"/>
          <w:sz w:val="20"/>
          <w:szCs w:val="20"/>
          <w:color w:val="auto"/>
        </w:rPr>
        <w:t>purchase, retirement, defeasance (including in-substance or legal defeasance), sinking fund or similar payment with respect to, any Subordinated Indebtedness, pay any earn-out payment, seller debt or deferred purchase price payments, declare or pay any dividend on, or make any payment on account of, or set apart assets for a sinking or other analogous fund for, the purchase, redemption, defeasance, retirement or other acquisition of, any Capital Stock of any Group Member, whether now or hereafter outstanding, or make any other distribution in respect thereof, either directly or indirectly, whether in cash or property or in obligations of any Group Member (collectively, “</w:t>
      </w:r>
      <w:r>
        <w:rPr>
          <w:rFonts w:ascii="Arial" w:cs="Arial" w:eastAsia="Arial" w:hAnsi="Arial"/>
          <w:sz w:val="20"/>
          <w:szCs w:val="20"/>
          <w:b w:val="1"/>
          <w:bCs w:val="1"/>
          <w:i w:val="1"/>
          <w:iCs w:val="1"/>
          <w:color w:val="auto"/>
        </w:rPr>
        <w:t>Restricted Payments</w:t>
      </w:r>
      <w:r>
        <w:rPr>
          <w:rFonts w:ascii="Arial" w:cs="Arial" w:eastAsia="Arial" w:hAnsi="Arial"/>
          <w:sz w:val="20"/>
          <w:szCs w:val="20"/>
          <w:color w:val="auto"/>
        </w:rPr>
        <w:t>”), except that, so long as no Event of Default shall have occurred and be continuing at the time of any action described below or would result therefrom;</w:t>
      </w:r>
    </w:p>
    <w:p>
      <w:pPr>
        <w:spacing w:after="0" w:line="141" w:lineRule="exact"/>
        <w:rPr>
          <w:sz w:val="20"/>
          <w:szCs w:val="20"/>
          <w:color w:val="auto"/>
        </w:rPr>
      </w:pPr>
    </w:p>
    <w:p>
      <w:pPr>
        <w:ind w:firstLine="1304"/>
        <w:spacing w:after="0" w:line="260" w:lineRule="auto"/>
        <w:tabs>
          <w:tab w:leader="none" w:pos="1734" w:val="left"/>
        </w:tabs>
        <w:numPr>
          <w:ilvl w:val="0"/>
          <w:numId w:val="446"/>
        </w:numPr>
        <w:rPr>
          <w:rFonts w:ascii="Arial" w:cs="Arial" w:eastAsia="Arial" w:hAnsi="Arial"/>
          <w:sz w:val="20"/>
          <w:szCs w:val="20"/>
          <w:color w:val="auto"/>
        </w:rPr>
      </w:pPr>
      <w:r>
        <w:rPr>
          <w:rFonts w:ascii="Arial" w:cs="Arial" w:eastAsia="Arial" w:hAnsi="Arial"/>
          <w:sz w:val="20"/>
          <w:szCs w:val="20"/>
          <w:color w:val="auto"/>
        </w:rPr>
        <w:t>any Group Member may make Restricted Payments to any Loan Party and any Group Member that is not a Loan Party may make Restricted Payments to any other Group Member;</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95</w:t>
      </w:r>
    </w:p>
    <w:p>
      <w:pPr>
        <w:sectPr>
          <w:pgSz w:w="11900" w:h="16838" w:orient="portrait"/>
          <w:cols w:equalWidth="0" w:num="1">
            <w:col w:w="11240"/>
          </w:cols>
          <w:pgMar w:left="320" w:top="770" w:right="339" w:bottom="1440" w:gutter="0" w:footer="0" w:header="0"/>
        </w:sectPr>
      </w:pPr>
    </w:p>
    <w:bookmarkStart w:id="482" w:name="page483"/>
    <w:bookmarkEnd w:id="482"/>
    <w:p>
      <w:pPr>
        <w:jc w:val="both"/>
        <w:ind w:firstLine="1304"/>
        <w:spacing w:after="0" w:line="250" w:lineRule="auto"/>
        <w:tabs>
          <w:tab w:leader="none" w:pos="1799" w:val="left"/>
        </w:tabs>
        <w:numPr>
          <w:ilvl w:val="0"/>
          <w:numId w:val="447"/>
        </w:numPr>
        <w:rPr>
          <w:rFonts w:ascii="Arial" w:cs="Arial" w:eastAsia="Arial" w:hAnsi="Arial"/>
          <w:sz w:val="20"/>
          <w:szCs w:val="20"/>
          <w:color w:val="auto"/>
        </w:rPr>
      </w:pPr>
      <w:r>
        <w:rPr>
          <w:rFonts w:ascii="Arial" w:cs="Arial" w:eastAsia="Arial" w:hAnsi="Arial"/>
          <w:sz w:val="20"/>
          <w:szCs w:val="20"/>
          <w:color w:val="auto"/>
        </w:rPr>
        <w:t xml:space="preserve">each Loan Party may purchase Capital Stock from present or former officers, directors or employees, of any Group Member;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the aggregate amount of payments made under this clause (b) shall not exceed $2,500,000 during any fiscal year of the Borrower;</w:t>
      </w:r>
    </w:p>
    <w:p>
      <w:pPr>
        <w:spacing w:after="0" w:line="131" w:lineRule="exact"/>
        <w:rPr>
          <w:rFonts w:ascii="Arial" w:cs="Arial" w:eastAsia="Arial" w:hAnsi="Arial"/>
          <w:sz w:val="20"/>
          <w:szCs w:val="20"/>
          <w:color w:val="auto"/>
        </w:rPr>
      </w:pPr>
    </w:p>
    <w:p>
      <w:pPr>
        <w:jc w:val="both"/>
        <w:ind w:firstLine="1304"/>
        <w:spacing w:after="0" w:line="272" w:lineRule="auto"/>
        <w:tabs>
          <w:tab w:leader="none" w:pos="1832" w:val="left"/>
        </w:tabs>
        <w:numPr>
          <w:ilvl w:val="0"/>
          <w:numId w:val="447"/>
        </w:numPr>
        <w:rPr>
          <w:rFonts w:ascii="Arial" w:cs="Arial" w:eastAsia="Arial" w:hAnsi="Arial"/>
          <w:sz w:val="18"/>
          <w:szCs w:val="18"/>
          <w:color w:val="auto"/>
        </w:rPr>
      </w:pPr>
      <w:r>
        <w:rPr>
          <w:rFonts w:ascii="Arial" w:cs="Arial" w:eastAsia="Arial" w:hAnsi="Arial"/>
          <w:sz w:val="18"/>
          <w:szCs w:val="18"/>
          <w:color w:val="auto"/>
        </w:rPr>
        <w:t>each Loan Party may repurchase its Capital Stock and/or purchase Capital Stock from present or former officers, directors or employees, consultants, advisors, or other service providers of any Group Member (but excluding equity investment firms) (each a “</w:t>
      </w:r>
      <w:r>
        <w:rPr>
          <w:rFonts w:ascii="Arial" w:cs="Arial" w:eastAsia="Arial" w:hAnsi="Arial"/>
          <w:sz w:val="18"/>
          <w:szCs w:val="18"/>
          <w:b w:val="1"/>
          <w:bCs w:val="1"/>
          <w:color w:val="auto"/>
        </w:rPr>
        <w:t>Share Repurchase</w:t>
      </w:r>
      <w:r>
        <w:rPr>
          <w:rFonts w:ascii="Arial" w:cs="Arial" w:eastAsia="Arial" w:hAnsi="Arial"/>
          <w:sz w:val="18"/>
          <w:szCs w:val="18"/>
          <w:color w:val="auto"/>
        </w:rPr>
        <w:t xml:space="preserve">”) so long as (i) immediately after giving effect to any such Share Repurchase, the Borrower has an Adjusted Quick Ratio equal to or greater than 1.50:1.00, (ii) immediately after giving effect to any such Share Repurchase, the aggregate amount of the Borrower’s Qualified Cash is equal to or greater than $50,000,000, and (iii) immediately after giving effect to any such Share Repurchase, the Borrower is (A) in pro forma compliance with the Consolidated Adjusted EBITDA financial covenant contained in </w:t>
      </w:r>
      <w:r>
        <w:rPr>
          <w:rFonts w:ascii="Arial" w:cs="Arial" w:eastAsia="Arial" w:hAnsi="Arial"/>
          <w:sz w:val="18"/>
          <w:szCs w:val="18"/>
          <w:u w:val="single" w:color="auto"/>
          <w:color w:val="auto"/>
        </w:rPr>
        <w:t>Section 7.1(b)</w:t>
      </w:r>
      <w:r>
        <w:rPr>
          <w:rFonts w:ascii="Arial" w:cs="Arial" w:eastAsia="Arial" w:hAnsi="Arial"/>
          <w:sz w:val="18"/>
          <w:szCs w:val="18"/>
          <w:color w:val="auto"/>
        </w:rPr>
        <w:t xml:space="preserve"> as of the most recently ended fiscal quarter for which financial statements were required to be delivered, and (B) projected to be in compliance with the financial covenants contained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for the twelve (12) month period thereafter, in each case based on financial statements and projections delivered to the Administrative Agent which give effect, on a pro forma basis, to such Share Repurchase;</w:t>
      </w:r>
    </w:p>
    <w:p>
      <w:pPr>
        <w:spacing w:after="0" w:line="116" w:lineRule="exact"/>
        <w:rPr>
          <w:rFonts w:ascii="Arial" w:cs="Arial" w:eastAsia="Arial" w:hAnsi="Arial"/>
          <w:sz w:val="18"/>
          <w:szCs w:val="18"/>
          <w:color w:val="auto"/>
        </w:rPr>
      </w:pPr>
    </w:p>
    <w:p>
      <w:pPr>
        <w:jc w:val="both"/>
        <w:ind w:firstLine="1304"/>
        <w:spacing w:after="0" w:line="291" w:lineRule="auto"/>
        <w:tabs>
          <w:tab w:leader="none" w:pos="1857" w:val="left"/>
        </w:tabs>
        <w:numPr>
          <w:ilvl w:val="0"/>
          <w:numId w:val="447"/>
        </w:numPr>
        <w:rPr>
          <w:rFonts w:ascii="Arial" w:cs="Arial" w:eastAsia="Arial" w:hAnsi="Arial"/>
          <w:sz w:val="18"/>
          <w:szCs w:val="18"/>
          <w:color w:val="auto"/>
        </w:rPr>
      </w:pPr>
      <w:r>
        <w:rPr>
          <w:rFonts w:ascii="Arial" w:cs="Arial" w:eastAsia="Arial" w:hAnsi="Arial"/>
          <w:sz w:val="18"/>
          <w:szCs w:val="18"/>
          <w:color w:val="auto"/>
        </w:rPr>
        <w:t xml:space="preserve">the Group Members make payments in respect of any earn-out obligation, seller debt or deferred purchase price payments so long as immediately after giving effect to any such payment, the Borrower is in pro forma compliance with the financial covenants contained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as of the most recently ended fiscal quarter for which financial statements were required to be delivered;</w:t>
      </w:r>
    </w:p>
    <w:p>
      <w:pPr>
        <w:spacing w:after="0" w:line="97" w:lineRule="exact"/>
        <w:rPr>
          <w:rFonts w:ascii="Arial" w:cs="Arial" w:eastAsia="Arial" w:hAnsi="Arial"/>
          <w:sz w:val="18"/>
          <w:szCs w:val="18"/>
          <w:color w:val="auto"/>
        </w:rPr>
      </w:pPr>
    </w:p>
    <w:p>
      <w:pPr>
        <w:jc w:val="both"/>
        <w:ind w:firstLine="1304"/>
        <w:spacing w:after="0" w:line="244" w:lineRule="auto"/>
        <w:tabs>
          <w:tab w:leader="none" w:pos="1790" w:val="left"/>
        </w:tabs>
        <w:numPr>
          <w:ilvl w:val="0"/>
          <w:numId w:val="447"/>
        </w:numPr>
        <w:rPr>
          <w:rFonts w:ascii="Arial" w:cs="Arial" w:eastAsia="Arial" w:hAnsi="Arial"/>
          <w:sz w:val="20"/>
          <w:szCs w:val="20"/>
          <w:color w:val="auto"/>
        </w:rPr>
      </w:pPr>
      <w:r>
        <w:rPr>
          <w:rFonts w:ascii="Arial" w:cs="Arial" w:eastAsia="Arial" w:hAnsi="Arial"/>
          <w:sz w:val="20"/>
          <w:szCs w:val="20"/>
          <w:color w:val="auto"/>
        </w:rPr>
        <w:t>(i) each Group Member may make repurchases of Capital Stock deemed to occur upon exercise of stock options or warrants if such repurchased Capital Stock represents a portion of the exercise price of such options or warrants, and (ii) each Group Member may make repurchases of Capital Stock deemed to occur upon the withholding of a portion of the Capital Stock issued, granted or awarded to a current or former officer, director, employee or consultant to pay for the taxes payable by such Person upon such issuance, grant or award (or upon vesting thereof);</w:t>
      </w:r>
    </w:p>
    <w:p>
      <w:pPr>
        <w:spacing w:after="0" w:line="140" w:lineRule="exact"/>
        <w:rPr>
          <w:rFonts w:ascii="Arial" w:cs="Arial" w:eastAsia="Arial" w:hAnsi="Arial"/>
          <w:sz w:val="20"/>
          <w:szCs w:val="20"/>
          <w:color w:val="auto"/>
        </w:rPr>
      </w:pPr>
    </w:p>
    <w:p>
      <w:pPr>
        <w:ind w:firstLine="1304"/>
        <w:spacing w:after="0" w:line="260" w:lineRule="auto"/>
        <w:tabs>
          <w:tab w:leader="none" w:pos="1733" w:val="left"/>
        </w:tabs>
        <w:numPr>
          <w:ilvl w:val="0"/>
          <w:numId w:val="447"/>
        </w:numPr>
        <w:rPr>
          <w:rFonts w:ascii="Arial" w:cs="Arial" w:eastAsia="Arial" w:hAnsi="Arial"/>
          <w:sz w:val="20"/>
          <w:szCs w:val="20"/>
          <w:color w:val="auto"/>
        </w:rPr>
      </w:pPr>
      <w:r>
        <w:rPr>
          <w:rFonts w:ascii="Arial" w:cs="Arial" w:eastAsia="Arial" w:hAnsi="Arial"/>
          <w:sz w:val="20"/>
          <w:szCs w:val="20"/>
          <w:color w:val="auto"/>
        </w:rPr>
        <w:t xml:space="preserve">any Group Member may make payments in respect of Subordinated Indebtedness solely to the extent such payment is made in accordance with </w:t>
      </w:r>
      <w:r>
        <w:rPr>
          <w:rFonts w:ascii="Arial" w:cs="Arial" w:eastAsia="Arial" w:hAnsi="Arial"/>
          <w:sz w:val="20"/>
          <w:szCs w:val="20"/>
          <w:u w:val="single" w:color="auto"/>
          <w:color w:val="auto"/>
        </w:rPr>
        <w:t>Section 7.22</w:t>
      </w:r>
      <w:r>
        <w:rPr>
          <w:rFonts w:ascii="Arial" w:cs="Arial" w:eastAsia="Arial" w:hAnsi="Arial"/>
          <w:sz w:val="20"/>
          <w:szCs w:val="20"/>
          <w:color w:val="auto"/>
        </w:rPr>
        <w:t>;</w:t>
      </w:r>
    </w:p>
    <w:p>
      <w:pPr>
        <w:spacing w:after="0" w:line="122" w:lineRule="exact"/>
        <w:rPr>
          <w:rFonts w:ascii="Arial" w:cs="Arial" w:eastAsia="Arial" w:hAnsi="Arial"/>
          <w:sz w:val="20"/>
          <w:szCs w:val="20"/>
          <w:color w:val="auto"/>
        </w:rPr>
      </w:pPr>
    </w:p>
    <w:p>
      <w:pPr>
        <w:jc w:val="both"/>
        <w:ind w:firstLine="1304"/>
        <w:spacing w:after="0" w:line="250" w:lineRule="auto"/>
        <w:tabs>
          <w:tab w:leader="none" w:pos="1789" w:val="left"/>
        </w:tabs>
        <w:numPr>
          <w:ilvl w:val="0"/>
          <w:numId w:val="447"/>
        </w:numPr>
        <w:rPr>
          <w:rFonts w:ascii="Arial" w:cs="Arial" w:eastAsia="Arial" w:hAnsi="Arial"/>
          <w:sz w:val="20"/>
          <w:szCs w:val="20"/>
          <w:color w:val="auto"/>
        </w:rPr>
      </w:pPr>
      <w:r>
        <w:rPr>
          <w:rFonts w:ascii="Arial" w:cs="Arial" w:eastAsia="Arial" w:hAnsi="Arial"/>
          <w:sz w:val="20"/>
          <w:szCs w:val="20"/>
          <w:color w:val="auto"/>
        </w:rPr>
        <w:t xml:space="preserve">each Group Member may purchase, redeem or otherwise acquire Capital Stock issued by it solely with the proceeds received from the substantially concurrent issue of new shares of its Capital Stock (other than Disqualified Stock);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any such issuance is otherwise permitted hereunder;</w:t>
      </w:r>
    </w:p>
    <w:p>
      <w:pPr>
        <w:spacing w:after="0" w:line="131" w:lineRule="exact"/>
        <w:rPr>
          <w:rFonts w:ascii="Arial" w:cs="Arial" w:eastAsia="Arial" w:hAnsi="Arial"/>
          <w:sz w:val="20"/>
          <w:szCs w:val="20"/>
          <w:color w:val="auto"/>
        </w:rPr>
      </w:pPr>
    </w:p>
    <w:p>
      <w:pPr>
        <w:ind w:firstLine="1304"/>
        <w:spacing w:after="0" w:line="260" w:lineRule="auto"/>
        <w:tabs>
          <w:tab w:leader="none" w:pos="1813" w:val="left"/>
        </w:tabs>
        <w:numPr>
          <w:ilvl w:val="0"/>
          <w:numId w:val="447"/>
        </w:numPr>
        <w:rPr>
          <w:rFonts w:ascii="Arial" w:cs="Arial" w:eastAsia="Arial" w:hAnsi="Arial"/>
          <w:sz w:val="20"/>
          <w:szCs w:val="20"/>
          <w:color w:val="auto"/>
        </w:rPr>
      </w:pPr>
      <w:r>
        <w:rPr>
          <w:rFonts w:ascii="Arial" w:cs="Arial" w:eastAsia="Arial" w:hAnsi="Arial"/>
          <w:sz w:val="20"/>
          <w:szCs w:val="20"/>
          <w:color w:val="auto"/>
        </w:rPr>
        <w:t xml:space="preserve">the Borrower may deliver its common Capital Stock upon conversion of any convertible Indebtedness having been issued by the Borrower;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such Indebtedness is otherwise permitted by </w:t>
      </w:r>
      <w:r>
        <w:rPr>
          <w:rFonts w:ascii="Arial" w:cs="Arial" w:eastAsia="Arial" w:hAnsi="Arial"/>
          <w:sz w:val="20"/>
          <w:szCs w:val="20"/>
          <w:u w:val="single" w:color="auto"/>
          <w:color w:val="auto"/>
        </w:rPr>
        <w:t>Section 7.2</w:t>
      </w:r>
      <w:r>
        <w:rPr>
          <w:rFonts w:ascii="Arial" w:cs="Arial" w:eastAsia="Arial" w:hAnsi="Arial"/>
          <w:sz w:val="20"/>
          <w:szCs w:val="20"/>
          <w:color w:val="auto"/>
        </w:rPr>
        <w:t>;</w:t>
      </w:r>
    </w:p>
    <w:p>
      <w:pPr>
        <w:spacing w:after="0" w:line="122" w:lineRule="exact"/>
        <w:rPr>
          <w:rFonts w:ascii="Arial" w:cs="Arial" w:eastAsia="Arial" w:hAnsi="Arial"/>
          <w:sz w:val="20"/>
          <w:szCs w:val="20"/>
          <w:color w:val="auto"/>
        </w:rPr>
      </w:pPr>
    </w:p>
    <w:p>
      <w:pPr>
        <w:ind w:firstLine="1304"/>
        <w:spacing w:after="0" w:line="260" w:lineRule="auto"/>
        <w:tabs>
          <w:tab w:leader="none" w:pos="1832" w:val="left"/>
        </w:tabs>
        <w:numPr>
          <w:ilvl w:val="0"/>
          <w:numId w:val="447"/>
        </w:numPr>
        <w:rPr>
          <w:rFonts w:ascii="Arial" w:cs="Arial" w:eastAsia="Arial" w:hAnsi="Arial"/>
          <w:sz w:val="20"/>
          <w:szCs w:val="20"/>
          <w:color w:val="auto"/>
        </w:rPr>
      </w:pPr>
      <w:r>
        <w:rPr>
          <w:rFonts w:ascii="Arial" w:cs="Arial" w:eastAsia="Arial" w:hAnsi="Arial"/>
          <w:sz w:val="20"/>
          <w:szCs w:val="20"/>
          <w:color w:val="auto"/>
        </w:rPr>
        <w:t>the Borrower may deliver its common Capital Stock in connection with the exercise of stock options, warrants, restricted stock units or other equity awards by way of cashless exercise;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96</w:t>
      </w:r>
    </w:p>
    <w:p>
      <w:pPr>
        <w:sectPr>
          <w:pgSz w:w="11900" w:h="16838" w:orient="portrait"/>
          <w:cols w:equalWidth="0" w:num="1">
            <w:col w:w="11240"/>
          </w:cols>
          <w:pgMar w:left="320" w:top="770" w:right="339" w:bottom="1440" w:gutter="0" w:footer="0" w:header="0"/>
        </w:sectPr>
      </w:pPr>
    </w:p>
    <w:bookmarkStart w:id="483" w:name="page484"/>
    <w:bookmarkEnd w:id="483"/>
    <w:p>
      <w:pPr>
        <w:jc w:val="both"/>
        <w:ind w:firstLine="1304"/>
        <w:spacing w:after="0" w:line="246" w:lineRule="auto"/>
        <w:tabs>
          <w:tab w:leader="none" w:pos="1953" w:val="left"/>
        </w:tabs>
        <w:numPr>
          <w:ilvl w:val="0"/>
          <w:numId w:val="448"/>
        </w:numPr>
        <w:rPr>
          <w:rFonts w:ascii="Arial" w:cs="Arial" w:eastAsia="Arial" w:hAnsi="Arial"/>
          <w:sz w:val="20"/>
          <w:szCs w:val="20"/>
          <w:color w:val="auto"/>
        </w:rPr>
      </w:pPr>
      <w:r>
        <w:rPr>
          <w:rFonts w:ascii="Arial" w:cs="Arial" w:eastAsia="Arial" w:hAnsi="Arial"/>
          <w:sz w:val="20"/>
          <w:szCs w:val="20"/>
          <w:color w:val="auto"/>
        </w:rPr>
        <w:t>NerdWallet may pay the Investor Indebtedness in full with the proceeds of a Qualified IPO substantially contemporaneously with the receipt of such proceeds so long as such Qualified IPO results in at least $50,000,000 of proceeds, net of any underwriting discount and commissions, to the Borrower, to the extent required by the applicable Investor Indebtedness and in accordance with the terms of the Investor Subordination Agreement;</w:t>
      </w:r>
    </w:p>
    <w:p>
      <w:pPr>
        <w:spacing w:after="0" w:line="137" w:lineRule="exact"/>
        <w:rPr>
          <w:rFonts w:ascii="Arial" w:cs="Arial" w:eastAsia="Arial" w:hAnsi="Arial"/>
          <w:sz w:val="20"/>
          <w:szCs w:val="20"/>
          <w:color w:val="auto"/>
        </w:rPr>
      </w:pPr>
    </w:p>
    <w:p>
      <w:pPr>
        <w:ind w:left="1740" w:hanging="436"/>
        <w:spacing w:after="0"/>
        <w:tabs>
          <w:tab w:leader="none" w:pos="174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the Borrower may make distributions or dividends consisting solely of its Capital Stock (other than Disqualified Stock);</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and</w:t>
      </w:r>
    </w:p>
    <w:p>
      <w:pPr>
        <w:spacing w:after="0" w:line="145" w:lineRule="exact"/>
        <w:rPr>
          <w:rFonts w:ascii="Arial" w:cs="Arial" w:eastAsia="Arial" w:hAnsi="Arial"/>
          <w:sz w:val="18"/>
          <w:szCs w:val="18"/>
          <w:color w:val="auto"/>
        </w:rPr>
      </w:pPr>
    </w:p>
    <w:p>
      <w:pPr>
        <w:ind w:firstLine="1304"/>
        <w:spacing w:after="0" w:line="260" w:lineRule="auto"/>
        <w:tabs>
          <w:tab w:leader="none" w:pos="1681" w:val="left"/>
        </w:tabs>
        <w:numPr>
          <w:ilvl w:val="0"/>
          <w:numId w:val="448"/>
        </w:numPr>
        <w:rPr>
          <w:rFonts w:ascii="Arial" w:cs="Arial" w:eastAsia="Arial" w:hAnsi="Arial"/>
          <w:sz w:val="20"/>
          <w:szCs w:val="20"/>
          <w:color w:val="auto"/>
        </w:rPr>
      </w:pPr>
      <w:r>
        <w:rPr>
          <w:rFonts w:ascii="Arial" w:cs="Arial" w:eastAsia="Arial" w:hAnsi="Arial"/>
          <w:sz w:val="20"/>
          <w:szCs w:val="20"/>
          <w:color w:val="auto"/>
        </w:rPr>
        <w:t>the Group Members may make other Restricted Payments in an aggregate amount not to exceed $2,500,000 in any fiscal year of the Borrower.</w:t>
      </w:r>
    </w:p>
    <w:p>
      <w:pPr>
        <w:spacing w:after="0" w:line="11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7.7</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16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7.8 Investments</w:t>
      </w:r>
      <w:r>
        <w:rPr>
          <w:rFonts w:ascii="Arial" w:cs="Arial" w:eastAsia="Arial" w:hAnsi="Arial"/>
          <w:sz w:val="20"/>
          <w:szCs w:val="20"/>
          <w:color w:val="auto"/>
        </w:rPr>
        <w:t>. Make any advance, loan, extension of credit (by way of guarantee or otherwise) or capital contribution to, or</w:t>
      </w:r>
      <w:r>
        <w:rPr>
          <w:rFonts w:ascii="Arial" w:cs="Arial" w:eastAsia="Arial" w:hAnsi="Arial"/>
          <w:sz w:val="20"/>
          <w:szCs w:val="20"/>
          <w:b w:val="1"/>
          <w:bCs w:val="1"/>
          <w:color w:val="auto"/>
        </w:rPr>
        <w:t xml:space="preserve"> </w:t>
      </w:r>
      <w:r>
        <w:rPr>
          <w:rFonts w:ascii="Arial" w:cs="Arial" w:eastAsia="Arial" w:hAnsi="Arial"/>
          <w:sz w:val="20"/>
          <w:szCs w:val="20"/>
          <w:color w:val="auto"/>
        </w:rPr>
        <w:t>purchase any Capital Stock, bonds, notes, debentures or other debt securities of, or any assets constituting a business unit of, or make any other investment in, any Person (all of the foregoing, “</w:t>
      </w:r>
      <w:r>
        <w:rPr>
          <w:rFonts w:ascii="Arial" w:cs="Arial" w:eastAsia="Arial" w:hAnsi="Arial"/>
          <w:sz w:val="20"/>
          <w:szCs w:val="20"/>
          <w:b w:val="1"/>
          <w:bCs w:val="1"/>
          <w:i w:val="1"/>
          <w:iCs w:val="1"/>
          <w:color w:val="auto"/>
        </w:rPr>
        <w:t>Investments</w:t>
      </w:r>
      <w:r>
        <w:rPr>
          <w:rFonts w:ascii="Arial" w:cs="Arial" w:eastAsia="Arial" w:hAnsi="Arial"/>
          <w:sz w:val="20"/>
          <w:szCs w:val="20"/>
          <w:color w:val="auto"/>
        </w:rPr>
        <w:t>”), except:</w:t>
      </w:r>
    </w:p>
    <w:p>
      <w:pPr>
        <w:spacing w:after="0" w:line="129" w:lineRule="exact"/>
        <w:rPr>
          <w:sz w:val="20"/>
          <w:szCs w:val="20"/>
          <w:color w:val="auto"/>
        </w:rPr>
      </w:pPr>
    </w:p>
    <w:p>
      <w:pPr>
        <w:ind w:left="1720" w:hanging="416"/>
        <w:spacing w:after="0"/>
        <w:tabs>
          <w:tab w:leader="none" w:pos="1720" w:val="left"/>
        </w:tabs>
        <w:numPr>
          <w:ilvl w:val="1"/>
          <w:numId w:val="449"/>
        </w:numPr>
        <w:rPr>
          <w:rFonts w:ascii="Arial" w:cs="Arial" w:eastAsia="Arial" w:hAnsi="Arial"/>
          <w:sz w:val="20"/>
          <w:szCs w:val="20"/>
          <w:color w:val="auto"/>
        </w:rPr>
      </w:pPr>
      <w:r>
        <w:rPr>
          <w:rFonts w:ascii="Arial" w:cs="Arial" w:eastAsia="Arial" w:hAnsi="Arial"/>
          <w:sz w:val="20"/>
          <w:szCs w:val="20"/>
          <w:color w:val="auto"/>
        </w:rPr>
        <w:t>extensions of trade credit in the ordinary course of business;</w:t>
      </w:r>
    </w:p>
    <w:p>
      <w:pPr>
        <w:spacing w:after="0" w:line="161" w:lineRule="exact"/>
        <w:rPr>
          <w:rFonts w:ascii="Arial" w:cs="Arial" w:eastAsia="Arial" w:hAnsi="Arial"/>
          <w:sz w:val="20"/>
          <w:szCs w:val="20"/>
          <w:color w:val="auto"/>
        </w:rPr>
      </w:pPr>
    </w:p>
    <w:p>
      <w:pPr>
        <w:ind w:left="1740" w:hanging="436"/>
        <w:spacing w:after="0"/>
        <w:tabs>
          <w:tab w:leader="none" w:pos="1740" w:val="left"/>
        </w:tabs>
        <w:numPr>
          <w:ilvl w:val="1"/>
          <w:numId w:val="449"/>
        </w:numPr>
        <w:rPr>
          <w:rFonts w:ascii="Arial" w:cs="Arial" w:eastAsia="Arial" w:hAnsi="Arial"/>
          <w:sz w:val="20"/>
          <w:szCs w:val="20"/>
          <w:color w:val="auto"/>
        </w:rPr>
      </w:pPr>
      <w:r>
        <w:rPr>
          <w:rFonts w:ascii="Arial" w:cs="Arial" w:eastAsia="Arial" w:hAnsi="Arial"/>
          <w:sz w:val="20"/>
          <w:szCs w:val="20"/>
          <w:color w:val="auto"/>
        </w:rPr>
        <w:t>Investments in cash and Cash Equivalents;</w:t>
      </w:r>
    </w:p>
    <w:p>
      <w:pPr>
        <w:spacing w:after="0" w:line="161" w:lineRule="exact"/>
        <w:rPr>
          <w:rFonts w:ascii="Arial" w:cs="Arial" w:eastAsia="Arial" w:hAnsi="Arial"/>
          <w:sz w:val="20"/>
          <w:szCs w:val="20"/>
          <w:color w:val="auto"/>
        </w:rPr>
      </w:pPr>
    </w:p>
    <w:p>
      <w:pPr>
        <w:ind w:firstLine="1304"/>
        <w:spacing w:after="0" w:line="260" w:lineRule="auto"/>
        <w:tabs>
          <w:tab w:leader="none" w:pos="1720" w:val="left"/>
        </w:tabs>
        <w:numPr>
          <w:ilvl w:val="1"/>
          <w:numId w:val="449"/>
        </w:numPr>
        <w:rPr>
          <w:rFonts w:ascii="Arial" w:cs="Arial" w:eastAsia="Arial" w:hAnsi="Arial"/>
          <w:sz w:val="20"/>
          <w:szCs w:val="20"/>
          <w:color w:val="auto"/>
        </w:rPr>
      </w:pPr>
      <w:r>
        <w:rPr>
          <w:rFonts w:ascii="Arial" w:cs="Arial" w:eastAsia="Arial" w:hAnsi="Arial"/>
          <w:sz w:val="20"/>
          <w:szCs w:val="20"/>
          <w:color w:val="auto"/>
        </w:rPr>
        <w:t xml:space="preserve">Guarantee Obligations permitted by </w:t>
      </w:r>
      <w:r>
        <w:rPr>
          <w:rFonts w:ascii="Arial" w:cs="Arial" w:eastAsia="Arial" w:hAnsi="Arial"/>
          <w:sz w:val="20"/>
          <w:szCs w:val="20"/>
          <w:u w:val="single" w:color="auto"/>
          <w:color w:val="auto"/>
        </w:rPr>
        <w:t>Section 7.2</w:t>
      </w:r>
      <w:r>
        <w:rPr>
          <w:rFonts w:ascii="Arial" w:cs="Arial" w:eastAsia="Arial" w:hAnsi="Arial"/>
          <w:sz w:val="20"/>
          <w:szCs w:val="20"/>
          <w:color w:val="auto"/>
        </w:rPr>
        <w:t xml:space="preserve"> and Guarantee Obligations of obligations not constituting Indebtedness in the ordinary course of business;</w:t>
      </w:r>
    </w:p>
    <w:p>
      <w:pPr>
        <w:spacing w:after="0" w:line="122" w:lineRule="exact"/>
        <w:rPr>
          <w:rFonts w:ascii="Arial" w:cs="Arial" w:eastAsia="Arial" w:hAnsi="Arial"/>
          <w:sz w:val="20"/>
          <w:szCs w:val="20"/>
          <w:color w:val="auto"/>
        </w:rPr>
      </w:pPr>
    </w:p>
    <w:p>
      <w:pPr>
        <w:jc w:val="both"/>
        <w:ind w:firstLine="1304"/>
        <w:spacing w:after="0" w:line="291" w:lineRule="auto"/>
        <w:tabs>
          <w:tab w:leader="none" w:pos="1749" w:val="left"/>
        </w:tabs>
        <w:numPr>
          <w:ilvl w:val="1"/>
          <w:numId w:val="449"/>
        </w:numPr>
        <w:rPr>
          <w:rFonts w:ascii="Arial" w:cs="Arial" w:eastAsia="Arial" w:hAnsi="Arial"/>
          <w:sz w:val="18"/>
          <w:szCs w:val="18"/>
          <w:color w:val="auto"/>
        </w:rPr>
      </w:pPr>
      <w:r>
        <w:rPr>
          <w:rFonts w:ascii="Arial" w:cs="Arial" w:eastAsia="Arial" w:hAnsi="Arial"/>
          <w:sz w:val="18"/>
          <w:szCs w:val="18"/>
          <w:color w:val="auto"/>
        </w:rPr>
        <w:t>Investments consisting of (i) travel advances and employee relocation loans and other employee loans and advances in the ordinary course of business, and (ii) loans to employees, officers or directors relating to the purchase of equity securities of the Group Members pursuant to employee stock purchase plans or agreements approved by the Borrower’s board of directors;</w:t>
      </w:r>
    </w:p>
    <w:p>
      <w:pPr>
        <w:spacing w:after="0" w:line="97" w:lineRule="exact"/>
        <w:rPr>
          <w:rFonts w:ascii="Arial" w:cs="Arial" w:eastAsia="Arial" w:hAnsi="Arial"/>
          <w:sz w:val="18"/>
          <w:szCs w:val="18"/>
          <w:color w:val="auto"/>
        </w:rPr>
      </w:pPr>
    </w:p>
    <w:p>
      <w:pPr>
        <w:ind w:left="1720" w:hanging="416"/>
        <w:spacing w:after="0"/>
        <w:tabs>
          <w:tab w:leader="none" w:pos="1720" w:val="left"/>
        </w:tabs>
        <w:numPr>
          <w:ilvl w:val="1"/>
          <w:numId w:val="449"/>
        </w:numPr>
        <w:rPr>
          <w:rFonts w:ascii="Arial" w:cs="Arial" w:eastAsia="Arial" w:hAnsi="Arial"/>
          <w:sz w:val="20"/>
          <w:szCs w:val="20"/>
          <w:color w:val="auto"/>
        </w:rPr>
      </w:pPr>
      <w:r>
        <w:rPr>
          <w:rFonts w:ascii="Arial" w:cs="Arial" w:eastAsia="Arial" w:hAnsi="Arial"/>
          <w:sz w:val="20"/>
          <w:szCs w:val="20"/>
          <w:color w:val="auto"/>
        </w:rPr>
        <w:t xml:space="preserve">Investments existing on the Closing Date and set forth on </w:t>
      </w:r>
      <w:r>
        <w:rPr>
          <w:rFonts w:ascii="Arial" w:cs="Arial" w:eastAsia="Arial" w:hAnsi="Arial"/>
          <w:sz w:val="20"/>
          <w:szCs w:val="20"/>
          <w:u w:val="single" w:color="auto"/>
          <w:color w:val="auto"/>
        </w:rPr>
        <w:t>Schedule 7.8</w:t>
      </w:r>
      <w:r>
        <w:rPr>
          <w:rFonts w:ascii="Arial" w:cs="Arial" w:eastAsia="Arial" w:hAnsi="Arial"/>
          <w:sz w:val="20"/>
          <w:szCs w:val="20"/>
          <w:color w:val="auto"/>
        </w:rPr>
        <w:t xml:space="preserve"> of the Disclosure Letter;</w:t>
      </w:r>
    </w:p>
    <w:p>
      <w:pPr>
        <w:spacing w:after="0" w:line="161" w:lineRule="exact"/>
        <w:rPr>
          <w:rFonts w:ascii="Arial" w:cs="Arial" w:eastAsia="Arial" w:hAnsi="Arial"/>
          <w:sz w:val="20"/>
          <w:szCs w:val="20"/>
          <w:color w:val="auto"/>
        </w:rPr>
      </w:pPr>
    </w:p>
    <w:p>
      <w:pPr>
        <w:jc w:val="both"/>
        <w:ind w:firstLine="1304"/>
        <w:spacing w:after="0" w:line="269" w:lineRule="auto"/>
        <w:tabs>
          <w:tab w:leader="none" w:pos="1761" w:val="left"/>
        </w:tabs>
        <w:numPr>
          <w:ilvl w:val="1"/>
          <w:numId w:val="449"/>
        </w:numPr>
        <w:rPr>
          <w:rFonts w:ascii="Arial" w:cs="Arial" w:eastAsia="Arial" w:hAnsi="Arial"/>
          <w:sz w:val="18"/>
          <w:szCs w:val="18"/>
          <w:color w:val="auto"/>
        </w:rPr>
      </w:pPr>
      <w:r>
        <w:rPr>
          <w:rFonts w:ascii="Arial" w:cs="Arial" w:eastAsia="Arial" w:hAnsi="Arial"/>
          <w:sz w:val="18"/>
          <w:szCs w:val="18"/>
          <w:color w:val="auto"/>
        </w:rPr>
        <w:t>intercompany Investments by (i) any Loan Party in any other Loan Party, (ii) any Group Member that is not a Loan Party in any other Group Member, (iii) any Loan Party in any Group Member that is not a Loan Party (A) to the extent (x) no Default or Event of Defaults exists or would result therefrom and (y) such Investments (valued at cost) do not exceed $5,000,000 in the aggregate for all such Investments in any fiscal year of the Borrower (or such greater amount as the Administrative Agent may agree to in its sole discretion) or (B) to the extent arising from customary cost-plus services agreements entered into in the ordinary course of business, or (iv) to the extent</w:t>
      </w:r>
    </w:p>
    <w:p>
      <w:pPr>
        <w:spacing w:after="0" w:line="3" w:lineRule="exact"/>
        <w:rPr>
          <w:rFonts w:ascii="Arial" w:cs="Arial" w:eastAsia="Arial" w:hAnsi="Arial"/>
          <w:sz w:val="18"/>
          <w:szCs w:val="18"/>
          <w:color w:val="auto"/>
        </w:rPr>
      </w:pPr>
    </w:p>
    <w:p>
      <w:pPr>
        <w:jc w:val="both"/>
        <w:ind w:firstLine="8"/>
        <w:spacing w:after="0" w:line="272" w:lineRule="auto"/>
        <w:tabs>
          <w:tab w:leader="none" w:pos="348" w:val="left"/>
        </w:tabs>
        <w:numPr>
          <w:ilvl w:val="0"/>
          <w:numId w:val="450"/>
        </w:numPr>
        <w:rPr>
          <w:rFonts w:ascii="Arial" w:cs="Arial" w:eastAsia="Arial" w:hAnsi="Arial"/>
          <w:sz w:val="18"/>
          <w:szCs w:val="18"/>
          <w:color w:val="auto"/>
        </w:rPr>
      </w:pPr>
      <w:r>
        <w:rPr>
          <w:rFonts w:ascii="Arial" w:cs="Arial" w:eastAsia="Arial" w:hAnsi="Arial"/>
          <w:sz w:val="18"/>
          <w:szCs w:val="18"/>
          <w:color w:val="auto"/>
        </w:rPr>
        <w:t xml:space="preserve">no Default or Event of Default exists or would result therefrom and (B) the Borrower is in pro forma compliance with the financial covenants contained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as of the most recently ended reporting period for which financial statements were required to be delivered, any Group Member in NerdWallet Insurance Services, Inc. sufficient to ensure that NerdWallet Insurance Services, Inc. maintains sufficient funds to comply with the financial responsibility requirements applicable to it pursuant to applicable law and/or the rules and regulations of any Governmental Authority (including, for the avoidance of doubt, any amounts that the staff of such Governmental Authority indicates in writing as part of any examination or proceeding should be maintained by NerdWallet Insurance Services, Inc.);</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97</w:t>
      </w:r>
    </w:p>
    <w:p>
      <w:pPr>
        <w:sectPr>
          <w:pgSz w:w="11900" w:h="16838" w:orient="portrait"/>
          <w:cols w:equalWidth="0" w:num="1">
            <w:col w:w="11240"/>
          </w:cols>
          <w:pgMar w:left="320" w:top="770" w:right="339" w:bottom="1440" w:gutter="0" w:footer="0" w:header="0"/>
        </w:sectPr>
      </w:pPr>
    </w:p>
    <w:bookmarkStart w:id="484" w:name="page485"/>
    <w:bookmarkEnd w:id="484"/>
    <w:p>
      <w:pPr>
        <w:ind w:left="1780" w:hanging="476"/>
        <w:spacing w:after="0"/>
        <w:tabs>
          <w:tab w:leader="none" w:pos="178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Investments in the ordinary course of business consisting of endorsements of negotiable instruments for collection or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deposit;</w:t>
      </w:r>
    </w:p>
    <w:p>
      <w:pPr>
        <w:spacing w:after="0" w:line="146" w:lineRule="exact"/>
        <w:rPr>
          <w:sz w:val="20"/>
          <w:szCs w:val="20"/>
          <w:color w:val="auto"/>
        </w:rPr>
      </w:pPr>
    </w:p>
    <w:p>
      <w:pPr>
        <w:jc w:val="both"/>
        <w:ind w:firstLine="1304"/>
        <w:spacing w:after="0" w:line="250" w:lineRule="auto"/>
        <w:tabs>
          <w:tab w:leader="none" w:pos="1737" w:val="left"/>
        </w:tabs>
        <w:numPr>
          <w:ilvl w:val="0"/>
          <w:numId w:val="452"/>
        </w:numPr>
        <w:rPr>
          <w:rFonts w:ascii="Arial" w:cs="Arial" w:eastAsia="Arial" w:hAnsi="Arial"/>
          <w:sz w:val="20"/>
          <w:szCs w:val="20"/>
          <w:color w:val="auto"/>
        </w:rPr>
      </w:pPr>
      <w:r>
        <w:rPr>
          <w:rFonts w:ascii="Arial" w:cs="Arial" w:eastAsia="Arial" w:hAnsi="Arial"/>
          <w:sz w:val="20"/>
          <w:szCs w:val="20"/>
          <w:color w:val="auto"/>
        </w:rPr>
        <w:t>Investments received in settlement of amounts due to any Group Member effected in the ordinary course of business or owing to such Group Member as a result of Insolvency Proceedings involving an Account Debtor or upon the foreclosure or enforcement of any Lien in favor of such Group Member;</w:t>
      </w:r>
    </w:p>
    <w:p>
      <w:pPr>
        <w:spacing w:after="0" w:line="131" w:lineRule="exact"/>
        <w:rPr>
          <w:rFonts w:ascii="Arial" w:cs="Arial" w:eastAsia="Arial" w:hAnsi="Arial"/>
          <w:sz w:val="20"/>
          <w:szCs w:val="20"/>
          <w:color w:val="auto"/>
        </w:rPr>
      </w:pPr>
    </w:p>
    <w:p>
      <w:pPr>
        <w:jc w:val="both"/>
        <w:ind w:firstLine="1304"/>
        <w:spacing w:after="0" w:line="246" w:lineRule="auto"/>
        <w:tabs>
          <w:tab w:leader="none" w:pos="1774" w:val="left"/>
        </w:tabs>
        <w:numPr>
          <w:ilvl w:val="0"/>
          <w:numId w:val="452"/>
        </w:numPr>
        <w:rPr>
          <w:rFonts w:ascii="Arial" w:cs="Arial" w:eastAsia="Arial" w:hAnsi="Arial"/>
          <w:sz w:val="20"/>
          <w:szCs w:val="20"/>
          <w:color w:val="auto"/>
        </w:rPr>
      </w:pPr>
      <w:r>
        <w:rPr>
          <w:rFonts w:ascii="Arial" w:cs="Arial" w:eastAsia="Arial" w:hAnsi="Arial"/>
          <w:sz w:val="20"/>
          <w:szCs w:val="20"/>
          <w:color w:val="auto"/>
        </w:rPr>
        <w:t xml:space="preserve">Investments held by any Person as of the date such Person is acquired in connection with a Permitted Acquisition,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(A) such Investments were not made, in any case, by such Person in connection with, or in contemplation of, such Permitted Acquisition, and (B) with respect to any such Person which becomes a Subsidiary as a result of such Permitted Acquisition, such Subsidiary remains the only holder of such Investment;</w:t>
      </w:r>
    </w:p>
    <w:p>
      <w:pPr>
        <w:spacing w:after="0" w:line="137" w:lineRule="exact"/>
        <w:rPr>
          <w:rFonts w:ascii="Arial" w:cs="Arial" w:eastAsia="Arial" w:hAnsi="Arial"/>
          <w:sz w:val="20"/>
          <w:szCs w:val="20"/>
          <w:color w:val="auto"/>
        </w:rPr>
      </w:pPr>
    </w:p>
    <w:p>
      <w:pPr>
        <w:jc w:val="both"/>
        <w:ind w:firstLine="1304"/>
        <w:spacing w:after="0" w:line="250" w:lineRule="auto"/>
        <w:tabs>
          <w:tab w:leader="none" w:pos="1759" w:val="left"/>
        </w:tabs>
        <w:numPr>
          <w:ilvl w:val="0"/>
          <w:numId w:val="452"/>
        </w:numPr>
        <w:rPr>
          <w:rFonts w:ascii="Arial" w:cs="Arial" w:eastAsia="Arial" w:hAnsi="Arial"/>
          <w:sz w:val="20"/>
          <w:szCs w:val="20"/>
          <w:color w:val="auto"/>
        </w:rPr>
      </w:pPr>
      <w:r>
        <w:rPr>
          <w:rFonts w:ascii="Arial" w:cs="Arial" w:eastAsia="Arial" w:hAnsi="Arial"/>
          <w:sz w:val="20"/>
          <w:szCs w:val="20"/>
          <w:color w:val="auto"/>
        </w:rPr>
        <w:t xml:space="preserve">so long as no Event of Default exists immediately after giving effect to such Investment, in addition to Investments otherwise expressly permitted by this </w:t>
      </w:r>
      <w:r>
        <w:rPr>
          <w:rFonts w:ascii="Arial" w:cs="Arial" w:eastAsia="Arial" w:hAnsi="Arial"/>
          <w:sz w:val="20"/>
          <w:szCs w:val="20"/>
          <w:u w:val="single" w:color="auto"/>
          <w:color w:val="auto"/>
        </w:rPr>
        <w:t>Section 7.8</w:t>
      </w:r>
      <w:r>
        <w:rPr>
          <w:rFonts w:ascii="Arial" w:cs="Arial" w:eastAsia="Arial" w:hAnsi="Arial"/>
          <w:sz w:val="20"/>
          <w:szCs w:val="20"/>
          <w:color w:val="auto"/>
        </w:rPr>
        <w:t>, any Investments in an aggregate amount not to exceed $5,000,000 in any fiscal year of NerdWallet;</w:t>
      </w:r>
    </w:p>
    <w:p>
      <w:pPr>
        <w:spacing w:after="0" w:line="131" w:lineRule="exact"/>
        <w:rPr>
          <w:rFonts w:ascii="Arial" w:cs="Arial" w:eastAsia="Arial" w:hAnsi="Arial"/>
          <w:sz w:val="20"/>
          <w:szCs w:val="20"/>
          <w:color w:val="auto"/>
        </w:rPr>
      </w:pPr>
    </w:p>
    <w:p>
      <w:pPr>
        <w:ind w:firstLine="1304"/>
        <w:spacing w:after="0" w:line="260" w:lineRule="auto"/>
        <w:tabs>
          <w:tab w:leader="none" w:pos="1776" w:val="left"/>
        </w:tabs>
        <w:numPr>
          <w:ilvl w:val="0"/>
          <w:numId w:val="452"/>
        </w:numPr>
        <w:rPr>
          <w:rFonts w:ascii="Arial" w:cs="Arial" w:eastAsia="Arial" w:hAnsi="Arial"/>
          <w:sz w:val="20"/>
          <w:szCs w:val="20"/>
          <w:color w:val="auto"/>
        </w:rPr>
      </w:pPr>
      <w:r>
        <w:rPr>
          <w:rFonts w:ascii="Arial" w:cs="Arial" w:eastAsia="Arial" w:hAnsi="Arial"/>
          <w:sz w:val="20"/>
          <w:szCs w:val="20"/>
          <w:color w:val="auto"/>
        </w:rPr>
        <w:t xml:space="preserve">deposits made to secure the performance of leases, licenses or contracts in the ordinary course of business, and other deposits made in connection with the incurrence of Liens permitted under </w:t>
      </w:r>
      <w:r>
        <w:rPr>
          <w:rFonts w:ascii="Arial" w:cs="Arial" w:eastAsia="Arial" w:hAnsi="Arial"/>
          <w:sz w:val="20"/>
          <w:szCs w:val="20"/>
          <w:u w:val="single" w:color="auto"/>
          <w:color w:val="auto"/>
        </w:rPr>
        <w:t>Section 7.3</w:t>
      </w:r>
      <w:r>
        <w:rPr>
          <w:rFonts w:ascii="Arial" w:cs="Arial" w:eastAsia="Arial" w:hAnsi="Arial"/>
          <w:sz w:val="20"/>
          <w:szCs w:val="20"/>
          <w:color w:val="auto"/>
        </w:rPr>
        <w:t>;</w:t>
      </w:r>
    </w:p>
    <w:p>
      <w:pPr>
        <w:spacing w:after="0" w:line="122" w:lineRule="exact"/>
        <w:rPr>
          <w:rFonts w:ascii="Arial" w:cs="Arial" w:eastAsia="Arial" w:hAnsi="Arial"/>
          <w:sz w:val="20"/>
          <w:szCs w:val="20"/>
          <w:color w:val="auto"/>
        </w:rPr>
      </w:pPr>
    </w:p>
    <w:p>
      <w:pPr>
        <w:ind w:firstLine="1304"/>
        <w:spacing w:after="0" w:line="260" w:lineRule="auto"/>
        <w:tabs>
          <w:tab w:leader="none" w:pos="1774" w:val="left"/>
        </w:tabs>
        <w:numPr>
          <w:ilvl w:val="0"/>
          <w:numId w:val="452"/>
        </w:numPr>
        <w:rPr>
          <w:rFonts w:ascii="Arial" w:cs="Arial" w:eastAsia="Arial" w:hAnsi="Arial"/>
          <w:sz w:val="20"/>
          <w:szCs w:val="20"/>
          <w:color w:val="auto"/>
        </w:rPr>
      </w:pPr>
      <w:r>
        <w:rPr>
          <w:rFonts w:ascii="Arial" w:cs="Arial" w:eastAsia="Arial" w:hAnsi="Arial"/>
          <w:sz w:val="20"/>
          <w:szCs w:val="20"/>
          <w:color w:val="auto"/>
        </w:rPr>
        <w:t>the licensing or contribution of Intellectual Property pursuant to joint marketing or joint venture arrangements with other Persons in the ordinary course of business;</w:t>
      </w:r>
    </w:p>
    <w:p>
      <w:pPr>
        <w:spacing w:after="0" w:line="122" w:lineRule="exact"/>
        <w:rPr>
          <w:rFonts w:ascii="Arial" w:cs="Arial" w:eastAsia="Arial" w:hAnsi="Arial"/>
          <w:sz w:val="20"/>
          <w:szCs w:val="20"/>
          <w:color w:val="auto"/>
        </w:rPr>
      </w:pPr>
    </w:p>
    <w:p>
      <w:pPr>
        <w:jc w:val="both"/>
        <w:ind w:firstLine="1304"/>
        <w:spacing w:after="0" w:line="250" w:lineRule="auto"/>
        <w:tabs>
          <w:tab w:leader="none" w:pos="1802" w:val="left"/>
        </w:tabs>
        <w:numPr>
          <w:ilvl w:val="0"/>
          <w:numId w:val="452"/>
        </w:numPr>
        <w:rPr>
          <w:rFonts w:ascii="Arial" w:cs="Arial" w:eastAsia="Arial" w:hAnsi="Arial"/>
          <w:sz w:val="20"/>
          <w:szCs w:val="20"/>
          <w:color w:val="auto"/>
        </w:rPr>
      </w:pPr>
      <w:r>
        <w:rPr>
          <w:rFonts w:ascii="Arial" w:cs="Arial" w:eastAsia="Arial" w:hAnsi="Arial"/>
          <w:sz w:val="20"/>
          <w:szCs w:val="20"/>
          <w:color w:val="auto"/>
        </w:rPr>
        <w:t xml:space="preserve">promissory notes and other non-cash consideration received in connection with Dispositions permitted by </w:t>
      </w:r>
      <w:r>
        <w:rPr>
          <w:rFonts w:ascii="Arial" w:cs="Arial" w:eastAsia="Arial" w:hAnsi="Arial"/>
          <w:sz w:val="20"/>
          <w:szCs w:val="20"/>
          <w:u w:val="single" w:color="auto"/>
          <w:color w:val="auto"/>
        </w:rPr>
        <w:t>Section 7.5</w:t>
      </w:r>
      <w:r>
        <w:rPr>
          <w:rFonts w:ascii="Arial" w:cs="Arial" w:eastAsia="Arial" w:hAnsi="Arial"/>
          <w:sz w:val="20"/>
          <w:szCs w:val="20"/>
          <w:color w:val="auto"/>
        </w:rPr>
        <w:t>, to the extent not exceeding the limits specified therein with respect to the receipt of non-cash consideration in connection with such Dispositions; and</w:t>
      </w:r>
    </w:p>
    <w:p>
      <w:pPr>
        <w:spacing w:after="0" w:line="131" w:lineRule="exact"/>
        <w:rPr>
          <w:rFonts w:ascii="Arial" w:cs="Arial" w:eastAsia="Arial" w:hAnsi="Arial"/>
          <w:sz w:val="20"/>
          <w:szCs w:val="20"/>
          <w:color w:val="auto"/>
        </w:rPr>
      </w:pPr>
    </w:p>
    <w:p>
      <w:pPr>
        <w:jc w:val="both"/>
        <w:ind w:firstLine="1304"/>
        <w:spacing w:after="0" w:line="269" w:lineRule="auto"/>
        <w:tabs>
          <w:tab w:leader="none" w:pos="1744" w:val="left"/>
        </w:tabs>
        <w:numPr>
          <w:ilvl w:val="0"/>
          <w:numId w:val="452"/>
        </w:numPr>
        <w:rPr>
          <w:rFonts w:ascii="Arial" w:cs="Arial" w:eastAsia="Arial" w:hAnsi="Arial"/>
          <w:sz w:val="19"/>
          <w:szCs w:val="19"/>
          <w:color w:val="auto"/>
        </w:rPr>
      </w:pPr>
      <w:r>
        <w:rPr>
          <w:rFonts w:ascii="Arial" w:cs="Arial" w:eastAsia="Arial" w:hAnsi="Arial"/>
          <w:sz w:val="19"/>
          <w:szCs w:val="19"/>
          <w:color w:val="auto"/>
        </w:rPr>
        <w:t xml:space="preserve">so long as no Event of Default exists immediately after giving effect to such Investment, Investments in joint ventures, corporate collaborations, or strategic alliances;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the aggregate amount of all such Investments made in cash shall not exceed, together with Investments permitted by </w:t>
      </w:r>
      <w:r>
        <w:rPr>
          <w:rFonts w:ascii="Arial" w:cs="Arial" w:eastAsia="Arial" w:hAnsi="Arial"/>
          <w:sz w:val="19"/>
          <w:szCs w:val="19"/>
          <w:u w:val="single" w:color="auto"/>
          <w:color w:val="auto"/>
        </w:rPr>
        <w:t>Section 7.8(o)</w:t>
      </w:r>
      <w:r>
        <w:rPr>
          <w:rFonts w:ascii="Arial" w:cs="Arial" w:eastAsia="Arial" w:hAnsi="Arial"/>
          <w:sz w:val="19"/>
          <w:szCs w:val="19"/>
          <w:color w:val="auto"/>
        </w:rPr>
        <w:t>, $5,000,000 in any fiscal year of the Borrower; and</w:t>
      </w:r>
    </w:p>
    <w:p>
      <w:pPr>
        <w:spacing w:after="0" w:line="115" w:lineRule="exact"/>
        <w:rPr>
          <w:rFonts w:ascii="Arial" w:cs="Arial" w:eastAsia="Arial" w:hAnsi="Arial"/>
          <w:sz w:val="19"/>
          <w:szCs w:val="19"/>
          <w:color w:val="auto"/>
        </w:rPr>
      </w:pPr>
    </w:p>
    <w:p>
      <w:pPr>
        <w:jc w:val="both"/>
        <w:ind w:firstLine="1304"/>
        <w:spacing w:after="0" w:line="250" w:lineRule="auto"/>
        <w:tabs>
          <w:tab w:leader="none" w:pos="1727" w:val="left"/>
        </w:tabs>
        <w:numPr>
          <w:ilvl w:val="0"/>
          <w:numId w:val="452"/>
        </w:numPr>
        <w:rPr>
          <w:rFonts w:ascii="Arial" w:cs="Arial" w:eastAsia="Arial" w:hAnsi="Arial"/>
          <w:sz w:val="20"/>
          <w:szCs w:val="20"/>
          <w:color w:val="auto"/>
        </w:rPr>
      </w:pPr>
      <w:r>
        <w:rPr>
          <w:rFonts w:ascii="Arial" w:cs="Arial" w:eastAsia="Arial" w:hAnsi="Arial"/>
          <w:sz w:val="20"/>
          <w:szCs w:val="20"/>
          <w:color w:val="auto"/>
        </w:rPr>
        <w:t xml:space="preserve">so long as no Event of Default exists immediately after giving effect to such Investment, minority equity Investments in companies in similar line of business with non-U.S. operations in amounts not to exceed, together with Investments permitted by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7.8(n)</w:t>
      </w:r>
      <w:r>
        <w:rPr>
          <w:rFonts w:ascii="Arial" w:cs="Arial" w:eastAsia="Arial" w:hAnsi="Arial"/>
          <w:sz w:val="20"/>
          <w:szCs w:val="20"/>
          <w:color w:val="auto"/>
        </w:rPr>
        <w:t>, $2,500,000 in any fiscal year of the Borrower;</w:t>
      </w:r>
    </w:p>
    <w:p>
      <w:pPr>
        <w:spacing w:after="0" w:line="131" w:lineRule="exact"/>
        <w:rPr>
          <w:rFonts w:ascii="Arial" w:cs="Arial" w:eastAsia="Arial" w:hAnsi="Arial"/>
          <w:sz w:val="20"/>
          <w:szCs w:val="20"/>
          <w:color w:val="auto"/>
        </w:rPr>
      </w:pPr>
    </w:p>
    <w:p>
      <w:pPr>
        <w:jc w:val="both"/>
        <w:ind w:firstLine="1304"/>
        <w:spacing w:after="0" w:line="246" w:lineRule="auto"/>
        <w:tabs>
          <w:tab w:leader="none" w:pos="1779" w:val="left"/>
        </w:tabs>
        <w:numPr>
          <w:ilvl w:val="0"/>
          <w:numId w:val="452"/>
        </w:numPr>
        <w:rPr>
          <w:rFonts w:ascii="Arial" w:cs="Arial" w:eastAsia="Arial" w:hAnsi="Arial"/>
          <w:sz w:val="20"/>
          <w:szCs w:val="20"/>
          <w:color w:val="auto"/>
        </w:rPr>
      </w:pPr>
      <w:r>
        <w:rPr>
          <w:rFonts w:ascii="Arial" w:cs="Arial" w:eastAsia="Arial" w:hAnsi="Arial"/>
          <w:sz w:val="20"/>
          <w:szCs w:val="20"/>
          <w:color w:val="auto"/>
        </w:rPr>
        <w:t>purchases or other acquisitions by any Group Member of the Capital Stock in a Person that, upon the consummation thereof, will be a Subsidiary (including as a result of a merger or consolidation) or all or substantially all of the assets of, or assets constituting one or more business units of, any Person (each, a “</w:t>
      </w:r>
      <w:r>
        <w:rPr>
          <w:rFonts w:ascii="Arial" w:cs="Arial" w:eastAsia="Arial" w:hAnsi="Arial"/>
          <w:sz w:val="20"/>
          <w:szCs w:val="20"/>
          <w:b w:val="1"/>
          <w:bCs w:val="1"/>
          <w:i w:val="1"/>
          <w:iCs w:val="1"/>
          <w:color w:val="auto"/>
        </w:rPr>
        <w:t>Permitted Acquisition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with respect to each such purchase or other acquisition consummated pursuant to this </w:t>
      </w:r>
      <w:r>
        <w:rPr>
          <w:rFonts w:ascii="Arial" w:cs="Arial" w:eastAsia="Arial" w:hAnsi="Arial"/>
          <w:sz w:val="20"/>
          <w:szCs w:val="20"/>
          <w:u w:val="single" w:color="auto"/>
          <w:color w:val="auto"/>
        </w:rPr>
        <w:t>Section 7.8(p)</w:t>
      </w:r>
      <w:r>
        <w:rPr>
          <w:rFonts w:ascii="Arial" w:cs="Arial" w:eastAsia="Arial" w:hAnsi="Arial"/>
          <w:sz w:val="20"/>
          <w:szCs w:val="20"/>
          <w:color w:val="auto"/>
        </w:rPr>
        <w:t>:</w:t>
      </w:r>
    </w:p>
    <w:p>
      <w:pPr>
        <w:spacing w:after="0" w:line="137" w:lineRule="exact"/>
        <w:rPr>
          <w:rFonts w:ascii="Arial" w:cs="Arial" w:eastAsia="Arial" w:hAnsi="Arial"/>
          <w:sz w:val="20"/>
          <w:szCs w:val="20"/>
          <w:color w:val="auto"/>
        </w:rPr>
      </w:pPr>
    </w:p>
    <w:p>
      <w:pPr>
        <w:ind w:firstLine="1952"/>
        <w:spacing w:after="0" w:line="260" w:lineRule="auto"/>
        <w:tabs>
          <w:tab w:leader="none" w:pos="2393" w:val="left"/>
        </w:tabs>
        <w:numPr>
          <w:ilvl w:val="1"/>
          <w:numId w:val="452"/>
        </w:numPr>
        <w:rPr>
          <w:rFonts w:ascii="Arial" w:cs="Arial" w:eastAsia="Arial" w:hAnsi="Arial"/>
          <w:sz w:val="20"/>
          <w:szCs w:val="20"/>
          <w:color w:val="auto"/>
        </w:rPr>
      </w:pPr>
      <w:r>
        <w:rPr>
          <w:rFonts w:ascii="Arial" w:cs="Arial" w:eastAsia="Arial" w:hAnsi="Arial"/>
          <w:sz w:val="20"/>
          <w:szCs w:val="20"/>
          <w:color w:val="auto"/>
        </w:rPr>
        <w:t xml:space="preserve">the newly-created or acquired Subsidiary (or assets acquired in connection with such asset sale) shall be in a business permitted by </w:t>
      </w:r>
      <w:r>
        <w:rPr>
          <w:rFonts w:ascii="Arial" w:cs="Arial" w:eastAsia="Arial" w:hAnsi="Arial"/>
          <w:sz w:val="20"/>
          <w:szCs w:val="20"/>
          <w:u w:val="single" w:color="auto"/>
          <w:color w:val="auto"/>
        </w:rPr>
        <w:t>Section 7.17</w:t>
      </w:r>
      <w:r>
        <w:rPr>
          <w:rFonts w:ascii="Arial" w:cs="Arial" w:eastAsia="Arial" w:hAnsi="Arial"/>
          <w:sz w:val="20"/>
          <w:szCs w:val="20"/>
          <w:color w:val="auto"/>
        </w:rPr>
        <w:t>;</w:t>
      </w:r>
    </w:p>
    <w:p>
      <w:pPr>
        <w:spacing w:after="0" w:line="122" w:lineRule="exact"/>
        <w:rPr>
          <w:rFonts w:ascii="Arial" w:cs="Arial" w:eastAsia="Arial" w:hAnsi="Arial"/>
          <w:sz w:val="20"/>
          <w:szCs w:val="20"/>
          <w:color w:val="auto"/>
        </w:rPr>
      </w:pPr>
    </w:p>
    <w:p>
      <w:pPr>
        <w:ind w:firstLine="1952"/>
        <w:spacing w:after="0" w:line="260" w:lineRule="auto"/>
        <w:tabs>
          <w:tab w:leader="none" w:pos="2534" w:val="left"/>
        </w:tabs>
        <w:numPr>
          <w:ilvl w:val="1"/>
          <w:numId w:val="452"/>
        </w:numPr>
        <w:rPr>
          <w:rFonts w:ascii="Arial" w:cs="Arial" w:eastAsia="Arial" w:hAnsi="Arial"/>
          <w:sz w:val="20"/>
          <w:szCs w:val="20"/>
          <w:color w:val="auto"/>
        </w:rPr>
      </w:pPr>
      <w:r>
        <w:rPr>
          <w:rFonts w:ascii="Arial" w:cs="Arial" w:eastAsia="Arial" w:hAnsi="Arial"/>
          <w:sz w:val="20"/>
          <w:szCs w:val="20"/>
          <w:color w:val="auto"/>
        </w:rPr>
        <w:t>all transactions related to such purchase or acquisition shall be consummated in all material respects in accordance with all Requirements of Law;</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98</w:t>
      </w:r>
    </w:p>
    <w:p>
      <w:pPr>
        <w:sectPr>
          <w:pgSz w:w="11900" w:h="16838" w:orient="portrait"/>
          <w:cols w:equalWidth="0" w:num="1">
            <w:col w:w="11240"/>
          </w:cols>
          <w:pgMar w:left="320" w:top="770" w:right="339" w:bottom="1440" w:gutter="0" w:footer="0" w:header="0"/>
        </w:sectPr>
      </w:pPr>
    </w:p>
    <w:bookmarkStart w:id="485" w:name="page486"/>
    <w:bookmarkEnd w:id="485"/>
    <w:p>
      <w:pPr>
        <w:jc w:val="both"/>
        <w:ind w:firstLine="1952"/>
        <w:spacing w:after="0" w:line="246" w:lineRule="auto"/>
        <w:tabs>
          <w:tab w:leader="none" w:pos="2452" w:val="left"/>
        </w:tabs>
        <w:numPr>
          <w:ilvl w:val="0"/>
          <w:numId w:val="453"/>
        </w:numPr>
        <w:rPr>
          <w:rFonts w:ascii="Arial" w:cs="Arial" w:eastAsia="Arial" w:hAnsi="Arial"/>
          <w:sz w:val="20"/>
          <w:szCs w:val="20"/>
          <w:color w:val="auto"/>
        </w:rPr>
      </w:pPr>
      <w:r>
        <w:rPr>
          <w:rFonts w:ascii="Arial" w:cs="Arial" w:eastAsia="Arial" w:hAnsi="Arial"/>
          <w:sz w:val="20"/>
          <w:szCs w:val="20"/>
          <w:color w:val="auto"/>
        </w:rPr>
        <w:t>no Loan Party shall, as a result of or in connection with any such purchase or acquisition, assume or incur any direct or contingent liabilities (whether relating to environmental, tax, litigation or other matters) that, as of the date of such purchase or acquisition (or in the case of a Limited Condition Acquisition, as of the LCA Test Date), could reasonably be expected to result in the existence or incurrence of a Material Adverse Effect;</w:t>
      </w:r>
    </w:p>
    <w:p>
      <w:pPr>
        <w:spacing w:after="0" w:line="137" w:lineRule="exact"/>
        <w:rPr>
          <w:rFonts w:ascii="Arial" w:cs="Arial" w:eastAsia="Arial" w:hAnsi="Arial"/>
          <w:sz w:val="20"/>
          <w:szCs w:val="20"/>
          <w:color w:val="auto"/>
        </w:rPr>
      </w:pPr>
    </w:p>
    <w:p>
      <w:pPr>
        <w:ind w:left="2480" w:hanging="528"/>
        <w:spacing w:after="0"/>
        <w:tabs>
          <w:tab w:leader="none" w:pos="248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the Borrower shall give the Administrative Agent at least 10 Business Days’ prior written notice of any such</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purchase or acquisition;</w:t>
      </w:r>
    </w:p>
    <w:p>
      <w:pPr>
        <w:spacing w:after="0" w:line="145" w:lineRule="exact"/>
        <w:rPr>
          <w:rFonts w:ascii="Arial" w:cs="Arial" w:eastAsia="Arial" w:hAnsi="Arial"/>
          <w:sz w:val="18"/>
          <w:szCs w:val="18"/>
          <w:color w:val="auto"/>
        </w:rPr>
      </w:pPr>
    </w:p>
    <w:p>
      <w:pPr>
        <w:jc w:val="both"/>
        <w:ind w:firstLine="1952"/>
        <w:spacing w:after="0" w:line="250" w:lineRule="auto"/>
        <w:tabs>
          <w:tab w:leader="none" w:pos="2422" w:val="left"/>
        </w:tabs>
        <w:numPr>
          <w:ilvl w:val="0"/>
          <w:numId w:val="453"/>
        </w:numPr>
        <w:rPr>
          <w:rFonts w:ascii="Arial" w:cs="Arial" w:eastAsia="Arial" w:hAnsi="Arial"/>
          <w:sz w:val="20"/>
          <w:szCs w:val="20"/>
          <w:color w:val="auto"/>
        </w:rPr>
      </w:pPr>
      <w:r>
        <w:rPr>
          <w:rFonts w:ascii="Arial" w:cs="Arial" w:eastAsia="Arial" w:hAnsi="Arial"/>
          <w:sz w:val="20"/>
          <w:szCs w:val="20"/>
          <w:color w:val="auto"/>
        </w:rPr>
        <w:t>the Borrower shall provide to the Administrative Agent as soon as available but in any event not later than 5 Business Days after the execution thereof, a copy of any executed purchase agreement or similar agreement with respect to any such purchase or acquisition;</w:t>
      </w:r>
    </w:p>
    <w:p>
      <w:pPr>
        <w:spacing w:after="0" w:line="131" w:lineRule="exact"/>
        <w:rPr>
          <w:rFonts w:ascii="Arial" w:cs="Arial" w:eastAsia="Arial" w:hAnsi="Arial"/>
          <w:sz w:val="20"/>
          <w:szCs w:val="20"/>
          <w:color w:val="auto"/>
        </w:rPr>
      </w:pPr>
    </w:p>
    <w:p>
      <w:pPr>
        <w:jc w:val="both"/>
        <w:ind w:right="20" w:firstLine="1952"/>
        <w:spacing w:after="0" w:line="291" w:lineRule="auto"/>
        <w:tabs>
          <w:tab w:leader="none" w:pos="2476" w:val="left"/>
        </w:tabs>
        <w:numPr>
          <w:ilvl w:val="0"/>
          <w:numId w:val="453"/>
        </w:numPr>
        <w:rPr>
          <w:rFonts w:ascii="Arial" w:cs="Arial" w:eastAsia="Arial" w:hAnsi="Arial"/>
          <w:sz w:val="18"/>
          <w:szCs w:val="18"/>
          <w:color w:val="auto"/>
        </w:rPr>
      </w:pPr>
      <w:r>
        <w:rPr>
          <w:rFonts w:ascii="Arial" w:cs="Arial" w:eastAsia="Arial" w:hAnsi="Arial"/>
          <w:sz w:val="18"/>
          <w:szCs w:val="18"/>
          <w:color w:val="auto"/>
        </w:rPr>
        <w:t xml:space="preserve">any such newly-created or acquired Subsidiary, or the Loan Party that is the acquirer of assets in connection with an asset acquisition, shall comply or be prepared to comply with the requirements of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except to the extent compliance with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is prohibited by pre-existing Contractual Obligations or Requirements of Law binding on such Subsidiary or its properties;</w:t>
      </w:r>
    </w:p>
    <w:p>
      <w:pPr>
        <w:spacing w:after="0" w:line="97" w:lineRule="exact"/>
        <w:rPr>
          <w:rFonts w:ascii="Arial" w:cs="Arial" w:eastAsia="Arial" w:hAnsi="Arial"/>
          <w:sz w:val="18"/>
          <w:szCs w:val="18"/>
          <w:color w:val="auto"/>
        </w:rPr>
      </w:pPr>
    </w:p>
    <w:p>
      <w:pPr>
        <w:jc w:val="both"/>
        <w:ind w:firstLine="1952"/>
        <w:spacing w:after="0" w:line="246" w:lineRule="auto"/>
        <w:tabs>
          <w:tab w:leader="none" w:pos="2493" w:val="left"/>
        </w:tabs>
        <w:numPr>
          <w:ilvl w:val="0"/>
          <w:numId w:val="453"/>
        </w:numPr>
        <w:rPr>
          <w:rFonts w:ascii="Arial" w:cs="Arial" w:eastAsia="Arial" w:hAnsi="Arial"/>
          <w:sz w:val="20"/>
          <w:szCs w:val="20"/>
          <w:color w:val="auto"/>
        </w:rPr>
      </w:pPr>
      <w:r>
        <w:rPr>
          <w:rFonts w:ascii="Arial" w:cs="Arial" w:eastAsia="Arial" w:hAnsi="Arial"/>
          <w:sz w:val="20"/>
          <w:szCs w:val="20"/>
          <w:color w:val="auto"/>
        </w:rPr>
        <w:t xml:space="preserve">immediately after giving effect to any such purchase or other acquisition, no Default or Event of Default shall have occurred and be continuing (other than in connection with a Limited Condition Acquisition, in which case there shall be (x) no Default or Event of Default as of the LCA Test Date and (y) no Event of Default under </w:t>
      </w:r>
      <w:r>
        <w:rPr>
          <w:rFonts w:ascii="Arial" w:cs="Arial" w:eastAsia="Arial" w:hAnsi="Arial"/>
          <w:sz w:val="20"/>
          <w:szCs w:val="20"/>
          <w:u w:val="single" w:color="auto"/>
          <w:color w:val="auto"/>
        </w:rPr>
        <w:t>Section 8.1(a)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(f)</w:t>
      </w:r>
      <w:r>
        <w:rPr>
          <w:rFonts w:ascii="Arial" w:cs="Arial" w:eastAsia="Arial" w:hAnsi="Arial"/>
          <w:sz w:val="20"/>
          <w:szCs w:val="20"/>
          <w:color w:val="auto"/>
        </w:rPr>
        <w:t xml:space="preserve"> immediately after giving effect to any such purchase or other acquisition);</w:t>
      </w:r>
    </w:p>
    <w:p>
      <w:pPr>
        <w:spacing w:after="0" w:line="137" w:lineRule="exact"/>
        <w:rPr>
          <w:rFonts w:ascii="Arial" w:cs="Arial" w:eastAsia="Arial" w:hAnsi="Arial"/>
          <w:sz w:val="20"/>
          <w:szCs w:val="20"/>
          <w:color w:val="auto"/>
        </w:rPr>
      </w:pPr>
    </w:p>
    <w:p>
      <w:pPr>
        <w:jc w:val="both"/>
        <w:ind w:firstLine="1952"/>
        <w:spacing w:after="0" w:line="274" w:lineRule="auto"/>
        <w:tabs>
          <w:tab w:leader="none" w:pos="2554" w:val="left"/>
        </w:tabs>
        <w:numPr>
          <w:ilvl w:val="0"/>
          <w:numId w:val="453"/>
        </w:numPr>
        <w:rPr>
          <w:rFonts w:ascii="Arial" w:cs="Arial" w:eastAsia="Arial" w:hAnsi="Arial"/>
          <w:sz w:val="18"/>
          <w:szCs w:val="18"/>
          <w:color w:val="auto"/>
        </w:rPr>
      </w:pPr>
      <w:r>
        <w:rPr>
          <w:rFonts w:ascii="Arial" w:cs="Arial" w:eastAsia="Arial" w:hAnsi="Arial"/>
          <w:sz w:val="18"/>
          <w:szCs w:val="18"/>
          <w:color w:val="auto"/>
        </w:rPr>
        <w:t xml:space="preserve">(A) immediately after giving effect to any such purchase or acquisition, the Borrower has an Adjusted Quick Ratio equal to or greater than 1.25:1.00; (B) immediately after giving effect to any such purchase or acquisition, the aggregate amount of the Borrower’s Qualified Cash is equal to or greater than $50,000,000; and (C) immediately after giving effect to any such purchase or acquisition the Borrower is (I) in pro forma compliance with the financial covenants contained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as of the most recently ended reporting period for which financial statements were required to be delivered, and (II) projected to be in compliance with the financial covenants contained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for the twelve (12) month period thereafter, in each case, based on financial statements and projections delivered to the Administrative Agent which give effect, on a pro forma basis to such purchase or acquisition;</w:t>
      </w:r>
    </w:p>
    <w:p>
      <w:pPr>
        <w:spacing w:after="0" w:line="114" w:lineRule="exact"/>
        <w:rPr>
          <w:rFonts w:ascii="Arial" w:cs="Arial" w:eastAsia="Arial" w:hAnsi="Arial"/>
          <w:sz w:val="18"/>
          <w:szCs w:val="18"/>
          <w:color w:val="auto"/>
        </w:rPr>
      </w:pPr>
    </w:p>
    <w:p>
      <w:pPr>
        <w:jc w:val="both"/>
        <w:ind w:firstLine="1952"/>
        <w:spacing w:after="0" w:line="250" w:lineRule="auto"/>
        <w:tabs>
          <w:tab w:leader="none" w:pos="2448" w:val="left"/>
        </w:tabs>
        <w:numPr>
          <w:ilvl w:val="0"/>
          <w:numId w:val="453"/>
        </w:numPr>
        <w:rPr>
          <w:rFonts w:ascii="Arial" w:cs="Arial" w:eastAsia="Arial" w:hAnsi="Arial"/>
          <w:sz w:val="20"/>
          <w:szCs w:val="20"/>
          <w:color w:val="auto"/>
        </w:rPr>
      </w:pPr>
      <w:r>
        <w:rPr>
          <w:rFonts w:ascii="Arial" w:cs="Arial" w:eastAsia="Arial" w:hAnsi="Arial"/>
          <w:sz w:val="20"/>
          <w:szCs w:val="20"/>
          <w:color w:val="auto"/>
        </w:rPr>
        <w:t>for a Permitted Acquisition with a purchase price in excess of $50,000,000, deliver at least 10 Business Days’ prior to the consummation of any such purchase or acquisition, a quality of earnings report, in form and substance acceptable to the Administrative Agent;</w:t>
      </w:r>
    </w:p>
    <w:p>
      <w:pPr>
        <w:spacing w:after="0" w:line="131" w:lineRule="exact"/>
        <w:rPr>
          <w:rFonts w:ascii="Arial" w:cs="Arial" w:eastAsia="Arial" w:hAnsi="Arial"/>
          <w:sz w:val="20"/>
          <w:szCs w:val="20"/>
          <w:color w:val="auto"/>
        </w:rPr>
      </w:pPr>
    </w:p>
    <w:p>
      <w:pPr>
        <w:ind w:firstLine="1952"/>
        <w:spacing w:after="0" w:line="260" w:lineRule="auto"/>
        <w:tabs>
          <w:tab w:leader="none" w:pos="2529" w:val="left"/>
        </w:tabs>
        <w:numPr>
          <w:ilvl w:val="0"/>
          <w:numId w:val="453"/>
        </w:numPr>
        <w:rPr>
          <w:rFonts w:ascii="Arial" w:cs="Arial" w:eastAsia="Arial" w:hAnsi="Arial"/>
          <w:sz w:val="20"/>
          <w:szCs w:val="20"/>
          <w:color w:val="auto"/>
        </w:rPr>
      </w:pPr>
      <w:r>
        <w:rPr>
          <w:rFonts w:ascii="Arial" w:cs="Arial" w:eastAsia="Arial" w:hAnsi="Arial"/>
          <w:sz w:val="20"/>
          <w:szCs w:val="20"/>
          <w:color w:val="auto"/>
        </w:rPr>
        <w:t xml:space="preserve">no Indebtedness is assumed or incurred in connection with any such purchase or acquisition other than Indebtedness permitted by the terms of </w:t>
      </w:r>
      <w:r>
        <w:rPr>
          <w:rFonts w:ascii="Arial" w:cs="Arial" w:eastAsia="Arial" w:hAnsi="Arial"/>
          <w:sz w:val="20"/>
          <w:szCs w:val="20"/>
          <w:u w:val="single" w:color="auto"/>
          <w:color w:val="auto"/>
        </w:rPr>
        <w:t>Section 7.2</w:t>
      </w:r>
      <w:r>
        <w:rPr>
          <w:rFonts w:ascii="Arial" w:cs="Arial" w:eastAsia="Arial" w:hAnsi="Arial"/>
          <w:sz w:val="20"/>
          <w:szCs w:val="20"/>
          <w:color w:val="auto"/>
        </w:rPr>
        <w:t>;</w:t>
      </w:r>
    </w:p>
    <w:p>
      <w:pPr>
        <w:spacing w:after="0" w:line="122" w:lineRule="exact"/>
        <w:rPr>
          <w:rFonts w:ascii="Arial" w:cs="Arial" w:eastAsia="Arial" w:hAnsi="Arial"/>
          <w:sz w:val="20"/>
          <w:szCs w:val="20"/>
          <w:color w:val="auto"/>
        </w:rPr>
      </w:pPr>
    </w:p>
    <w:p>
      <w:pPr>
        <w:ind w:left="2440" w:hanging="488"/>
        <w:spacing w:after="0"/>
        <w:tabs>
          <w:tab w:leader="none" w:pos="2440" w:val="left"/>
        </w:tabs>
        <w:numPr>
          <w:ilvl w:val="0"/>
          <w:numId w:val="453"/>
        </w:numPr>
        <w:rPr>
          <w:rFonts w:ascii="Arial" w:cs="Arial" w:eastAsia="Arial" w:hAnsi="Arial"/>
          <w:sz w:val="20"/>
          <w:szCs w:val="20"/>
          <w:color w:val="auto"/>
        </w:rPr>
      </w:pPr>
      <w:r>
        <w:rPr>
          <w:rFonts w:ascii="Arial" w:cs="Arial" w:eastAsia="Arial" w:hAnsi="Arial"/>
          <w:sz w:val="20"/>
          <w:szCs w:val="20"/>
          <w:color w:val="auto"/>
        </w:rPr>
        <w:t>such purchase or acquisition shall not constitute an Unfriendly Acquisition;</w:t>
      </w:r>
    </w:p>
    <w:p>
      <w:pPr>
        <w:spacing w:after="0" w:line="161" w:lineRule="exact"/>
        <w:rPr>
          <w:rFonts w:ascii="Arial" w:cs="Arial" w:eastAsia="Arial" w:hAnsi="Arial"/>
          <w:sz w:val="20"/>
          <w:szCs w:val="20"/>
          <w:color w:val="auto"/>
        </w:rPr>
      </w:pPr>
    </w:p>
    <w:p>
      <w:pPr>
        <w:ind w:right="20" w:firstLine="1952"/>
        <w:spacing w:after="0" w:line="287" w:lineRule="auto"/>
        <w:tabs>
          <w:tab w:leader="none" w:pos="2537" w:val="left"/>
        </w:tabs>
        <w:numPr>
          <w:ilvl w:val="0"/>
          <w:numId w:val="453"/>
        </w:numPr>
        <w:rPr>
          <w:rFonts w:ascii="Arial" w:cs="Arial" w:eastAsia="Arial" w:hAnsi="Arial"/>
          <w:sz w:val="19"/>
          <w:szCs w:val="19"/>
          <w:color w:val="auto"/>
        </w:rPr>
      </w:pPr>
      <w:r>
        <w:rPr>
          <w:rFonts w:ascii="Arial" w:cs="Arial" w:eastAsia="Arial" w:hAnsi="Arial"/>
          <w:sz w:val="19"/>
          <w:szCs w:val="19"/>
          <w:color w:val="auto"/>
        </w:rPr>
        <w:t xml:space="preserve">to the extent required by </w:t>
      </w:r>
      <w:r>
        <w:rPr>
          <w:rFonts w:ascii="Arial" w:cs="Arial" w:eastAsia="Arial" w:hAnsi="Arial"/>
          <w:sz w:val="19"/>
          <w:szCs w:val="19"/>
          <w:u w:val="single" w:color="auto"/>
          <w:color w:val="auto"/>
        </w:rPr>
        <w:t>Section 6.12</w:t>
      </w:r>
      <w:r>
        <w:rPr>
          <w:rFonts w:ascii="Arial" w:cs="Arial" w:eastAsia="Arial" w:hAnsi="Arial"/>
          <w:sz w:val="19"/>
          <w:szCs w:val="19"/>
          <w:color w:val="auto"/>
        </w:rPr>
        <w:t>, each such Permitted Acquisition is of a Person that becomes a Loan Party or of assets that become Collateral hereunder, except as otherwise agreed to in writing by the Administrative Agent;</w:t>
      </w:r>
    </w:p>
    <w:p>
      <w:pPr>
        <w:spacing w:after="0" w:line="98" w:lineRule="exact"/>
        <w:rPr>
          <w:rFonts w:ascii="Arial" w:cs="Arial" w:eastAsia="Arial" w:hAnsi="Arial"/>
          <w:sz w:val="19"/>
          <w:szCs w:val="19"/>
          <w:color w:val="auto"/>
        </w:rPr>
      </w:pPr>
    </w:p>
    <w:p>
      <w:pPr>
        <w:ind w:left="2540" w:hanging="588"/>
        <w:spacing w:after="0"/>
        <w:tabs>
          <w:tab w:leader="none" w:pos="2540" w:val="left"/>
        </w:tabs>
        <w:numPr>
          <w:ilvl w:val="0"/>
          <w:numId w:val="453"/>
        </w:numPr>
        <w:rPr>
          <w:rFonts w:ascii="Arial" w:cs="Arial" w:eastAsia="Arial" w:hAnsi="Arial"/>
          <w:sz w:val="20"/>
          <w:szCs w:val="20"/>
          <w:color w:val="auto"/>
        </w:rPr>
      </w:pPr>
      <w:r>
        <w:rPr>
          <w:rFonts w:ascii="Arial" w:cs="Arial" w:eastAsia="Arial" w:hAnsi="Arial"/>
          <w:sz w:val="20"/>
          <w:szCs w:val="20"/>
          <w:color w:val="auto"/>
        </w:rPr>
        <w:t>in any merger involving the Borrower, the Borrower is the sole surviving entity;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99</w:t>
      </w:r>
    </w:p>
    <w:p>
      <w:pPr>
        <w:sectPr>
          <w:pgSz w:w="11900" w:h="16838" w:orient="portrait"/>
          <w:cols w:equalWidth="0" w:num="1">
            <w:col w:w="11240"/>
          </w:cols>
          <w:pgMar w:left="320" w:top="770" w:right="339" w:bottom="1440" w:gutter="0" w:footer="0" w:header="0"/>
        </w:sectPr>
      </w:pPr>
    </w:p>
    <w:bookmarkStart w:id="486" w:name="page487"/>
    <w:bookmarkEnd w:id="486"/>
    <w:p>
      <w:pPr>
        <w:ind w:firstLine="1952"/>
        <w:spacing w:after="0" w:line="260" w:lineRule="auto"/>
        <w:tabs>
          <w:tab w:leader="none" w:pos="2649" w:val="left"/>
        </w:tabs>
        <w:numPr>
          <w:ilvl w:val="0"/>
          <w:numId w:val="454"/>
        </w:numPr>
        <w:rPr>
          <w:rFonts w:ascii="Arial" w:cs="Arial" w:eastAsia="Arial" w:hAnsi="Arial"/>
          <w:sz w:val="20"/>
          <w:szCs w:val="20"/>
          <w:color w:val="auto"/>
        </w:rPr>
      </w:pPr>
      <w:r>
        <w:rPr>
          <w:rFonts w:ascii="Arial" w:cs="Arial" w:eastAsia="Arial" w:hAnsi="Arial"/>
          <w:sz w:val="20"/>
          <w:szCs w:val="20"/>
          <w:color w:val="auto"/>
        </w:rPr>
        <w:t>such Permitted Acquisition shall only involve assets or entities located in the United States, the United Kingdom, Canada or Australia (unless the Administrative Agent otherwise consents, in its reasonable discretion); and</w:t>
      </w:r>
    </w:p>
    <w:p>
      <w:pPr>
        <w:spacing w:after="0" w:line="122" w:lineRule="exact"/>
        <w:rPr>
          <w:rFonts w:ascii="Arial" w:cs="Arial" w:eastAsia="Arial" w:hAnsi="Arial"/>
          <w:sz w:val="20"/>
          <w:szCs w:val="20"/>
          <w:color w:val="auto"/>
        </w:rPr>
      </w:pPr>
    </w:p>
    <w:p>
      <w:pPr>
        <w:jc w:val="both"/>
        <w:ind w:firstLine="1952"/>
        <w:spacing w:after="0" w:line="244" w:lineRule="auto"/>
        <w:tabs>
          <w:tab w:leader="none" w:pos="2516" w:val="left"/>
        </w:tabs>
        <w:numPr>
          <w:ilvl w:val="0"/>
          <w:numId w:val="454"/>
        </w:numPr>
        <w:rPr>
          <w:rFonts w:ascii="Arial" w:cs="Arial" w:eastAsia="Arial" w:hAnsi="Arial"/>
          <w:sz w:val="20"/>
          <w:szCs w:val="20"/>
          <w:color w:val="auto"/>
        </w:rPr>
      </w:pPr>
      <w:r>
        <w:rPr>
          <w:rFonts w:ascii="Arial" w:cs="Arial" w:eastAsia="Arial" w:hAnsi="Arial"/>
          <w:sz w:val="20"/>
          <w:szCs w:val="20"/>
          <w:color w:val="auto"/>
        </w:rPr>
        <w:t>the Borrower shall have delivered to the Administrative Agent, at least 5 Business Days prior to the date on which any such purchase or other acquisition is to be consummated (or such later date as is agreed by the Administrative Agent in its sole discretion), a certificate of a Responsible Officer of the Borrower, in form and substance reasonably satisfactory to the Administrative Agent, certifying that all of the requirements set forth in this definition have been satisfied or will be satisfied on or prior to the consummation of such purchase or other acquisition.</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Notwithstanding anything herein to the contrary, no Group Member shall consummate an Unfriendly Acquisition.</w:t>
      </w:r>
    </w:p>
    <w:p>
      <w:pPr>
        <w:spacing w:after="0" w:line="1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b w:val="1"/>
          <w:bCs w:val="1"/>
          <w:color w:val="auto"/>
        </w:rPr>
        <w:t>7.9 ERISA</w:t>
      </w:r>
      <w:r>
        <w:rPr>
          <w:rFonts w:ascii="Arial" w:cs="Arial" w:eastAsia="Arial" w:hAnsi="Arial"/>
          <w:sz w:val="18"/>
          <w:szCs w:val="18"/>
          <w:color w:val="auto"/>
        </w:rPr>
        <w:t>. The Borrower shall not, and shall not permit any of its ERISA Affiliates to: (a) terminate any Pension Plan so as to</w:t>
      </w:r>
      <w:r>
        <w:rPr>
          <w:rFonts w:ascii="Arial" w:cs="Arial" w:eastAsia="Arial" w:hAnsi="Arial"/>
          <w:sz w:val="18"/>
          <w:szCs w:val="18"/>
          <w:b w:val="1"/>
          <w:bCs w:val="1"/>
          <w:color w:val="auto"/>
        </w:rPr>
        <w:t xml:space="preserve"> </w:t>
      </w:r>
      <w:r>
        <w:rPr>
          <w:rFonts w:ascii="Arial" w:cs="Arial" w:eastAsia="Arial" w:hAnsi="Arial"/>
          <w:sz w:val="18"/>
          <w:szCs w:val="18"/>
          <w:color w:val="auto"/>
        </w:rPr>
        <w:t>result in any material liability to the Borrower or any ERISA Affiliate, (b) permit to exist any ERISA Event, or any other event or condition, which presents the risk of a material liability to any ERISA Affiliate, (c) make a complete or partial withdrawal (within the meaning of ERISA Section 4201) from any Multiemployer Plan so as to result in any material liability to the Borrower or any ERISA Affiliate, (d) enter into any new Pension Plan or Multiemployer Plan or modify any existing Pension Plan or Multiemployer Plan so as to increase its obligations thereunder which could be reasonably likely to result in material liability to any ERISA Affiliate or permit the present value of all nonforfeitable accrued benefits under any Pension Plan (using the actuarial assumptions utilized by the PBGC upon termination of a Plan) materially to exceed the fair market value of Pension Plan assets allocable to such benefits, all determined as of the most recent valuation date for each such Pension Plan, or (e) engage in any transaction which would cause any obligation, or action taken or to be taken, hereunder (or the exercise by the Administrative Agent or any Lender of any of its rights under this Agreement, any Note or the other Loan Documents) to be a non-exempt (under a statutory or administrative class exemption) prohibited transaction under Section 406 of ERISA or Section 4975 of the Code with respect to a Plan, except, in the case of each of the foregoing clauses, to the extent that failure to comply therewith could not reasonably be expected to have a Material Adverse Effect.</w:t>
      </w:r>
    </w:p>
    <w:p>
      <w:pPr>
        <w:spacing w:after="0" w:line="11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b w:val="1"/>
          <w:bCs w:val="1"/>
          <w:color w:val="auto"/>
        </w:rPr>
        <w:t>7.10 Optional Payments and Modifications of Certain Preferred Stock</w:t>
      </w:r>
      <w:r>
        <w:rPr>
          <w:rFonts w:ascii="Arial" w:cs="Arial" w:eastAsia="Arial" w:hAnsi="Arial"/>
          <w:sz w:val="19"/>
          <w:szCs w:val="19"/>
          <w:color w:val="auto"/>
        </w:rPr>
        <w:t>. Amend, modify, waive or otherwise change, or consent</w:t>
      </w:r>
      <w:r>
        <w:rPr>
          <w:rFonts w:ascii="Arial" w:cs="Arial" w:eastAsia="Arial" w:hAnsi="Arial"/>
          <w:sz w:val="19"/>
          <w:szCs w:val="19"/>
          <w:b w:val="1"/>
          <w:bCs w:val="1"/>
          <w:color w:val="auto"/>
        </w:rPr>
        <w:t xml:space="preserve"> </w:t>
      </w:r>
      <w:r>
        <w:rPr>
          <w:rFonts w:ascii="Arial" w:cs="Arial" w:eastAsia="Arial" w:hAnsi="Arial"/>
          <w:sz w:val="19"/>
          <w:szCs w:val="19"/>
          <w:color w:val="auto"/>
        </w:rPr>
        <w:t>or agree to any amendment, modification, waiver or other change to, any of the terms of the Preferred Stock (a) that would move to an earlier date the scheduled redemption date (but only to the extent that moving any such scheduled redemption date would result in the redemption to be prior to 91 days after the Revolving Termination Date) or increase the amount of any scheduled redemption payment or increase the rate or move to an earlier date any date for payment of dividends thereon or (b) that could reasonably be expected to be otherwise materially adverse to any Lender or any other Secured Party.</w:t>
      </w:r>
    </w:p>
    <w:p>
      <w:pPr>
        <w:spacing w:after="0" w:line="11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b w:val="1"/>
          <w:bCs w:val="1"/>
          <w:color w:val="auto"/>
        </w:rPr>
        <w:t>7.11 Transactions with Affiliates</w:t>
      </w:r>
      <w:r>
        <w:rPr>
          <w:rFonts w:ascii="Arial" w:cs="Arial" w:eastAsia="Arial" w:hAnsi="Arial"/>
          <w:sz w:val="18"/>
          <w:szCs w:val="18"/>
          <w:color w:val="auto"/>
        </w:rPr>
        <w:t>. Directly or indirectly enter into or permit to exist any material transaction with any Affiliate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 Loan Party except for (a) transactions between Loan Parties not otherwise restricted hereunder, (b) transactions permitted by </w:t>
      </w:r>
      <w:r>
        <w:rPr>
          <w:rFonts w:ascii="Arial" w:cs="Arial" w:eastAsia="Arial" w:hAnsi="Arial"/>
          <w:sz w:val="18"/>
          <w:szCs w:val="18"/>
          <w:u w:val="single" w:color="auto"/>
          <w:color w:val="auto"/>
        </w:rPr>
        <w:t>Sections 7.2</w:t>
      </w:r>
      <w:r>
        <w:rPr>
          <w:rFonts w:ascii="Arial" w:cs="Arial" w:eastAsia="Arial" w:hAnsi="Arial"/>
          <w:sz w:val="18"/>
          <w:szCs w:val="18"/>
          <w:color w:val="auto"/>
        </w:rPr>
        <w:t xml:space="preserve">, </w:t>
      </w:r>
      <w:r>
        <w:rPr>
          <w:rFonts w:ascii="Arial" w:cs="Arial" w:eastAsia="Arial" w:hAnsi="Arial"/>
          <w:sz w:val="18"/>
          <w:szCs w:val="18"/>
          <w:u w:val="single" w:color="auto"/>
          <w:color w:val="auto"/>
        </w:rPr>
        <w:t>7.6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7.8</w:t>
      </w:r>
      <w:r>
        <w:rPr>
          <w:rFonts w:ascii="Arial" w:cs="Arial" w:eastAsia="Arial" w:hAnsi="Arial"/>
          <w:sz w:val="18"/>
          <w:szCs w:val="18"/>
          <w:color w:val="auto"/>
        </w:rPr>
        <w:t xml:space="preserve"> hereof, (c) transactions that are in the ordinary course of such Loan Party’s business, upon fair and reasonable terms that are no less favorable to such Loan Party than would be obtained in an arm’s length transaction with a non-affiliated Person, (d) reasonable and customary indemnification arrangements, employee benefits, compensation arrangements (including equity-based compensation and bonuses), and reimbursement of expenses of employees, consultants, officers, and directors, in each case, approved by the board of directors or management of a Group Member, or (e) equity (other than Disqualified Stock) or debt financings with the Borrower’s investors so long as any such debt financings constitute Subordinated Indebtedness permitted under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10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7.12 Sale Leaseback Transactions</w:t>
      </w:r>
      <w:r>
        <w:rPr>
          <w:rFonts w:ascii="Arial" w:cs="Arial" w:eastAsia="Arial" w:hAnsi="Arial"/>
          <w:sz w:val="20"/>
          <w:szCs w:val="20"/>
          <w:color w:val="auto"/>
        </w:rPr>
        <w:t>. Enter into any Sale Leaseback Transaction, except in connection with transactions that would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be permitted under this </w:t>
      </w:r>
      <w:r>
        <w:rPr>
          <w:rFonts w:ascii="Arial" w:cs="Arial" w:eastAsia="Arial" w:hAnsi="Arial"/>
          <w:sz w:val="20"/>
          <w:szCs w:val="20"/>
          <w:u w:val="single" w:color="auto"/>
          <w:color w:val="auto"/>
        </w:rPr>
        <w:t>Section 7</w:t>
      </w:r>
      <w:r>
        <w:rPr>
          <w:rFonts w:ascii="Arial" w:cs="Arial" w:eastAsia="Arial" w:hAnsi="Arial"/>
          <w:sz w:val="20"/>
          <w:szCs w:val="20"/>
          <w:color w:val="auto"/>
        </w:rPr>
        <w: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100</w:t>
      </w:r>
    </w:p>
    <w:p>
      <w:pPr>
        <w:sectPr>
          <w:pgSz w:w="11900" w:h="16838" w:orient="portrait"/>
          <w:cols w:equalWidth="0" w:num="1">
            <w:col w:w="11240"/>
          </w:cols>
          <w:pgMar w:left="320" w:top="770" w:right="339" w:bottom="1440" w:gutter="0" w:footer="0" w:header="0"/>
        </w:sectPr>
      </w:pPr>
    </w:p>
    <w:bookmarkStart w:id="487" w:name="page488"/>
    <w:bookmarkEnd w:id="487"/>
    <w:p>
      <w:pPr>
        <w:jc w:val="both"/>
        <w:ind w:firstLine="648"/>
        <w:spacing w:after="0" w:line="248" w:lineRule="auto"/>
        <w:rPr>
          <w:sz w:val="20"/>
          <w:szCs w:val="20"/>
          <w:color w:val="auto"/>
        </w:rPr>
      </w:pPr>
      <w:r>
        <w:rPr>
          <w:rFonts w:ascii="Arial" w:cs="Arial" w:eastAsia="Arial" w:hAnsi="Arial"/>
          <w:sz w:val="20"/>
          <w:szCs w:val="20"/>
          <w:b w:val="1"/>
          <w:bCs w:val="1"/>
          <w:color w:val="auto"/>
        </w:rPr>
        <w:t>7.13 Swap Agreements</w:t>
      </w:r>
      <w:r>
        <w:rPr>
          <w:rFonts w:ascii="Arial" w:cs="Arial" w:eastAsia="Arial" w:hAnsi="Arial"/>
          <w:sz w:val="20"/>
          <w:szCs w:val="20"/>
          <w:color w:val="auto"/>
        </w:rPr>
        <w:t>. Enter into any Swap Agreement, except Specified Swap Agreements which are entered into by a Group</w:t>
      </w:r>
      <w:r>
        <w:rPr>
          <w:rFonts w:ascii="Arial" w:cs="Arial" w:eastAsia="Arial" w:hAnsi="Arial"/>
          <w:sz w:val="20"/>
          <w:szCs w:val="20"/>
          <w:b w:val="1"/>
          <w:bCs w:val="1"/>
          <w:color w:val="auto"/>
        </w:rPr>
        <w:t xml:space="preserve"> </w:t>
      </w:r>
      <w:r>
        <w:rPr>
          <w:rFonts w:ascii="Arial" w:cs="Arial" w:eastAsia="Arial" w:hAnsi="Arial"/>
          <w:sz w:val="20"/>
          <w:szCs w:val="20"/>
          <w:color w:val="auto"/>
        </w:rPr>
        <w:t>Member to (a) hedge or mitigate risks to which such Group Member has actual exposure, or (b) effectively cap, collar or exchange interest rates (from fixed to floating rates, from one floating rate to another floating rate or otherwise) with respect to any interest-bearing liability or investment of such Group Member.</w:t>
      </w:r>
    </w:p>
    <w:p>
      <w:pPr>
        <w:spacing w:after="0" w:line="1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7.14 Accounting Changes</w:t>
      </w:r>
      <w:r>
        <w:rPr>
          <w:rFonts w:ascii="Arial" w:cs="Arial" w:eastAsia="Arial" w:hAnsi="Arial"/>
          <w:sz w:val="20"/>
          <w:szCs w:val="20"/>
          <w:color w:val="auto"/>
        </w:rPr>
        <w:t>. Make any change in its (a) accounting policies or reporting practices, except as required or permitted</w:t>
      </w:r>
      <w:r>
        <w:rPr>
          <w:rFonts w:ascii="Arial" w:cs="Arial" w:eastAsia="Arial" w:hAnsi="Arial"/>
          <w:sz w:val="20"/>
          <w:szCs w:val="20"/>
          <w:b w:val="1"/>
          <w:bCs w:val="1"/>
          <w:color w:val="auto"/>
        </w:rPr>
        <w:t xml:space="preserve"> </w:t>
      </w:r>
      <w:r>
        <w:rPr>
          <w:rFonts w:ascii="Arial" w:cs="Arial" w:eastAsia="Arial" w:hAnsi="Arial"/>
          <w:sz w:val="20"/>
          <w:szCs w:val="20"/>
          <w:color w:val="auto"/>
        </w:rPr>
        <w:t>by GAAP, or (b) fiscal year, in each case, without the prior written consent of the Administrative Agent (such consent not to be unreasonably withheld or delayed).</w:t>
      </w:r>
    </w:p>
    <w:p>
      <w:pPr>
        <w:spacing w:after="0" w:line="12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b w:val="1"/>
          <w:bCs w:val="1"/>
          <w:color w:val="auto"/>
        </w:rPr>
        <w:t>7.15 Negative Pledge Clauses</w:t>
      </w:r>
      <w:r>
        <w:rPr>
          <w:rFonts w:ascii="Arial" w:cs="Arial" w:eastAsia="Arial" w:hAnsi="Arial"/>
          <w:sz w:val="19"/>
          <w:szCs w:val="19"/>
          <w:color w:val="auto"/>
        </w:rPr>
        <w:t>. Enter into or suffer to exist or become effective any agreement that prohibits or limits the ability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any Loan Party to create, incur, assume or suffer to exist any Lien upon any of its property or revenues, whether now owned or hereafter acquired, to secure its Obligations under the Loan Documents to which it is a party, other than (a) this Agreement and the other Loan Documents, and (b) pursuant to agreements entered into in accordance with </w:t>
      </w:r>
      <w:r>
        <w:rPr>
          <w:rFonts w:ascii="Arial" w:cs="Arial" w:eastAsia="Arial" w:hAnsi="Arial"/>
          <w:sz w:val="19"/>
          <w:szCs w:val="19"/>
          <w:u w:val="single" w:color="auto"/>
          <w:color w:val="auto"/>
        </w:rPr>
        <w:t>Sections 7.2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7.3</w:t>
      </w:r>
      <w:r>
        <w:rPr>
          <w:rFonts w:ascii="Arial" w:cs="Arial" w:eastAsia="Arial" w:hAnsi="Arial"/>
          <w:sz w:val="19"/>
          <w:szCs w:val="19"/>
          <w:color w:val="auto"/>
        </w:rPr>
        <w:t>.</w:t>
      </w:r>
    </w:p>
    <w:p>
      <w:pPr>
        <w:spacing w:after="0" w:line="115"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b w:val="1"/>
          <w:bCs w:val="1"/>
          <w:color w:val="auto"/>
        </w:rPr>
        <w:t>7.16 Clauses Restricting Subsidiary Distributions</w:t>
      </w:r>
      <w:r>
        <w:rPr>
          <w:rFonts w:ascii="Arial" w:cs="Arial" w:eastAsia="Arial" w:hAnsi="Arial"/>
          <w:sz w:val="16"/>
          <w:szCs w:val="16"/>
          <w:color w:val="auto"/>
        </w:rPr>
        <w:t>. Enter into or suffer to exist or become effective any consensual encumbrance</w:t>
      </w:r>
      <w:r>
        <w:rPr>
          <w:rFonts w:ascii="Arial" w:cs="Arial" w:eastAsia="Arial" w:hAnsi="Arial"/>
          <w:sz w:val="16"/>
          <w:szCs w:val="16"/>
          <w:b w:val="1"/>
          <w:bCs w:val="1"/>
          <w:color w:val="auto"/>
        </w:rPr>
        <w:t xml:space="preserve"> </w:t>
      </w:r>
      <w:r>
        <w:rPr>
          <w:rFonts w:ascii="Arial" w:cs="Arial" w:eastAsia="Arial" w:hAnsi="Arial"/>
          <w:sz w:val="16"/>
          <w:szCs w:val="16"/>
          <w:color w:val="auto"/>
        </w:rPr>
        <w:t>or restriction on the ability of any Subsidiary to (a) make Restricted Payments in respect of any Capital Stock of such Subsidiary held by, or to pay any Indebtedness owed to, any other Group Member, (b) make loans or advances to, or other Investments in, any other Group Member, or (c) transfer any of its assets to any other Group Member, except for such encumbrances or restrictions existing under or by reason of (i) any restrictions existing under the Loan Documents, (ii) any restrictions with respect to a Subsidiary imposed pursuant to an agreement that has been entered into in connection with a Disposition permitted hereby of all or substantially all of the Capital Stock or assets of such Subsidiary, (iii) customary restrictions on the assignment of leases, licenses and other agreements, (iv) restrictions of the nature referred to in clause (c) above under agreements governing purchase money liens or Capital Lease Obligations otherwise permitted hereby which restrictions are only effective against the assets financed thereby, (v) any agreement in effect at the time any Subsidiary becomes a Subsidiary of a Borrower, so long as such agreement applies only to such Subsidiary, was not entered into solely in contemplation of such Person becoming a Subsidiary or, in each case that is set forth in any agreement evidencing any amendments, restatements, supplements, modifications, extensions, renewals and replacements of the foregoing, so long as such amendment, restatement, supplement, modification, extension, renewal or replacement is not as a whole materially less favorable to such Subsidiary, (vi) restrictions under any Subordinated Debt Documents, (vii) restrictions on the transfer of any asset pending the close of the sale of such asset and customary restrictions contained in purchase agreements and acquisition agreements (including by way of merger, acquisition or consolidation), to the extent in effect pending the consummation of such transaction, (viii) customary net worth provisions or similar financial maintenance provisions contained in real property leases entered into by a Foreign Subsidiary, so long as the Borrower has determined in good faith that such net worth provisions could not reasonably be expected to impair the ability of the Group Members to meet their ongoing obligations under the Loan Documents,</w:t>
      </w:r>
    </w:p>
    <w:p>
      <w:pPr>
        <w:spacing w:after="0" w:line="191" w:lineRule="exact"/>
        <w:rPr>
          <w:sz w:val="20"/>
          <w:szCs w:val="20"/>
          <w:color w:val="auto"/>
        </w:rPr>
      </w:pPr>
    </w:p>
    <w:p>
      <w:pPr>
        <w:jc w:val="both"/>
        <w:ind w:firstLine="8"/>
        <w:spacing w:after="0" w:line="256" w:lineRule="auto"/>
        <w:tabs>
          <w:tab w:leader="none" w:pos="349" w:val="left"/>
        </w:tabs>
        <w:numPr>
          <w:ilvl w:val="0"/>
          <w:numId w:val="455"/>
        </w:numPr>
        <w:rPr>
          <w:rFonts w:ascii="Arial" w:cs="Arial" w:eastAsia="Arial" w:hAnsi="Arial"/>
          <w:sz w:val="19"/>
          <w:szCs w:val="19"/>
          <w:color w:val="auto"/>
        </w:rPr>
      </w:pPr>
      <w:r>
        <w:rPr>
          <w:rFonts w:ascii="Arial" w:cs="Arial" w:eastAsia="Arial" w:hAnsi="Arial"/>
          <w:sz w:val="19"/>
          <w:szCs w:val="19"/>
          <w:color w:val="auto"/>
        </w:rPr>
        <w:t xml:space="preserve">applicable law, (x) restrictions on cash or other deposits or net worth imposed under agreements entered into in the ordinary course of business, (xi) provisions in joint venture agreements and other similar agreements (including equity holder agreements) relating to such joint venture or its members or entered into in the ordinary course of business, (xii) Requirements of Law applicable to a Foreign Subsidiary prohibiting or restricting the applicable Foreign Subsidiary from making Restricted Payments to the Borrower, or (xiii) any restriction pursuant to any document, agreement or instrument governing or relating to any Lien permitted under </w:t>
      </w:r>
      <w:r>
        <w:rPr>
          <w:rFonts w:ascii="Arial" w:cs="Arial" w:eastAsia="Arial" w:hAnsi="Arial"/>
          <w:sz w:val="19"/>
          <w:szCs w:val="19"/>
          <w:u w:val="single" w:color="auto"/>
          <w:color w:val="auto"/>
        </w:rPr>
        <w:t>Section 7.3</w:t>
      </w:r>
      <w:r>
        <w:rPr>
          <w:rFonts w:ascii="Arial" w:cs="Arial" w:eastAsia="Arial" w:hAnsi="Arial"/>
          <w:sz w:val="19"/>
          <w:szCs w:val="19"/>
          <w:color w:val="auto"/>
        </w:rPr>
        <w:t>.</w:t>
      </w:r>
    </w:p>
    <w:p>
      <w:pPr>
        <w:spacing w:after="0" w:line="122" w:lineRule="exact"/>
        <w:rPr>
          <w:sz w:val="20"/>
          <w:szCs w:val="20"/>
          <w:color w:val="auto"/>
        </w:rPr>
      </w:pPr>
    </w:p>
    <w:p>
      <w:pPr>
        <w:ind w:firstLine="648"/>
        <w:spacing w:after="0" w:line="293" w:lineRule="auto"/>
        <w:rPr>
          <w:sz w:val="20"/>
          <w:szCs w:val="20"/>
          <w:color w:val="auto"/>
        </w:rPr>
      </w:pPr>
      <w:r>
        <w:rPr>
          <w:rFonts w:ascii="Arial" w:cs="Arial" w:eastAsia="Arial" w:hAnsi="Arial"/>
          <w:sz w:val="19"/>
          <w:szCs w:val="19"/>
          <w:b w:val="1"/>
          <w:bCs w:val="1"/>
          <w:color w:val="auto"/>
        </w:rPr>
        <w:t>7.17 Lines of Business</w:t>
      </w:r>
      <w:r>
        <w:rPr>
          <w:rFonts w:ascii="Arial" w:cs="Arial" w:eastAsia="Arial" w:hAnsi="Arial"/>
          <w:sz w:val="19"/>
          <w:szCs w:val="19"/>
          <w:color w:val="auto"/>
        </w:rPr>
        <w:t>. Enter into any business, either directly or through any Subsidiary, except for those businesses in which the</w:t>
      </w:r>
      <w:r>
        <w:rPr>
          <w:rFonts w:ascii="Arial" w:cs="Arial" w:eastAsia="Arial" w:hAnsi="Arial"/>
          <w:sz w:val="19"/>
          <w:szCs w:val="19"/>
          <w:b w:val="1"/>
          <w:bCs w:val="1"/>
          <w:color w:val="auto"/>
        </w:rPr>
        <w:t xml:space="preserve"> </w:t>
      </w:r>
      <w:r>
        <w:rPr>
          <w:rFonts w:ascii="Arial" w:cs="Arial" w:eastAsia="Arial" w:hAnsi="Arial"/>
          <w:sz w:val="19"/>
          <w:szCs w:val="19"/>
          <w:color w:val="auto"/>
        </w:rPr>
        <w:t>Group Members are engaged on the date of this Agreement or that are reasonably related, ancillary or incidental thereto.</w:t>
      </w:r>
    </w:p>
    <w:p>
      <w:pPr>
        <w:spacing w:after="0" w:line="88"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7.18 Designation of other Indebtedness</w:t>
      </w:r>
      <w:r>
        <w:rPr>
          <w:rFonts w:ascii="Arial" w:cs="Arial" w:eastAsia="Arial" w:hAnsi="Arial"/>
          <w:sz w:val="20"/>
          <w:szCs w:val="20"/>
          <w:color w:val="auto"/>
        </w:rPr>
        <w:t>. Designate any Indebtedness or indebtedness other than the Obligations as “Designated</w:t>
      </w:r>
      <w:r>
        <w:rPr>
          <w:rFonts w:ascii="Arial" w:cs="Arial" w:eastAsia="Arial" w:hAnsi="Arial"/>
          <w:sz w:val="20"/>
          <w:szCs w:val="20"/>
          <w:b w:val="1"/>
          <w:bCs w:val="1"/>
          <w:color w:val="auto"/>
        </w:rPr>
        <w:t xml:space="preserve"> </w:t>
      </w:r>
      <w:r>
        <w:rPr>
          <w:rFonts w:ascii="Arial" w:cs="Arial" w:eastAsia="Arial" w:hAnsi="Arial"/>
          <w:sz w:val="20"/>
          <w:szCs w:val="20"/>
          <w:color w:val="auto"/>
        </w:rPr>
        <w:t>Senior Indebtedness” or a similar concept thereto, if applicable.</w:t>
      </w:r>
    </w:p>
    <w:p>
      <w:pPr>
        <w:spacing w:after="0" w:line="10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7.19</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101</w:t>
      </w:r>
    </w:p>
    <w:p>
      <w:pPr>
        <w:sectPr>
          <w:pgSz w:w="11900" w:h="16838" w:orient="portrait"/>
          <w:cols w:equalWidth="0" w:num="1">
            <w:col w:w="11240"/>
          </w:cols>
          <w:pgMar w:left="320" w:top="764" w:right="339" w:bottom="1440" w:gutter="0" w:footer="0" w:header="0"/>
        </w:sectPr>
      </w:pPr>
    </w:p>
    <w:bookmarkStart w:id="488" w:name="page489"/>
    <w:bookmarkEnd w:id="488"/>
    <w:p>
      <w:pPr>
        <w:jc w:val="both"/>
        <w:ind w:firstLine="648"/>
        <w:spacing w:after="0" w:line="265" w:lineRule="auto"/>
        <w:rPr>
          <w:sz w:val="20"/>
          <w:szCs w:val="20"/>
          <w:color w:val="auto"/>
        </w:rPr>
      </w:pPr>
      <w:r>
        <w:rPr>
          <w:rFonts w:ascii="Arial" w:cs="Arial" w:eastAsia="Arial" w:hAnsi="Arial"/>
          <w:sz w:val="19"/>
          <w:szCs w:val="19"/>
          <w:b w:val="1"/>
          <w:bCs w:val="1"/>
          <w:color w:val="auto"/>
        </w:rPr>
        <w:t>7.20 Amendments to Operating Documents and Material Contracts</w:t>
      </w:r>
      <w:r>
        <w:rPr>
          <w:rFonts w:ascii="Arial" w:cs="Arial" w:eastAsia="Arial" w:hAnsi="Arial"/>
          <w:sz w:val="19"/>
          <w:szCs w:val="19"/>
          <w:color w:val="auto"/>
        </w:rPr>
        <w:t>. (a) Amend or permit any amendments to any Loan Party’s</w:t>
      </w:r>
      <w:r>
        <w:rPr>
          <w:rFonts w:ascii="Arial" w:cs="Arial" w:eastAsia="Arial" w:hAnsi="Arial"/>
          <w:sz w:val="19"/>
          <w:szCs w:val="19"/>
          <w:b w:val="1"/>
          <w:bCs w:val="1"/>
          <w:color w:val="auto"/>
        </w:rPr>
        <w:t xml:space="preserve"> </w:t>
      </w:r>
      <w:r>
        <w:rPr>
          <w:rFonts w:ascii="Arial" w:cs="Arial" w:eastAsia="Arial" w:hAnsi="Arial"/>
          <w:sz w:val="19"/>
          <w:szCs w:val="19"/>
          <w:color w:val="auto"/>
        </w:rPr>
        <w:t>organizational documents if such amendment, termination, or waiver would be adverse to the Administrative Agent or the Lenders in any material respect; or (b) amend or permit any amendments to, or terminate or waive any provision of, any material Contractual Obligation if such amendment, termination or waiver could reasonably be expected to result in a Material Adverse Effect.</w:t>
      </w:r>
    </w:p>
    <w:p>
      <w:pPr>
        <w:spacing w:after="0" w:line="11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b w:val="1"/>
          <w:bCs w:val="1"/>
          <w:color w:val="auto"/>
        </w:rPr>
        <w:t>7.21 Use of Proceeds</w:t>
      </w:r>
      <w:r>
        <w:rPr>
          <w:rFonts w:ascii="Arial" w:cs="Arial" w:eastAsia="Arial" w:hAnsi="Arial"/>
          <w:sz w:val="18"/>
          <w:szCs w:val="18"/>
          <w:color w:val="auto"/>
        </w:rPr>
        <w:t>. Use the proceeds of any Loan or extension of credit hereunder, whether directly or indirectly, and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incidentally or ultimately, (a) to purchase or carry margin stock (within the meaning of Regulation U of the Board) or to extend credit to others for the purpose of purchasing or carrying margin stock or to refund Indebtedness originally incurred for such purpose, in each case in violation of, or for a purpose which violates, or would be inconsistent with, Regulation T, U or X of the Board; (b) to finance an Unfriendly Acquisition; (c)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Lender, arranger, Administrative Agent, Issuing Lender, Swingline Lender, or otherwise) of Sanctions (or lend, contribute or otherwise make available such proceeds to any Subsidiary, joint venture partner or other individual or entity in violation of the foregoing); or (d) for any purpose which would breach the United States Foreign Corrupt Practices Act of 1977, the UK Bribery Act 2010, or other similar legislation in other jurisdictions.</w:t>
      </w:r>
    </w:p>
    <w:p>
      <w:pPr>
        <w:spacing w:after="0" w:line="11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7.22</w:t>
      </w:r>
      <w:r>
        <w:rPr>
          <w:sz w:val="20"/>
          <w:szCs w:val="20"/>
          <w:color w:val="auto"/>
        </w:rPr>
        <w:tab/>
      </w:r>
      <w:r>
        <w:rPr>
          <w:rFonts w:ascii="Arial" w:cs="Arial" w:eastAsia="Arial" w:hAnsi="Arial"/>
          <w:sz w:val="16"/>
          <w:szCs w:val="16"/>
          <w:b w:val="1"/>
          <w:bCs w:val="1"/>
          <w:color w:val="auto"/>
        </w:rPr>
        <w:t>Subordinated Indebtedness</w:t>
      </w:r>
      <w:r>
        <w:rPr>
          <w:rFonts w:ascii="Arial" w:cs="Arial" w:eastAsia="Arial" w:hAnsi="Arial"/>
          <w:sz w:val="16"/>
          <w:szCs w:val="16"/>
          <w:color w:val="auto"/>
        </w:rPr>
        <w:t>.</w:t>
      </w:r>
    </w:p>
    <w:p>
      <w:pPr>
        <w:spacing w:after="0" w:line="168" w:lineRule="exact"/>
        <w:rPr>
          <w:sz w:val="20"/>
          <w:szCs w:val="20"/>
          <w:color w:val="auto"/>
        </w:rPr>
      </w:pPr>
    </w:p>
    <w:p>
      <w:pPr>
        <w:jc w:val="both"/>
        <w:ind w:firstLine="1304"/>
        <w:spacing w:after="0" w:line="291" w:lineRule="auto"/>
        <w:tabs>
          <w:tab w:leader="none" w:pos="1956" w:val="left"/>
        </w:tabs>
        <w:numPr>
          <w:ilvl w:val="0"/>
          <w:numId w:val="456"/>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Amend, modify, supplement, waive compliance with, or consent to noncompliance with, any Subordinated Debt Document, unless the amendment, modification, supplement, waiver or consent is in compliance with the subordination provisions therein and any subordination agreement with respect thereto in favor of the Administrative Agent and the Lenders.</w:t>
      </w:r>
    </w:p>
    <w:p>
      <w:pPr>
        <w:spacing w:after="0" w:line="97" w:lineRule="exact"/>
        <w:rPr>
          <w:rFonts w:ascii="Arial" w:cs="Arial" w:eastAsia="Arial" w:hAnsi="Arial"/>
          <w:sz w:val="18"/>
          <w:szCs w:val="18"/>
          <w:color w:val="auto"/>
        </w:rPr>
      </w:pPr>
    </w:p>
    <w:p>
      <w:pPr>
        <w:jc w:val="both"/>
        <w:ind w:firstLine="1304"/>
        <w:spacing w:after="0" w:line="246" w:lineRule="auto"/>
        <w:tabs>
          <w:tab w:leader="none" w:pos="1886" w:val="left"/>
        </w:tabs>
        <w:numPr>
          <w:ilvl w:val="0"/>
          <w:numId w:val="456"/>
        </w:numPr>
        <w:rPr>
          <w:rFonts w:ascii="Arial" w:cs="Arial" w:eastAsia="Arial" w:hAnsi="Arial"/>
          <w:sz w:val="20"/>
          <w:szCs w:val="20"/>
          <w:color w:val="auto"/>
        </w:rPr>
      </w:pPr>
      <w:r>
        <w:rPr>
          <w:rFonts w:ascii="Arial" w:cs="Arial" w:eastAsia="Arial" w:hAnsi="Arial"/>
          <w:sz w:val="20"/>
          <w:szCs w:val="20"/>
          <w:u w:val="single" w:color="auto"/>
          <w:color w:val="auto"/>
        </w:rPr>
        <w:t>Payments</w:t>
      </w:r>
      <w:r>
        <w:rPr>
          <w:rFonts w:ascii="Arial" w:cs="Arial" w:eastAsia="Arial" w:hAnsi="Arial"/>
          <w:sz w:val="20"/>
          <w:szCs w:val="20"/>
          <w:color w:val="auto"/>
        </w:rPr>
        <w:t>. Make any payment (including any interest payment, other than paid-in-kind interest), prepayment or repayment on, redemption, exchange or acquisition for value of, any sinking fund or similar payment with respect to, any Subordinated Indebtedness, except as permitted by the subordination provisions in the applicable Subordinated Debt Documents and any subordination agreement with respect thereto in favor of the Administrative Agent and the Lenders.</w:t>
      </w:r>
    </w:p>
    <w:p>
      <w:pPr>
        <w:spacing w:after="0" w:line="13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color w:val="auto"/>
        </w:rPr>
        <w:t>7.23 Anti-Terrorism Laws</w:t>
      </w:r>
      <w:r>
        <w:rPr>
          <w:rFonts w:ascii="Arial" w:cs="Arial" w:eastAsia="Arial" w:hAnsi="Arial"/>
          <w:sz w:val="20"/>
          <w:szCs w:val="20"/>
          <w:color w:val="auto"/>
        </w:rPr>
        <w:t>. Conduct, deal in or engage in or permit any Affiliate or agent of any Loan Party within its control to</w:t>
      </w:r>
      <w:r>
        <w:rPr>
          <w:rFonts w:ascii="Arial" w:cs="Arial" w:eastAsia="Arial" w:hAnsi="Arial"/>
          <w:sz w:val="20"/>
          <w:szCs w:val="20"/>
          <w:b w:val="1"/>
          <w:bCs w:val="1"/>
          <w:color w:val="auto"/>
        </w:rPr>
        <w:t xml:space="preserve"> </w:t>
      </w:r>
      <w:r>
        <w:rPr>
          <w:rFonts w:ascii="Arial" w:cs="Arial" w:eastAsia="Arial" w:hAnsi="Arial"/>
          <w:sz w:val="20"/>
          <w:szCs w:val="20"/>
          <w:color w:val="auto"/>
        </w:rPr>
        <w:t>conduct, deal in or engage in any of the following activities: (a) conduct any business or engage in any transaction or dealing with any person blocked pursuant to Executive Order No. 13224 (a “</w:t>
      </w:r>
      <w:r>
        <w:rPr>
          <w:rFonts w:ascii="Arial" w:cs="Arial" w:eastAsia="Arial" w:hAnsi="Arial"/>
          <w:sz w:val="20"/>
          <w:szCs w:val="20"/>
          <w:b w:val="1"/>
          <w:bCs w:val="1"/>
          <w:i w:val="1"/>
          <w:iCs w:val="1"/>
          <w:color w:val="auto"/>
        </w:rPr>
        <w:t>Blocked Person</w:t>
      </w:r>
      <w:r>
        <w:rPr>
          <w:rFonts w:ascii="Arial" w:cs="Arial" w:eastAsia="Arial" w:hAnsi="Arial"/>
          <w:sz w:val="20"/>
          <w:szCs w:val="20"/>
          <w:color w:val="auto"/>
        </w:rPr>
        <w:t>”), including the making or receiving of any contribution of funds, goods or services to or for the benefit of any Blocked Person; (b) deal in, or otherwise engage in any transaction relating to, any property or interests in property blocked pursuant to Executive Order No. 13224; or (c) engage in or conspire to engage in any transaction that evades or avoids, or has the purpose of evading or avoiding, or attempts to violate, any of the prohibitions set forth in Executive Order No. 13224 or the Patriot Act.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8</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EVENTS OF DEFAULT</w:t>
      </w:r>
    </w:p>
    <w:p>
      <w:pPr>
        <w:spacing w:after="0" w:line="14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8.1</w:t>
      </w:r>
      <w:r>
        <w:rPr>
          <w:sz w:val="20"/>
          <w:szCs w:val="20"/>
          <w:color w:val="auto"/>
        </w:rPr>
        <w:tab/>
      </w:r>
      <w:r>
        <w:rPr>
          <w:rFonts w:ascii="Arial" w:cs="Arial" w:eastAsia="Arial" w:hAnsi="Arial"/>
          <w:sz w:val="18"/>
          <w:szCs w:val="18"/>
          <w:b w:val="1"/>
          <w:bCs w:val="1"/>
          <w:color w:val="auto"/>
        </w:rPr>
        <w:t>Events of Default</w:t>
      </w:r>
      <w:r>
        <w:rPr>
          <w:rFonts w:ascii="Arial" w:cs="Arial" w:eastAsia="Arial" w:hAnsi="Arial"/>
          <w:sz w:val="18"/>
          <w:szCs w:val="18"/>
          <w:color w:val="auto"/>
        </w:rPr>
        <w:t>. The occurrence of any of the following shall constitute an Event of Default:</w:t>
      </w:r>
    </w:p>
    <w:p>
      <w:pPr>
        <w:spacing w:after="0" w:line="168" w:lineRule="exact"/>
        <w:rPr>
          <w:sz w:val="20"/>
          <w:szCs w:val="20"/>
          <w:color w:val="auto"/>
        </w:rPr>
      </w:pPr>
    </w:p>
    <w:p>
      <w:pPr>
        <w:jc w:val="both"/>
        <w:ind w:firstLine="1304"/>
        <w:spacing w:after="0" w:line="269" w:lineRule="auto"/>
        <w:tabs>
          <w:tab w:leader="none" w:pos="1757" w:val="left"/>
        </w:tabs>
        <w:numPr>
          <w:ilvl w:val="0"/>
          <w:numId w:val="457"/>
        </w:numPr>
        <w:rPr>
          <w:rFonts w:ascii="Arial" w:cs="Arial" w:eastAsia="Arial" w:hAnsi="Arial"/>
          <w:sz w:val="19"/>
          <w:szCs w:val="19"/>
          <w:color w:val="auto"/>
        </w:rPr>
      </w:pPr>
      <w:r>
        <w:rPr>
          <w:rFonts w:ascii="Arial" w:cs="Arial" w:eastAsia="Arial" w:hAnsi="Arial"/>
          <w:sz w:val="19"/>
          <w:szCs w:val="19"/>
          <w:color w:val="auto"/>
        </w:rPr>
        <w:t>the Borrower shall fail to pay any amount of principal of any Loan when due in accordance with the terms hereof; or the Borrower shall fail to pay any amount of interest on any Loan, or any other amount payable hereunder or under any other Loan Document, within 3 Business Days after any such interest or other amount becomes due in accordance with the terms hereof; or</w:t>
      </w:r>
    </w:p>
    <w:p>
      <w:pPr>
        <w:spacing w:after="0" w:line="115" w:lineRule="exact"/>
        <w:rPr>
          <w:rFonts w:ascii="Arial" w:cs="Arial" w:eastAsia="Arial" w:hAnsi="Arial"/>
          <w:sz w:val="19"/>
          <w:szCs w:val="19"/>
          <w:color w:val="auto"/>
        </w:rPr>
      </w:pPr>
    </w:p>
    <w:p>
      <w:pPr>
        <w:ind w:firstLine="1304"/>
        <w:spacing w:after="0" w:line="260" w:lineRule="auto"/>
        <w:tabs>
          <w:tab w:leader="none" w:pos="1740" w:val="left"/>
        </w:tabs>
        <w:numPr>
          <w:ilvl w:val="0"/>
          <w:numId w:val="457"/>
        </w:numPr>
        <w:rPr>
          <w:rFonts w:ascii="Arial" w:cs="Arial" w:eastAsia="Arial" w:hAnsi="Arial"/>
          <w:sz w:val="20"/>
          <w:szCs w:val="20"/>
          <w:color w:val="auto"/>
        </w:rPr>
      </w:pPr>
      <w:r>
        <w:rPr>
          <w:rFonts w:ascii="Arial" w:cs="Arial" w:eastAsia="Arial" w:hAnsi="Arial"/>
          <w:sz w:val="20"/>
          <w:szCs w:val="20"/>
          <w:color w:val="auto"/>
        </w:rPr>
        <w:t>any representation or warranty made or deemed made by any Loan Party herein or in any other Loan Document or that is contained in any certificate, document or financial or other</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102</w:t>
      </w:r>
    </w:p>
    <w:p>
      <w:pPr>
        <w:sectPr>
          <w:pgSz w:w="11900" w:h="16838" w:orient="portrait"/>
          <w:cols w:equalWidth="0" w:num="1">
            <w:col w:w="11240"/>
          </w:cols>
          <w:pgMar w:left="320" w:top="764" w:right="339" w:bottom="1440" w:gutter="0" w:footer="0" w:header="0"/>
        </w:sectPr>
      </w:pPr>
    </w:p>
    <w:bookmarkStart w:id="489" w:name="page490"/>
    <w:bookmarkEnd w:id="489"/>
    <w:p>
      <w:pPr>
        <w:jc w:val="both"/>
        <w:spacing w:after="0" w:line="250" w:lineRule="auto"/>
        <w:rPr>
          <w:sz w:val="20"/>
          <w:szCs w:val="20"/>
          <w:color w:val="auto"/>
        </w:rPr>
      </w:pPr>
      <w:r>
        <w:rPr>
          <w:rFonts w:ascii="Arial" w:cs="Arial" w:eastAsia="Arial" w:hAnsi="Arial"/>
          <w:sz w:val="20"/>
          <w:szCs w:val="20"/>
          <w:color w:val="auto"/>
        </w:rPr>
        <w:t>statement furnished by it at any time under or in connection with this Agreement or any such other Loan Document (i) if qualified by materiality, shall be incorrect or misleading when made or deemed made, or (ii) if not qualified by materiality, shall be incorrect or misleading in any material respect when made or deemed made; or</w:t>
      </w:r>
    </w:p>
    <w:p>
      <w:pPr>
        <w:spacing w:after="0" w:line="132" w:lineRule="exact"/>
        <w:rPr>
          <w:sz w:val="20"/>
          <w:szCs w:val="20"/>
          <w:color w:val="auto"/>
        </w:rPr>
      </w:pPr>
    </w:p>
    <w:p>
      <w:pPr>
        <w:jc w:val="both"/>
        <w:ind w:firstLine="1304"/>
        <w:spacing w:after="0" w:line="269" w:lineRule="auto"/>
        <w:tabs>
          <w:tab w:leader="none" w:pos="1754" w:val="left"/>
        </w:tabs>
        <w:numPr>
          <w:ilvl w:val="0"/>
          <w:numId w:val="458"/>
        </w:numPr>
        <w:rPr>
          <w:rFonts w:ascii="Arial" w:cs="Arial" w:eastAsia="Arial" w:hAnsi="Arial"/>
          <w:sz w:val="19"/>
          <w:szCs w:val="19"/>
          <w:color w:val="auto"/>
        </w:rPr>
      </w:pPr>
      <w:r>
        <w:rPr>
          <w:rFonts w:ascii="Arial" w:cs="Arial" w:eastAsia="Arial" w:hAnsi="Arial"/>
          <w:sz w:val="19"/>
          <w:szCs w:val="19"/>
          <w:color w:val="auto"/>
        </w:rPr>
        <w:t xml:space="preserve">(i) any Loan Party shall default in the observance or performance of any agreement contained in,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6.2</w:t>
      </w:r>
      <w:r>
        <w:rPr>
          <w:rFonts w:ascii="Arial" w:cs="Arial" w:eastAsia="Arial" w:hAnsi="Arial"/>
          <w:sz w:val="19"/>
          <w:szCs w:val="19"/>
          <w:color w:val="auto"/>
        </w:rPr>
        <w:t xml:space="preserve">, clause (i) or (ii) of </w:t>
      </w:r>
      <w:r>
        <w:rPr>
          <w:rFonts w:ascii="Arial" w:cs="Arial" w:eastAsia="Arial" w:hAnsi="Arial"/>
          <w:sz w:val="19"/>
          <w:szCs w:val="19"/>
          <w:u w:val="single" w:color="auto"/>
          <w:color w:val="auto"/>
        </w:rPr>
        <w:t>Section 6.5(a)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6.6(b)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6.8(a)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6.10</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6.16</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of this Agreement or (ii) an “Event of Default” under and as defined in any Security Document shall have occurred and be continuing; or</w:t>
      </w:r>
    </w:p>
    <w:p>
      <w:pPr>
        <w:spacing w:after="0" w:line="115" w:lineRule="exact"/>
        <w:rPr>
          <w:rFonts w:ascii="Arial" w:cs="Arial" w:eastAsia="Arial" w:hAnsi="Arial"/>
          <w:sz w:val="19"/>
          <w:szCs w:val="19"/>
          <w:color w:val="auto"/>
        </w:rPr>
      </w:pPr>
    </w:p>
    <w:p>
      <w:pPr>
        <w:jc w:val="both"/>
        <w:ind w:firstLine="1304"/>
        <w:spacing w:after="0" w:line="257" w:lineRule="auto"/>
        <w:tabs>
          <w:tab w:leader="none" w:pos="1759" w:val="left"/>
        </w:tabs>
        <w:numPr>
          <w:ilvl w:val="0"/>
          <w:numId w:val="458"/>
        </w:numPr>
        <w:rPr>
          <w:rFonts w:ascii="Arial" w:cs="Arial" w:eastAsia="Arial" w:hAnsi="Arial"/>
          <w:sz w:val="19"/>
          <w:szCs w:val="19"/>
          <w:color w:val="auto"/>
        </w:rPr>
      </w:pPr>
      <w:r>
        <w:rPr>
          <w:rFonts w:ascii="Arial" w:cs="Arial" w:eastAsia="Arial" w:hAnsi="Arial"/>
          <w:sz w:val="19"/>
          <w:szCs w:val="19"/>
          <w:color w:val="auto"/>
        </w:rPr>
        <w:t xml:space="preserve">any Loan Party shall default in the observance or performance of any other agreement contained in this Agreement or any other Loan Document (other than as provided in paragraphs (a) through (c) of this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and such default shall continue unremedied for a period of 15 Business Days thereafter;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that if the default cannot by its nature be cured within the 15 Business Days or cannot after diligent attempts by the applicable Loan Party be cured within such 15 Business Days period, and such default is likely to be cured within a reasonable time, then such Loan Party shall have an additional period (which shall not in any case exceed 45 days) to attempt to cure such default), and within such reasonable time period the failure to cure the default shall not be deemed an Event of Default (but no Revolving Extensions of Credit shall be made during such cure period); or</w:t>
      </w:r>
    </w:p>
    <w:p>
      <w:pPr>
        <w:spacing w:after="0" w:line="130" w:lineRule="exact"/>
        <w:rPr>
          <w:rFonts w:ascii="Arial" w:cs="Arial" w:eastAsia="Arial" w:hAnsi="Arial"/>
          <w:sz w:val="19"/>
          <w:szCs w:val="19"/>
          <w:color w:val="auto"/>
        </w:rPr>
      </w:pPr>
    </w:p>
    <w:p>
      <w:pPr>
        <w:jc w:val="both"/>
        <w:ind w:firstLine="1304"/>
        <w:spacing w:after="0" w:line="268" w:lineRule="auto"/>
        <w:tabs>
          <w:tab w:leader="none" w:pos="1772" w:val="left"/>
        </w:tabs>
        <w:numPr>
          <w:ilvl w:val="0"/>
          <w:numId w:val="458"/>
        </w:numPr>
        <w:rPr>
          <w:rFonts w:ascii="Arial" w:cs="Arial" w:eastAsia="Arial" w:hAnsi="Arial"/>
          <w:sz w:val="18"/>
          <w:szCs w:val="18"/>
          <w:color w:val="auto"/>
        </w:rPr>
      </w:pPr>
      <w:r>
        <w:rPr>
          <w:rFonts w:ascii="Arial" w:cs="Arial" w:eastAsia="Arial" w:hAnsi="Arial"/>
          <w:sz w:val="18"/>
          <w:szCs w:val="18"/>
          <w:color w:val="auto"/>
        </w:rPr>
        <w:t xml:space="preserve">(i) any Group Member shall (A) default in making any payment of any principal of any Indebtedness (including any Guarantee Obligation, but excluding the Loans) on the scheduled or original due date with respect thereto; (B) default in making any payment of any interest, fees, costs or expenses on any such Indebtedness beyond the period of grace, if any, provided in the instrument or agreement under which such Indebtedness was created; (C) default in making any payment or delivery under any such Indebtedness constituting a Swap Agreement beyond the period of grace, if any, provided in such Swap Agreement; or (D) default in the observance or performance of any other agreement or condition relating to any such Indebtedness or contained in any instrument or agreement evidencing, securing or relating thereto, or any other event shall occur or condition exist, the effect of which default or other event or condition is to (1) cause, or to permit the holder or beneficiary of, or, in the case of any such Indebtedness constituting a Swap Agreement, counterparty under, such Indebtedness (or a trustee or agent on behalf of such holder, beneficiary, or counterparty) to cause, with the giving of notice if required, such Indebtedness to become due prior to its stated maturity or (in the case of any such Indebtedness constituting a Guarantee Obligation) to become payable or (in the case of any such Indebtedness constituting a Swap Agreement) to be terminated, or (2) to cause, with the giving of notice if required, any Group Member to purchase, redeem, mandatorily prepay or make an offer to purchase, redeem or mandatorily prepay such Indebtedness prior to its stated maturity;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 default, event or condition described in clauses (i)(A), (B), (C), or (D) of this </w:t>
      </w:r>
      <w:r>
        <w:rPr>
          <w:rFonts w:ascii="Arial" w:cs="Arial" w:eastAsia="Arial" w:hAnsi="Arial"/>
          <w:sz w:val="18"/>
          <w:szCs w:val="18"/>
          <w:u w:val="single" w:color="auto"/>
          <w:color w:val="auto"/>
        </w:rPr>
        <w:t>Section 8.1(e)</w:t>
      </w:r>
      <w:r>
        <w:rPr>
          <w:rFonts w:ascii="Arial" w:cs="Arial" w:eastAsia="Arial" w:hAnsi="Arial"/>
          <w:sz w:val="18"/>
          <w:szCs w:val="18"/>
          <w:color w:val="auto"/>
        </w:rPr>
        <w:t xml:space="preserve"> shall not at any time constitute an Event of Default unless, at such time, one or more defaults, events or conditions of the type described in any of clauses (i)(A), (B), (C), or (D) of this </w:t>
      </w:r>
      <w:r>
        <w:rPr>
          <w:rFonts w:ascii="Arial" w:cs="Arial" w:eastAsia="Arial" w:hAnsi="Arial"/>
          <w:sz w:val="18"/>
          <w:szCs w:val="18"/>
          <w:u w:val="single" w:color="auto"/>
          <w:color w:val="auto"/>
        </w:rPr>
        <w:t>Section 8.1(e)</w:t>
      </w:r>
      <w:r>
        <w:rPr>
          <w:rFonts w:ascii="Arial" w:cs="Arial" w:eastAsia="Arial" w:hAnsi="Arial"/>
          <w:sz w:val="18"/>
          <w:szCs w:val="18"/>
          <w:color w:val="auto"/>
        </w:rPr>
        <w:t xml:space="preserve"> shall have occurred with respect to Indebtedness, the outstanding principal amount (and, in the case of Swap Agreements, the Swap Termination Value) of which, individually or in the aggregate for all such Indebtedness, exceeds $5,000,000; or (ii) any default or event of default (however designated) shall occur with respect to any Subordinated Indebtedness of any Group Member (after any applicable grace period (but excluding any standstill or similar period) and to the extent not waived); or</w:t>
      </w:r>
    </w:p>
    <w:p>
      <w:pPr>
        <w:spacing w:after="0" w:line="130" w:lineRule="exact"/>
        <w:rPr>
          <w:rFonts w:ascii="Arial" w:cs="Arial" w:eastAsia="Arial" w:hAnsi="Arial"/>
          <w:sz w:val="18"/>
          <w:szCs w:val="18"/>
          <w:color w:val="auto"/>
        </w:rPr>
      </w:pPr>
    </w:p>
    <w:p>
      <w:pPr>
        <w:jc w:val="both"/>
        <w:ind w:firstLine="1304"/>
        <w:spacing w:after="0" w:line="257" w:lineRule="auto"/>
        <w:tabs>
          <w:tab w:leader="none" w:pos="1692" w:val="left"/>
        </w:tabs>
        <w:numPr>
          <w:ilvl w:val="0"/>
          <w:numId w:val="458"/>
        </w:numPr>
        <w:rPr>
          <w:rFonts w:ascii="Arial" w:cs="Arial" w:eastAsia="Arial" w:hAnsi="Arial"/>
          <w:sz w:val="19"/>
          <w:szCs w:val="19"/>
          <w:color w:val="auto"/>
        </w:rPr>
      </w:pPr>
      <w:r>
        <w:rPr>
          <w:rFonts w:ascii="Arial" w:cs="Arial" w:eastAsia="Arial" w:hAnsi="Arial"/>
          <w:sz w:val="19"/>
          <w:szCs w:val="19"/>
          <w:color w:val="auto"/>
        </w:rPr>
        <w:t>(i) any Group Member shall commence any case, proceeding or other action (a) under any Debtor Relief Law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conservator or other similar official for it or for all or any substantial part of its assets, or any Group Member shall make a general assignment for the benefit of its creditors; or (ii) there shall be commenced against any Group Member any case, proceeding or other action of a nature referred to in clause (i) above that (x) results in the entry of an order for relief or any such adjudication or appointment or (y) remains undismissed, undischarged or unbonded for a period of 60 days (</w:t>
      </w:r>
      <w:r>
        <w:rPr>
          <w:rFonts w:ascii="Arial" w:cs="Arial" w:eastAsia="Arial" w:hAnsi="Arial"/>
          <w:sz w:val="19"/>
          <w:szCs w:val="19"/>
          <w:u w:val="single" w:color="auto"/>
          <w:color w:val="auto"/>
        </w:rPr>
        <w:t>provided that</w:t>
      </w:r>
      <w:r>
        <w:rPr>
          <w:rFonts w:ascii="Arial" w:cs="Arial" w:eastAsia="Arial" w:hAnsi="Arial"/>
          <w:sz w:val="19"/>
          <w:szCs w:val="19"/>
          <w:color w:val="auto"/>
        </w:rPr>
        <w:t>, during such 60 day period, no Loan shall be advanced or Letters of Credit issued</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103</w:t>
      </w:r>
    </w:p>
    <w:p>
      <w:pPr>
        <w:sectPr>
          <w:pgSz w:w="11900" w:h="16838" w:orient="portrait"/>
          <w:cols w:equalWidth="0" w:num="1">
            <w:col w:w="11240"/>
          </w:cols>
          <w:pgMar w:left="320" w:top="770" w:right="339" w:bottom="1440" w:gutter="0" w:footer="0" w:header="0"/>
        </w:sectPr>
      </w:pPr>
    </w:p>
    <w:bookmarkStart w:id="490" w:name="page491"/>
    <w:bookmarkEnd w:id="490"/>
    <w:p>
      <w:pPr>
        <w:jc w:val="both"/>
        <w:spacing w:after="0" w:line="243" w:lineRule="auto"/>
        <w:rPr>
          <w:sz w:val="20"/>
          <w:szCs w:val="20"/>
          <w:color w:val="auto"/>
        </w:rPr>
      </w:pPr>
      <w:r>
        <w:rPr>
          <w:rFonts w:ascii="Arial" w:cs="Arial" w:eastAsia="Arial" w:hAnsi="Arial"/>
          <w:sz w:val="20"/>
          <w:szCs w:val="20"/>
          <w:color w:val="auto"/>
        </w:rPr>
        <w:t>hereunder); or (iii) there shall be commenced against any Group Member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during such 60 day period, no Loan shall be advanced or Letters of Credit issued hereunder); or (iv) any Group Member shall take any action in furtherance of, or indicating its consent to, approval of, or acquiescence in, any of the acts set forth in clause (i), (ii), or (iii) above; or (v) any Group Member shall generally not, or shall be unable to, or shall admit in writing its inability to, pay its debts as they become due; or</w:t>
      </w:r>
    </w:p>
    <w:p>
      <w:pPr>
        <w:spacing w:after="0" w:line="139" w:lineRule="exact"/>
        <w:rPr>
          <w:sz w:val="20"/>
          <w:szCs w:val="20"/>
          <w:color w:val="auto"/>
        </w:rPr>
      </w:pPr>
    </w:p>
    <w:p>
      <w:pPr>
        <w:jc w:val="both"/>
        <w:ind w:firstLine="1304"/>
        <w:spacing w:after="0" w:line="244" w:lineRule="auto"/>
        <w:tabs>
          <w:tab w:leader="none" w:pos="1736" w:val="left"/>
        </w:tabs>
        <w:numPr>
          <w:ilvl w:val="0"/>
          <w:numId w:val="459"/>
        </w:numPr>
        <w:rPr>
          <w:rFonts w:ascii="Arial" w:cs="Arial" w:eastAsia="Arial" w:hAnsi="Arial"/>
          <w:sz w:val="20"/>
          <w:szCs w:val="20"/>
          <w:color w:val="auto"/>
        </w:rPr>
      </w:pPr>
      <w:r>
        <w:rPr>
          <w:rFonts w:ascii="Arial" w:cs="Arial" w:eastAsia="Arial" w:hAnsi="Arial"/>
          <w:sz w:val="20"/>
          <w:szCs w:val="20"/>
          <w:color w:val="auto"/>
        </w:rPr>
        <w:t>there shall occur one or more ERISA Events which individually or in the aggregate results in or otherwise is associated with liability of any Loan Party or any ERISA Affiliate thereof in excess of $5,000,000 during the term of this Agreement; or there exists an amount of unfunded benefit liabilities (as defined in Section 4001(a)(18) of ERISA), individually or in the aggregate for all Pension Plans (excluding for purposes of such computation any Pension Plans with respect to which assets exceed benefit liabilities) which exceeds $5,000,000; or</w:t>
      </w:r>
    </w:p>
    <w:p>
      <w:pPr>
        <w:spacing w:after="0" w:line="140" w:lineRule="exact"/>
        <w:rPr>
          <w:rFonts w:ascii="Arial" w:cs="Arial" w:eastAsia="Arial" w:hAnsi="Arial"/>
          <w:sz w:val="20"/>
          <w:szCs w:val="20"/>
          <w:color w:val="auto"/>
        </w:rPr>
      </w:pPr>
    </w:p>
    <w:p>
      <w:pPr>
        <w:jc w:val="both"/>
        <w:ind w:firstLine="1304"/>
        <w:spacing w:after="0" w:line="243" w:lineRule="auto"/>
        <w:tabs>
          <w:tab w:leader="none" w:pos="1844" w:val="left"/>
        </w:tabs>
        <w:numPr>
          <w:ilvl w:val="0"/>
          <w:numId w:val="459"/>
        </w:numPr>
        <w:rPr>
          <w:rFonts w:ascii="Arial" w:cs="Arial" w:eastAsia="Arial" w:hAnsi="Arial"/>
          <w:sz w:val="20"/>
          <w:szCs w:val="20"/>
          <w:color w:val="auto"/>
        </w:rPr>
      </w:pPr>
      <w:r>
        <w:rPr>
          <w:rFonts w:ascii="Arial" w:cs="Arial" w:eastAsia="Arial" w:hAnsi="Arial"/>
          <w:sz w:val="20"/>
          <w:szCs w:val="20"/>
          <w:color w:val="auto"/>
        </w:rPr>
        <w:t>there is entered against any Group Member (i) one or more final judgments or orders for the payment of money involving in the aggregate a liability (not paid or fully covered by insurance as to which the relevant insurance company has acknowledged coverage) of $5,000,000 or more, or (ii) one or more non-monetary final judgments that have, or would reasonably be expected to have, individually or in the aggregate, a Material Adverse Effect and, in either case, (A) enforcement proceedings are commenced by any creditor upon such judgment or order, or (B) all such judgments or decrees shall not have been vacated, discharged, stayed or bonded pending appeal within 60 days from the entry thereof; or</w:t>
      </w:r>
    </w:p>
    <w:p>
      <w:pPr>
        <w:spacing w:after="0" w:line="141" w:lineRule="exact"/>
        <w:rPr>
          <w:rFonts w:ascii="Arial" w:cs="Arial" w:eastAsia="Arial" w:hAnsi="Arial"/>
          <w:sz w:val="20"/>
          <w:szCs w:val="20"/>
          <w:color w:val="auto"/>
        </w:rPr>
      </w:pPr>
    </w:p>
    <w:p>
      <w:pPr>
        <w:jc w:val="both"/>
        <w:ind w:firstLine="1304"/>
        <w:spacing w:after="0" w:line="250" w:lineRule="auto"/>
        <w:tabs>
          <w:tab w:leader="none" w:pos="1699" w:val="left"/>
        </w:tabs>
        <w:numPr>
          <w:ilvl w:val="0"/>
          <w:numId w:val="459"/>
        </w:numPr>
        <w:rPr>
          <w:rFonts w:ascii="Arial" w:cs="Arial" w:eastAsia="Arial" w:hAnsi="Arial"/>
          <w:sz w:val="20"/>
          <w:szCs w:val="20"/>
          <w:color w:val="auto"/>
        </w:rPr>
      </w:pPr>
      <w:r>
        <w:rPr>
          <w:rFonts w:ascii="Arial" w:cs="Arial" w:eastAsia="Arial" w:hAnsi="Arial"/>
          <w:sz w:val="20"/>
          <w:szCs w:val="20"/>
          <w:color w:val="auto"/>
        </w:rPr>
        <w:t>(i) any of the Security Documents shall cease, for any reason, to be in full force and effect (other than pursuant to the terms thereof), or any Loan Party shall so assert, or any Lien created by any of the Security Documents shall cease to be enforceable and of the same effect and priority purported to be created thereby; or</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104</w:t>
      </w:r>
    </w:p>
    <w:p>
      <w:pPr>
        <w:sectPr>
          <w:pgSz w:w="11900" w:h="16838" w:orient="portrait"/>
          <w:cols w:equalWidth="0" w:num="1">
            <w:col w:w="11240"/>
          </w:cols>
          <w:pgMar w:left="320" w:top="770" w:right="339" w:bottom="1440" w:gutter="0" w:footer="0" w:header="0"/>
        </w:sectPr>
      </w:pPr>
    </w:p>
    <w:bookmarkStart w:id="491" w:name="page492"/>
    <w:bookmarkEnd w:id="491"/>
    <w:p>
      <w:pPr>
        <w:ind w:firstLine="1952"/>
        <w:spacing w:after="0" w:line="260" w:lineRule="auto"/>
        <w:tabs>
          <w:tab w:leader="none" w:pos="2489" w:val="left"/>
        </w:tabs>
        <w:numPr>
          <w:ilvl w:val="1"/>
          <w:numId w:val="460"/>
        </w:numPr>
        <w:rPr>
          <w:rFonts w:ascii="Arial" w:cs="Arial" w:eastAsia="Arial" w:hAnsi="Arial"/>
          <w:sz w:val="20"/>
          <w:szCs w:val="20"/>
          <w:color w:val="auto"/>
        </w:rPr>
      </w:pPr>
      <w:r>
        <w:rPr>
          <w:rFonts w:ascii="Arial" w:cs="Arial" w:eastAsia="Arial" w:hAnsi="Arial"/>
          <w:sz w:val="20"/>
          <w:szCs w:val="20"/>
          <w:color w:val="auto"/>
        </w:rPr>
        <w:t>any court order enjoins, restrains or prevents a Loan Party from conducting all or any material part of its business for more than seven consecutive Business Days; or</w:t>
      </w:r>
    </w:p>
    <w:p>
      <w:pPr>
        <w:spacing w:after="0" w:line="122" w:lineRule="exact"/>
        <w:rPr>
          <w:rFonts w:ascii="Arial" w:cs="Arial" w:eastAsia="Arial" w:hAnsi="Arial"/>
          <w:sz w:val="20"/>
          <w:szCs w:val="20"/>
          <w:color w:val="auto"/>
        </w:rPr>
      </w:pPr>
    </w:p>
    <w:p>
      <w:pPr>
        <w:ind w:firstLine="1304"/>
        <w:spacing w:after="0" w:line="260" w:lineRule="auto"/>
        <w:tabs>
          <w:tab w:leader="none" w:pos="1692" w:val="left"/>
        </w:tabs>
        <w:numPr>
          <w:ilvl w:val="0"/>
          <w:numId w:val="461"/>
        </w:numPr>
        <w:rPr>
          <w:rFonts w:ascii="Arial" w:cs="Arial" w:eastAsia="Arial" w:hAnsi="Arial"/>
          <w:sz w:val="20"/>
          <w:szCs w:val="20"/>
          <w:color w:val="auto"/>
        </w:rPr>
      </w:pPr>
      <w:r>
        <w:rPr>
          <w:rFonts w:ascii="Arial" w:cs="Arial" w:eastAsia="Arial" w:hAnsi="Arial"/>
          <w:sz w:val="20"/>
          <w:szCs w:val="20"/>
          <w:color w:val="auto"/>
        </w:rPr>
        <w:t>the guarantee contained in Section 2 of the Guarantee and Collateral Agreement shall cease, for any reason, to be in full force and effect or any Loan Party shall so assert; or</w:t>
      </w:r>
    </w:p>
    <w:p>
      <w:pPr>
        <w:spacing w:after="0" w:line="122" w:lineRule="exact"/>
        <w:rPr>
          <w:rFonts w:ascii="Arial" w:cs="Arial" w:eastAsia="Arial" w:hAnsi="Arial"/>
          <w:sz w:val="20"/>
          <w:szCs w:val="20"/>
          <w:color w:val="auto"/>
        </w:rPr>
      </w:pPr>
    </w:p>
    <w:p>
      <w:pPr>
        <w:ind w:left="1740" w:hanging="436"/>
        <w:spacing w:after="0"/>
        <w:tabs>
          <w:tab w:leader="none" w:pos="1740" w:val="left"/>
        </w:tabs>
        <w:numPr>
          <w:ilvl w:val="0"/>
          <w:numId w:val="461"/>
        </w:numPr>
        <w:rPr>
          <w:rFonts w:ascii="Arial" w:cs="Arial" w:eastAsia="Arial" w:hAnsi="Arial"/>
          <w:sz w:val="20"/>
          <w:szCs w:val="20"/>
          <w:color w:val="auto"/>
        </w:rPr>
      </w:pPr>
      <w:r>
        <w:rPr>
          <w:rFonts w:ascii="Arial" w:cs="Arial" w:eastAsia="Arial" w:hAnsi="Arial"/>
          <w:sz w:val="20"/>
          <w:szCs w:val="20"/>
          <w:color w:val="auto"/>
        </w:rPr>
        <w:t>a Change of Control shall occur; or</w:t>
      </w:r>
    </w:p>
    <w:p>
      <w:pPr>
        <w:spacing w:after="0" w:line="161" w:lineRule="exact"/>
        <w:rPr>
          <w:rFonts w:ascii="Arial" w:cs="Arial" w:eastAsia="Arial" w:hAnsi="Arial"/>
          <w:sz w:val="20"/>
          <w:szCs w:val="20"/>
          <w:color w:val="auto"/>
        </w:rPr>
      </w:pPr>
    </w:p>
    <w:p>
      <w:pPr>
        <w:jc w:val="both"/>
        <w:ind w:firstLine="1304"/>
        <w:spacing w:after="0" w:line="273" w:lineRule="auto"/>
        <w:tabs>
          <w:tab w:leader="none" w:pos="1683" w:val="left"/>
        </w:tabs>
        <w:numPr>
          <w:ilvl w:val="0"/>
          <w:numId w:val="461"/>
        </w:numPr>
        <w:rPr>
          <w:rFonts w:ascii="Arial" w:cs="Arial" w:eastAsia="Arial" w:hAnsi="Arial"/>
          <w:sz w:val="18"/>
          <w:szCs w:val="18"/>
          <w:color w:val="auto"/>
        </w:rPr>
      </w:pPr>
      <w:r>
        <w:rPr>
          <w:rFonts w:ascii="Arial" w:cs="Arial" w:eastAsia="Arial" w:hAnsi="Arial"/>
          <w:sz w:val="18"/>
          <w:szCs w:val="18"/>
          <w:color w:val="auto"/>
        </w:rPr>
        <w:t>any of the Governmental Approvals necessary for an of the Group Members to operate its respective business shall have been (i) revoked, rescinded, suspended, modified in an adverse manner or not renewed in the ordinary course for a full term or (ii) subject to any decision by a Governmental Authority that designates a hearing with respect to any applications for renewal of any of the Governmental Approvals or that could result in the Governmental Authority taking any of the actions described in clause (i) above, and such decision or such revocation, rescission, suspension, modification or nonrenewal (x) has, or could reasonably be expected to have, a Material Adverse Effect, or (y) adversely affects the legal qualifications of any Group Member to hold any material Governmental Approval in any applicable jurisdiction and such adverse effect on the legal qualifications of any such Group Member to hold any material Governmental Approval in any applicable jurisdiction could reasonably be expected to have a Material Adverse Effect; or</w:t>
      </w:r>
    </w:p>
    <w:p>
      <w:pPr>
        <w:spacing w:after="0" w:line="114" w:lineRule="exact"/>
        <w:rPr>
          <w:rFonts w:ascii="Arial" w:cs="Arial" w:eastAsia="Arial" w:hAnsi="Arial"/>
          <w:sz w:val="18"/>
          <w:szCs w:val="18"/>
          <w:color w:val="auto"/>
        </w:rPr>
      </w:pPr>
    </w:p>
    <w:p>
      <w:pPr>
        <w:jc w:val="both"/>
        <w:ind w:firstLine="1304"/>
        <w:spacing w:after="0" w:line="243" w:lineRule="auto"/>
        <w:tabs>
          <w:tab w:leader="none" w:pos="1783" w:val="left"/>
        </w:tabs>
        <w:numPr>
          <w:ilvl w:val="0"/>
          <w:numId w:val="461"/>
        </w:numPr>
        <w:rPr>
          <w:rFonts w:ascii="Arial" w:cs="Arial" w:eastAsia="Arial" w:hAnsi="Arial"/>
          <w:sz w:val="20"/>
          <w:szCs w:val="20"/>
          <w:color w:val="auto"/>
        </w:rPr>
      </w:pPr>
      <w:r>
        <w:rPr>
          <w:rFonts w:ascii="Arial" w:cs="Arial" w:eastAsia="Arial" w:hAnsi="Arial"/>
          <w:sz w:val="20"/>
          <w:szCs w:val="20"/>
          <w:color w:val="auto"/>
        </w:rPr>
        <w:t xml:space="preserve">any Loan Document (including the subordination provisions of any subordination or intercreditor agreement governing Subordinated Indebtedness) not otherwise referenced in </w:t>
      </w:r>
      <w:r>
        <w:rPr>
          <w:rFonts w:ascii="Arial" w:cs="Arial" w:eastAsia="Arial" w:hAnsi="Arial"/>
          <w:sz w:val="20"/>
          <w:szCs w:val="20"/>
          <w:u w:val="single" w:color="auto"/>
          <w:color w:val="auto"/>
        </w:rPr>
        <w:t>Section 8.1(i)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(j)</w:t>
      </w:r>
      <w:r>
        <w:rPr>
          <w:rFonts w:ascii="Arial" w:cs="Arial" w:eastAsia="Arial" w:hAnsi="Arial"/>
          <w:sz w:val="20"/>
          <w:szCs w:val="20"/>
          <w:color w:val="auto"/>
        </w:rPr>
        <w:t>, at any time after its execution and delivery and for any reason other than as expressly permitted hereunder or thereunder or the Discharge of Obligations, ceases to be in full force and effect; or any Loan Party or any other Person contests in any manner the validity or enforceability of any Loan Document; or any Loan Party denies that it has any liability or obligation under any Loan Document to which it is a party, or purports to revoke, terminate or rescind any such Loan Document; or</w:t>
      </w:r>
    </w:p>
    <w:p>
      <w:pPr>
        <w:spacing w:after="0" w:line="141" w:lineRule="exact"/>
        <w:rPr>
          <w:rFonts w:ascii="Arial" w:cs="Arial" w:eastAsia="Arial" w:hAnsi="Arial"/>
          <w:sz w:val="20"/>
          <w:szCs w:val="20"/>
          <w:color w:val="auto"/>
        </w:rPr>
      </w:pPr>
    </w:p>
    <w:p>
      <w:pPr>
        <w:ind w:left="1740" w:hanging="436"/>
        <w:spacing w:after="0"/>
        <w:tabs>
          <w:tab w:leader="none" w:pos="1740" w:val="left"/>
        </w:tabs>
        <w:numPr>
          <w:ilvl w:val="0"/>
          <w:numId w:val="461"/>
        </w:numPr>
        <w:rPr>
          <w:rFonts w:ascii="Arial" w:cs="Arial" w:eastAsia="Arial" w:hAnsi="Arial"/>
          <w:sz w:val="20"/>
          <w:szCs w:val="20"/>
          <w:color w:val="auto"/>
        </w:rPr>
      </w:pPr>
      <w:r>
        <w:rPr>
          <w:rFonts w:ascii="Arial" w:cs="Arial" w:eastAsia="Arial" w:hAnsi="Arial"/>
          <w:sz w:val="20"/>
          <w:szCs w:val="20"/>
          <w:color w:val="auto"/>
        </w:rPr>
        <w:t>the occurrence of a Deemed Liquidation Event (as defined in the Investor Indebtedness documents); or</w:t>
      </w:r>
    </w:p>
    <w:p>
      <w:pPr>
        <w:spacing w:after="0" w:line="161" w:lineRule="exact"/>
        <w:rPr>
          <w:rFonts w:ascii="Arial" w:cs="Arial" w:eastAsia="Arial" w:hAnsi="Arial"/>
          <w:sz w:val="20"/>
          <w:szCs w:val="20"/>
          <w:color w:val="auto"/>
        </w:rPr>
      </w:pPr>
    </w:p>
    <w:p>
      <w:pPr>
        <w:ind w:left="1740" w:hanging="436"/>
        <w:spacing w:after="0"/>
        <w:tabs>
          <w:tab w:leader="none" w:pos="1740" w:val="left"/>
        </w:tabs>
        <w:numPr>
          <w:ilvl w:val="0"/>
          <w:numId w:val="461"/>
        </w:numPr>
        <w:rPr>
          <w:rFonts w:ascii="Arial" w:cs="Arial" w:eastAsia="Arial" w:hAnsi="Arial"/>
          <w:sz w:val="20"/>
          <w:szCs w:val="20"/>
          <w:color w:val="auto"/>
        </w:rPr>
      </w:pPr>
      <w:r>
        <w:rPr>
          <w:rFonts w:ascii="Arial" w:cs="Arial" w:eastAsia="Arial" w:hAnsi="Arial"/>
          <w:sz w:val="20"/>
          <w:szCs w:val="20"/>
          <w:color w:val="auto"/>
        </w:rPr>
        <w:t>an event or condition occurs or exists that has had a Material Adverse Effect.</w:t>
      </w:r>
    </w:p>
    <w:p>
      <w:pPr>
        <w:spacing w:after="0" w:line="156" w:lineRule="exact"/>
        <w:rPr>
          <w:sz w:val="20"/>
          <w:szCs w:val="20"/>
          <w:color w:val="auto"/>
        </w:rPr>
      </w:pPr>
    </w:p>
    <w:p>
      <w:pPr>
        <w:ind w:right="20" w:firstLine="648"/>
        <w:spacing w:after="0" w:line="267" w:lineRule="auto"/>
        <w:rPr>
          <w:sz w:val="20"/>
          <w:szCs w:val="20"/>
          <w:color w:val="auto"/>
        </w:rPr>
      </w:pPr>
      <w:r>
        <w:rPr>
          <w:rFonts w:ascii="Arial" w:cs="Arial" w:eastAsia="Arial" w:hAnsi="Arial"/>
          <w:sz w:val="20"/>
          <w:szCs w:val="20"/>
          <w:b w:val="1"/>
          <w:bCs w:val="1"/>
          <w:color w:val="auto"/>
        </w:rPr>
        <w:t>8.2 Remedies Upon Event of Default</w:t>
      </w:r>
      <w:r>
        <w:rPr>
          <w:rFonts w:ascii="Arial" w:cs="Arial" w:eastAsia="Arial" w:hAnsi="Arial"/>
          <w:sz w:val="20"/>
          <w:szCs w:val="20"/>
          <w:color w:val="auto"/>
        </w:rPr>
        <w:t>. If any Event of Default occurs and is continuing, the Administrative Agent shall, at the</w:t>
      </w:r>
      <w:r>
        <w:rPr>
          <w:rFonts w:ascii="Arial" w:cs="Arial" w:eastAsia="Arial" w:hAnsi="Arial"/>
          <w:sz w:val="20"/>
          <w:szCs w:val="20"/>
          <w:b w:val="1"/>
          <w:bCs w:val="1"/>
          <w:color w:val="auto"/>
        </w:rPr>
        <w:t xml:space="preserve"> </w:t>
      </w:r>
      <w:r>
        <w:rPr>
          <w:rFonts w:ascii="Arial" w:cs="Arial" w:eastAsia="Arial" w:hAnsi="Arial"/>
          <w:sz w:val="20"/>
          <w:szCs w:val="20"/>
          <w:color w:val="auto"/>
        </w:rPr>
        <w:t>request of, or may, with the consent of, the Required Lenders, take any or all of the following actions:</w:t>
      </w:r>
    </w:p>
    <w:p>
      <w:pPr>
        <w:spacing w:after="0" w:line="115" w:lineRule="exact"/>
        <w:rPr>
          <w:sz w:val="20"/>
          <w:szCs w:val="20"/>
          <w:color w:val="auto"/>
        </w:rPr>
      </w:pPr>
    </w:p>
    <w:p>
      <w:pPr>
        <w:jc w:val="both"/>
        <w:ind w:firstLine="1304"/>
        <w:spacing w:after="0" w:line="269" w:lineRule="auto"/>
        <w:tabs>
          <w:tab w:leader="none" w:pos="1787" w:val="left"/>
        </w:tabs>
        <w:numPr>
          <w:ilvl w:val="0"/>
          <w:numId w:val="462"/>
        </w:numPr>
        <w:rPr>
          <w:rFonts w:ascii="Arial" w:cs="Arial" w:eastAsia="Arial" w:hAnsi="Arial"/>
          <w:sz w:val="19"/>
          <w:szCs w:val="19"/>
          <w:color w:val="auto"/>
        </w:rPr>
      </w:pPr>
      <w:r>
        <w:rPr>
          <w:rFonts w:ascii="Arial" w:cs="Arial" w:eastAsia="Arial" w:hAnsi="Arial"/>
          <w:sz w:val="19"/>
          <w:szCs w:val="19"/>
          <w:color w:val="auto"/>
        </w:rPr>
        <w:t xml:space="preserve">if such event is an Event of Default specified in clause (i) or (ii) of paragraph (f) of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with respect to the Borrower, the Commitments shall immediately terminate automatically and the Loans (with accrued interest thereon) and all other amounts owing under this Agreement and the other Loan Documents shall automatically immediately become due and payable, and</w:t>
      </w:r>
    </w:p>
    <w:p>
      <w:pPr>
        <w:spacing w:after="0" w:line="115" w:lineRule="exact"/>
        <w:rPr>
          <w:rFonts w:ascii="Arial" w:cs="Arial" w:eastAsia="Arial" w:hAnsi="Arial"/>
          <w:sz w:val="19"/>
          <w:szCs w:val="19"/>
          <w:color w:val="auto"/>
        </w:rPr>
      </w:pPr>
    </w:p>
    <w:p>
      <w:pPr>
        <w:jc w:val="both"/>
        <w:ind w:firstLine="1304"/>
        <w:spacing w:after="0" w:line="255" w:lineRule="auto"/>
        <w:tabs>
          <w:tab w:leader="none" w:pos="1815" w:val="left"/>
        </w:tabs>
        <w:numPr>
          <w:ilvl w:val="0"/>
          <w:numId w:val="462"/>
        </w:numPr>
        <w:rPr>
          <w:rFonts w:ascii="Arial" w:cs="Arial" w:eastAsia="Arial" w:hAnsi="Arial"/>
          <w:sz w:val="19"/>
          <w:szCs w:val="19"/>
          <w:color w:val="auto"/>
        </w:rPr>
      </w:pPr>
      <w:r>
        <w:rPr>
          <w:rFonts w:ascii="Arial" w:cs="Arial" w:eastAsia="Arial" w:hAnsi="Arial"/>
          <w:sz w:val="19"/>
          <w:szCs w:val="19"/>
          <w:color w:val="auto"/>
        </w:rPr>
        <w:t>if such event is any other Event of Default, any of the following actions may be taken: (i) with the consent of the Required Lenders, the Administrative Agent may, or upon the request of the Required Lenders, the Administrative Agent shall, by notice to the Borrower declare the Revolving Commitments, the Swingline Commitments and the L/C Commitments to be terminated forthwith, whereupon the Revolving Commitments, the Swingline Commitments and the L/C Commitments shall immediately terminate; (ii) with the consent of the Required Lenders, the Administrative Agent may, or upon the request of the Required Lenders, the Administrative Agent shall, by notice to the Borrower, declare the Loans (with accrued interest thereon) and all other amounts owing under this Agreement and the other Loan Documents to be due and payable forthwith, whereupon the same shall immediately become due and payable; (iii) any Cash Management Bank may terminate any Cash Management Agreement then outstanding and declare all Obligations then owing by the Loan Parties under any such Cash Management Agreements then outstanding to be due and payable forthwith, whereupon the same shall immediately become due and payable; and (iv) the Administrative Agent may exercise on behalf of itself, any Cash Management Bank, the Lenders and the Issuing Lender all rights and remedies available to it (including for the avoidance of doubt, place a “hold” on any account maintained with SVB and/or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105</w:t>
      </w:r>
    </w:p>
    <w:p>
      <w:pPr>
        <w:sectPr>
          <w:pgSz w:w="11900" w:h="16838" w:orient="portrait"/>
          <w:cols w:equalWidth="0" w:num="1">
            <w:col w:w="11240"/>
          </w:cols>
          <w:pgMar w:left="320" w:top="770" w:right="339" w:bottom="1440" w:gutter="0" w:footer="0" w:header="0"/>
        </w:sectPr>
      </w:pPr>
    </w:p>
    <w:bookmarkStart w:id="492" w:name="page493"/>
    <w:bookmarkEnd w:id="492"/>
    <w:p>
      <w:pPr>
        <w:jc w:val="both"/>
        <w:spacing w:after="0" w:line="250" w:lineRule="auto"/>
        <w:rPr>
          <w:sz w:val="20"/>
          <w:szCs w:val="20"/>
          <w:color w:val="auto"/>
        </w:rPr>
      </w:pPr>
      <w:r>
        <w:rPr>
          <w:rFonts w:ascii="Arial" w:cs="Arial" w:eastAsia="Arial" w:hAnsi="Arial"/>
          <w:sz w:val="20"/>
          <w:szCs w:val="20"/>
          <w:color w:val="auto"/>
        </w:rPr>
        <w:t>deliver a notice of exclusive control, any entitlement order, or other directions or instructions pursuant to any Control Agreement or similar agreements providing control of any Collateral and demand and receive possession of Borrower’s books and records), any such Cash Management Bank, the Lenders and the Issuing Lender under the Loan Documents.</w:t>
      </w:r>
    </w:p>
    <w:p>
      <w:pPr>
        <w:spacing w:after="0" w:line="132"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8"/>
          <w:szCs w:val="18"/>
          <w:color w:val="auto"/>
        </w:rPr>
        <w:t xml:space="preserve">With respect to all Letters of Credit with respect to which presentment for honor shall not have occurred at the time of an acceleration pursuant to this paragraph, the Borrower shall Cash Collateralize an amount equal to 105% (110% in the case of a Letter of Credit denominated in an Alternative Currency) of the aggregate then undrawn and unexpired amount of such Letters of Credit. Amounts so Cash Collateralized shall be applied by the Administrative Agent to the payment of drafts drawn under such Letters of Credit, and the unused portion thereof after all such Letters of Credit shall have expired or been fully drawn upon, if any, shall be applied to repay other Obligations of the Borrower hereunder and under the other Loan Documents in accordance with </w:t>
      </w:r>
      <w:r>
        <w:rPr>
          <w:rFonts w:ascii="Arial" w:cs="Arial" w:eastAsia="Arial" w:hAnsi="Arial"/>
          <w:sz w:val="18"/>
          <w:szCs w:val="18"/>
          <w:u w:val="single" w:color="auto"/>
          <w:color w:val="auto"/>
        </w:rPr>
        <w:t>Section 8.3</w:t>
      </w:r>
      <w:r>
        <w:rPr>
          <w:rFonts w:ascii="Arial" w:cs="Arial" w:eastAsia="Arial" w:hAnsi="Arial"/>
          <w:sz w:val="18"/>
          <w:szCs w:val="18"/>
          <w:color w:val="auto"/>
        </w:rPr>
        <w:t>.</w:t>
      </w:r>
    </w:p>
    <w:p>
      <w:pPr>
        <w:spacing w:after="0" w:line="1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addition, (x) the Borrower shall also Cash Collateralize the full amount of any Swingline Loans then outstanding, and</w:t>
      </w:r>
    </w:p>
    <w:p>
      <w:pPr>
        <w:spacing w:after="0" w:line="39" w:lineRule="exact"/>
        <w:rPr>
          <w:sz w:val="20"/>
          <w:szCs w:val="20"/>
          <w:color w:val="auto"/>
        </w:rPr>
      </w:pPr>
    </w:p>
    <w:p>
      <w:pPr>
        <w:jc w:val="both"/>
        <w:ind w:firstLine="8"/>
        <w:spacing w:after="0" w:line="274" w:lineRule="auto"/>
        <w:tabs>
          <w:tab w:leader="none" w:pos="281" w:val="left"/>
        </w:tabs>
        <w:numPr>
          <w:ilvl w:val="0"/>
          <w:numId w:val="463"/>
        </w:numPr>
        <w:rPr>
          <w:rFonts w:ascii="Arial" w:cs="Arial" w:eastAsia="Arial" w:hAnsi="Arial"/>
          <w:sz w:val="18"/>
          <w:szCs w:val="18"/>
          <w:color w:val="auto"/>
        </w:rPr>
      </w:pPr>
      <w:r>
        <w:rPr>
          <w:rFonts w:ascii="Arial" w:cs="Arial" w:eastAsia="Arial" w:hAnsi="Arial"/>
          <w:sz w:val="18"/>
          <w:szCs w:val="18"/>
          <w:color w:val="auto"/>
        </w:rPr>
        <w:t xml:space="preserve">to the extent elected by any applicable Cash Management Bank, the Borrower shall also Cash Collateralize the amount of any Obligations in respect of Cash Management Services then outstanding, which Cash Collateralized amounts shall be applied by the Administrative Agent to the payment of all such outstanding Cash Management Services, and any unused portion thereof remaining after all such Cash Management Services shall have been fully paid and satisfied in full shall be applied by the Administrative Agent to repay other Obligations of the Loan Parties hereunder and under the other Loan Documents in accordance with the terms of </w:t>
      </w:r>
      <w:r>
        <w:rPr>
          <w:rFonts w:ascii="Arial" w:cs="Arial" w:eastAsia="Arial" w:hAnsi="Arial"/>
          <w:sz w:val="18"/>
          <w:szCs w:val="18"/>
          <w:u w:val="single" w:color="auto"/>
          <w:color w:val="auto"/>
        </w:rPr>
        <w:t>Section 8.3</w:t>
      </w:r>
      <w:r>
        <w:rPr>
          <w:rFonts w:ascii="Arial" w:cs="Arial" w:eastAsia="Arial" w:hAnsi="Arial"/>
          <w:sz w:val="18"/>
          <w:szCs w:val="18"/>
          <w:color w:val="auto"/>
        </w:rPr>
        <w:t>.</w:t>
      </w:r>
    </w:p>
    <w:p>
      <w:pPr>
        <w:spacing w:after="0" w:line="111" w:lineRule="exact"/>
        <w:rPr>
          <w:rFonts w:ascii="Arial" w:cs="Arial" w:eastAsia="Arial" w:hAnsi="Arial"/>
          <w:sz w:val="18"/>
          <w:szCs w:val="18"/>
          <w:color w:val="auto"/>
        </w:rPr>
      </w:pPr>
    </w:p>
    <w:p>
      <w:pPr>
        <w:jc w:val="both"/>
        <w:ind w:firstLine="1304"/>
        <w:spacing w:after="0" w:line="243" w:lineRule="auto"/>
        <w:tabs>
          <w:tab w:leader="none" w:pos="1739" w:val="left"/>
        </w:tabs>
        <w:numPr>
          <w:ilvl w:val="1"/>
          <w:numId w:val="463"/>
        </w:numPr>
        <w:rPr>
          <w:rFonts w:ascii="Arial" w:cs="Arial" w:eastAsia="Arial" w:hAnsi="Arial"/>
          <w:sz w:val="20"/>
          <w:szCs w:val="20"/>
          <w:color w:val="auto"/>
        </w:rPr>
      </w:pPr>
      <w:r>
        <w:rPr>
          <w:rFonts w:ascii="Arial" w:cs="Arial" w:eastAsia="Arial" w:hAnsi="Arial"/>
          <w:sz w:val="20"/>
          <w:szCs w:val="20"/>
          <w:color w:val="auto"/>
        </w:rPr>
        <w:t>After all such Letters of Credit and Cash Management Agreements shall have been terminated, expired or fully drawn upon, as applicable, and all amounts drawn under any such Letters of Credit shall have been reimbursed in full and all other Obligations of the Borrower and the other Loan Parties (including any such Obligations arising in connection with Cash Management Services) shall have been paid in full, the balance, if any, of the funds having been so Cash Collateralized shall be returned to the Borrower (or such other Person as may be lawfully entitled thereto). Except as expressly provided above in this Section, presentment, demand, protest and all other notices of any kind are hereby expressly waived by the Borrower.</w:t>
      </w:r>
    </w:p>
    <w:p>
      <w:pPr>
        <w:spacing w:after="0" w:line="13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8.3 Application of Funds</w:t>
      </w:r>
      <w:r>
        <w:rPr>
          <w:rFonts w:ascii="Arial" w:cs="Arial" w:eastAsia="Arial" w:hAnsi="Arial"/>
          <w:sz w:val="20"/>
          <w:szCs w:val="20"/>
          <w:color w:val="auto"/>
        </w:rPr>
        <w:t>. After the exercise of remedies provided for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8.2</w:t>
      </w:r>
      <w:r>
        <w:rPr>
          <w:rFonts w:ascii="Arial" w:cs="Arial" w:eastAsia="Arial" w:hAnsi="Arial"/>
          <w:sz w:val="20"/>
          <w:szCs w:val="20"/>
          <w:color w:val="auto"/>
        </w:rPr>
        <w:t>, any amounts received by the Administrative</w:t>
      </w:r>
      <w:r>
        <w:rPr>
          <w:rFonts w:ascii="Arial" w:cs="Arial" w:eastAsia="Arial" w:hAnsi="Arial"/>
          <w:sz w:val="20"/>
          <w:szCs w:val="20"/>
          <w:b w:val="1"/>
          <w:bCs w:val="1"/>
          <w:color w:val="auto"/>
        </w:rPr>
        <w:t xml:space="preserve"> </w:t>
      </w:r>
      <w:r>
        <w:rPr>
          <w:rFonts w:ascii="Arial" w:cs="Arial" w:eastAsia="Arial" w:hAnsi="Arial"/>
          <w:sz w:val="20"/>
          <w:szCs w:val="20"/>
          <w:color w:val="auto"/>
        </w:rPr>
        <w:t>Agent on account of the Obligations shall be applied by the Administrative Agent in the following order:</w:t>
      </w:r>
    </w:p>
    <w:p>
      <w:pPr>
        <w:spacing w:after="0" w:line="115"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 the payment of that portion of the Obligations constituting fees, indemnities, expenses and other amounts (other than principal and interest but including any Collateral-Related Expenses, fees, charges and disbursements of counsel to the Administrative Agent and amounts payable under </w:t>
      </w:r>
      <w:r>
        <w:rPr>
          <w:rFonts w:ascii="Arial" w:cs="Arial" w:eastAsia="Arial" w:hAnsi="Arial"/>
          <w:sz w:val="20"/>
          <w:szCs w:val="20"/>
          <w:u w:val="single" w:color="auto"/>
          <w:color w:val="auto"/>
        </w:rPr>
        <w:t>Sections 2.19</w:t>
      </w:r>
      <w:r>
        <w:rPr>
          <w:rFonts w:ascii="Arial" w:cs="Arial" w:eastAsia="Arial" w:hAnsi="Arial"/>
          <w:sz w:val="20"/>
          <w:szCs w:val="20"/>
          <w:color w:val="auto"/>
        </w:rPr>
        <w:t xml:space="preserve">, </w:t>
      </w:r>
      <w:r>
        <w:rPr>
          <w:rFonts w:ascii="Arial" w:cs="Arial" w:eastAsia="Arial" w:hAnsi="Arial"/>
          <w:sz w:val="20"/>
          <w:szCs w:val="20"/>
          <w:u w:val="single" w:color="auto"/>
          <w:color w:val="auto"/>
        </w:rPr>
        <w:t>2.20</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2.21</w:t>
      </w:r>
      <w:r>
        <w:rPr>
          <w:rFonts w:ascii="Arial" w:cs="Arial" w:eastAsia="Arial" w:hAnsi="Arial"/>
          <w:sz w:val="20"/>
          <w:szCs w:val="20"/>
          <w:color w:val="auto"/>
        </w:rPr>
        <w:t xml:space="preserve"> (including interest thereon)) payable to the Administrative Agent, in its capacity as such;</w:t>
      </w:r>
    </w:p>
    <w:p>
      <w:pPr>
        <w:spacing w:after="0" w:line="13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payment of that portion of the Obligations constituting fees, indemnities and other amounts (other than principal, interest, and Letter of Credit Fees) payable to the Lenders, the Issuing Lender ((including any Letter of Credit Fronting Fees and Issuing Lender Fees), and any Qualified Counterparty and any applicable Cash Management Bank (in its respective capacity as a provider of Cash Management Services), and the reasonable and documented out-of-pocket fees, charges and disbursements of counsel to the respective Lenders and the Issuing Lender, and amounts payable under </w:t>
      </w:r>
      <w:r>
        <w:rPr>
          <w:rFonts w:ascii="Arial" w:cs="Arial" w:eastAsia="Arial" w:hAnsi="Arial"/>
          <w:sz w:val="19"/>
          <w:szCs w:val="19"/>
          <w:u w:val="single" w:color="auto"/>
          <w:color w:val="auto"/>
        </w:rPr>
        <w:t>Sections 2.19</w:t>
      </w:r>
      <w:r>
        <w:rPr>
          <w:rFonts w:ascii="Arial" w:cs="Arial" w:eastAsia="Arial" w:hAnsi="Arial"/>
          <w:sz w:val="19"/>
          <w:szCs w:val="19"/>
          <w:color w:val="auto"/>
        </w:rPr>
        <w:t xml:space="preserve">, </w:t>
      </w:r>
      <w:r>
        <w:rPr>
          <w:rFonts w:ascii="Arial" w:cs="Arial" w:eastAsia="Arial" w:hAnsi="Arial"/>
          <w:sz w:val="19"/>
          <w:szCs w:val="19"/>
          <w:u w:val="single" w:color="auto"/>
          <w:color w:val="auto"/>
        </w:rPr>
        <w:t>2.20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2.21</w:t>
      </w:r>
      <w:r>
        <w:rPr>
          <w:rFonts w:ascii="Arial" w:cs="Arial" w:eastAsia="Arial" w:hAnsi="Arial"/>
          <w:sz w:val="19"/>
          <w:szCs w:val="19"/>
          <w:color w:val="auto"/>
        </w:rPr>
        <w:t xml:space="preserve">), in each case, ratably among them in proportion to the respective amounts described in this clause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payable to them;</w:t>
      </w:r>
    </w:p>
    <w:p>
      <w:pPr>
        <w:spacing w:after="0" w:line="124"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u w:val="single" w:color="auto"/>
          <w:color w:val="auto"/>
        </w:rPr>
        <w:t>Third</w:t>
      </w:r>
      <w:r>
        <w:rPr>
          <w:rFonts w:ascii="Arial" w:cs="Arial" w:eastAsia="Arial" w:hAnsi="Arial"/>
          <w:sz w:val="20"/>
          <w:szCs w:val="20"/>
          <w:color w:val="auto"/>
        </w:rPr>
        <w:t>, to the extent that the Swingline Lender has advanced any Swingline Loans that have not been refunded by each Lender’s Swingline Participation Amount, payment to the Swingline Lender of that portion of the Obligations constituting the unpaid principal of and interest upon the Swingline Loans advanced by the Swingline Lender;</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106</w:t>
      </w:r>
    </w:p>
    <w:p>
      <w:pPr>
        <w:sectPr>
          <w:pgSz w:w="11900" w:h="16838" w:orient="portrait"/>
          <w:cols w:equalWidth="0" w:num="1">
            <w:col w:w="11240"/>
          </w:cols>
          <w:pgMar w:left="320" w:top="770" w:right="339" w:bottom="1440" w:gutter="0" w:footer="0" w:header="0"/>
        </w:sectPr>
      </w:pPr>
    </w:p>
    <w:bookmarkStart w:id="493" w:name="page494"/>
    <w:bookmarkEnd w:id="493"/>
    <w:p>
      <w:pPr>
        <w:jc w:val="both"/>
        <w:ind w:firstLine="1296"/>
        <w:spacing w:after="0" w:line="259" w:lineRule="auto"/>
        <w:rPr>
          <w:sz w:val="20"/>
          <w:szCs w:val="20"/>
          <w:color w:val="auto"/>
        </w:rPr>
      </w:pPr>
      <w:r>
        <w:rPr>
          <w:rFonts w:ascii="Arial" w:cs="Arial" w:eastAsia="Arial" w:hAnsi="Arial"/>
          <w:sz w:val="19"/>
          <w:szCs w:val="19"/>
          <w:u w:val="single" w:color="auto"/>
          <w:color w:val="auto"/>
        </w:rPr>
        <w:t>Fourth</w:t>
      </w:r>
      <w:r>
        <w:rPr>
          <w:rFonts w:ascii="Arial" w:cs="Arial" w:eastAsia="Arial" w:hAnsi="Arial"/>
          <w:sz w:val="19"/>
          <w:szCs w:val="19"/>
          <w:color w:val="auto"/>
        </w:rPr>
        <w:t xml:space="preserve">, to the payment of that portion of the Obligations constituting accrued and unpaid Letter of Credit Fees and interest in respect of any Cash Management Services and on the Loans and L/C Disbursements which have not yet been converted into Revolving Loans, and to payment of premiums and other fees (including any interest thereon) under any Specified Swap Agreements and any Cash Management Agreements, in each case, ratably among the Lenders, any applicable Cash Management Bank (in its respective capacity as a provider of Cash Management Services), and any Qualified Counterparties, in each case, ratably among them in proportion to the respective amounts described in this clause </w:t>
      </w:r>
      <w:r>
        <w:rPr>
          <w:rFonts w:ascii="Arial" w:cs="Arial" w:eastAsia="Arial" w:hAnsi="Arial"/>
          <w:sz w:val="19"/>
          <w:szCs w:val="19"/>
          <w:u w:val="single" w:color="auto"/>
          <w:color w:val="auto"/>
        </w:rPr>
        <w:t>Fourth</w:t>
      </w:r>
      <w:r>
        <w:rPr>
          <w:rFonts w:ascii="Arial" w:cs="Arial" w:eastAsia="Arial" w:hAnsi="Arial"/>
          <w:sz w:val="19"/>
          <w:szCs w:val="19"/>
          <w:color w:val="auto"/>
        </w:rPr>
        <w:t xml:space="preserve"> payable to them;</w:t>
      </w:r>
    </w:p>
    <w:p>
      <w:pPr>
        <w:spacing w:after="0" w:line="124"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xml:space="preserve">, to payment of that portion of the Obligations constituting unpaid principal of the Loans, L/C Disbursements which have not yet been converted into Revolving Loans, and settlement amounts, payment amounts and other termination payment obligations under any Specified Swap Agreements and Cash Management Agreements, in each case, ratably among the Lenders, any applicable Cash Management Bank (in its respective capacity as a provider of Cash Management Services), and any applicable Qualified Counterparties, in each case, ratably among them in proportion to the respective amounts described in this clause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and payable to them;</w:t>
      </w:r>
    </w:p>
    <w:p>
      <w:pPr>
        <w:spacing w:after="0" w:line="111"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u w:val="single" w:color="auto"/>
          <w:color w:val="auto"/>
        </w:rPr>
        <w:t>Sixth</w:t>
      </w:r>
      <w:r>
        <w:rPr>
          <w:rFonts w:ascii="Arial" w:cs="Arial" w:eastAsia="Arial" w:hAnsi="Arial"/>
          <w:sz w:val="19"/>
          <w:szCs w:val="19"/>
          <w:color w:val="auto"/>
        </w:rPr>
        <w:t xml:space="preserve">, to the Administrative Agent for the account of the Issuing Lender, to Cash Collateralize that portion of the L/C Exposure comprised of the Dollar Equivalent of the aggregate undrawn amount of Letters of Credit pursuant to </w:t>
      </w:r>
      <w:r>
        <w:rPr>
          <w:rFonts w:ascii="Arial" w:cs="Arial" w:eastAsia="Arial" w:hAnsi="Arial"/>
          <w:sz w:val="19"/>
          <w:szCs w:val="19"/>
          <w:u w:val="single" w:color="auto"/>
          <w:color w:val="auto"/>
        </w:rPr>
        <w:t>Section 3.10</w:t>
      </w:r>
      <w:r>
        <w:rPr>
          <w:rFonts w:ascii="Arial" w:cs="Arial" w:eastAsia="Arial" w:hAnsi="Arial"/>
          <w:sz w:val="19"/>
          <w:szCs w:val="19"/>
          <w:color w:val="auto"/>
        </w:rPr>
        <w:t>;</w:t>
      </w:r>
    </w:p>
    <w:p>
      <w:pPr>
        <w:spacing w:after="0" w:line="98"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u w:val="single" w:color="auto"/>
          <w:color w:val="auto"/>
        </w:rPr>
        <w:t>Seventh,</w:t>
      </w:r>
      <w:r>
        <w:rPr>
          <w:rFonts w:ascii="Arial" w:cs="Arial" w:eastAsia="Arial" w:hAnsi="Arial"/>
          <w:sz w:val="20"/>
          <w:szCs w:val="20"/>
          <w:color w:val="auto"/>
        </w:rPr>
        <w:t xml:space="preserve"> for the account of any applicable Qualified Counterparty and any applicable Cash Management Bank, to any settlement amounts, payment amounts and other termination payment obligations under any Specified Swap Agreements and Cash Management Agreements not paid pursuant to clause Fifth and to Cash Collateralize Obligations arising under any then outstanding Specified Swap Agreements and Cash Management Services, in each case, ratably among them in proportion to the respective amounts described in this clause </w:t>
      </w:r>
      <w:r>
        <w:rPr>
          <w:rFonts w:ascii="Arial" w:cs="Arial" w:eastAsia="Arial" w:hAnsi="Arial"/>
          <w:sz w:val="20"/>
          <w:szCs w:val="20"/>
          <w:u w:val="single" w:color="auto"/>
          <w:color w:val="auto"/>
        </w:rPr>
        <w:t>Seventh</w:t>
      </w:r>
      <w:r>
        <w:rPr>
          <w:rFonts w:ascii="Arial" w:cs="Arial" w:eastAsia="Arial" w:hAnsi="Arial"/>
          <w:sz w:val="20"/>
          <w:szCs w:val="20"/>
          <w:color w:val="auto"/>
        </w:rPr>
        <w:t xml:space="preserve"> payable to them;</w:t>
      </w:r>
    </w:p>
    <w:p>
      <w:pPr>
        <w:spacing w:after="0" w:line="14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u w:val="single" w:color="auto"/>
          <w:color w:val="auto"/>
        </w:rPr>
        <w:t>Eighth</w:t>
      </w:r>
      <w:r>
        <w:rPr>
          <w:rFonts w:ascii="Arial" w:cs="Arial" w:eastAsia="Arial" w:hAnsi="Arial"/>
          <w:sz w:val="20"/>
          <w:szCs w:val="20"/>
          <w:color w:val="auto"/>
        </w:rPr>
        <w:t xml:space="preserve">, to the payment of all other Obligations of the Loan Parties that are then due and payable to the Administrative Agent and the other Secured Parties on such date, in each case, ratably among them in proportion to the respective aggregate amounts of all such Obligations described in this clause </w:t>
      </w:r>
      <w:r>
        <w:rPr>
          <w:rFonts w:ascii="Arial" w:cs="Arial" w:eastAsia="Arial" w:hAnsi="Arial"/>
          <w:sz w:val="20"/>
          <w:szCs w:val="20"/>
          <w:u w:val="single" w:color="auto"/>
          <w:color w:val="auto"/>
        </w:rPr>
        <w:t>Eight</w:t>
      </w:r>
      <w:r>
        <w:rPr>
          <w:rFonts w:ascii="Arial" w:cs="Arial" w:eastAsia="Arial" w:hAnsi="Arial"/>
          <w:sz w:val="20"/>
          <w:szCs w:val="20"/>
          <w:color w:val="auto"/>
        </w:rPr>
        <w:t xml:space="preserve"> and payable to them;</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Last</w:t>
      </w:r>
      <w:r>
        <w:rPr>
          <w:rFonts w:ascii="Arial" w:cs="Arial" w:eastAsia="Arial" w:hAnsi="Arial"/>
          <w:sz w:val="20"/>
          <w:szCs w:val="20"/>
          <w:color w:val="auto"/>
        </w:rPr>
        <w:t>, the balance, if any, after the Discharge of Obligations, to the Borrower or as otherwise required by Law.</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Sections 2.24(a)</w:t>
      </w:r>
      <w:r>
        <w:rPr>
          <w:rFonts w:ascii="Arial" w:cs="Arial" w:eastAsia="Arial" w:hAnsi="Arial"/>
          <w:sz w:val="19"/>
          <w:szCs w:val="19"/>
          <w:color w:val="auto"/>
        </w:rPr>
        <w:t xml:space="preserve">, </w:t>
      </w:r>
      <w:r>
        <w:rPr>
          <w:rFonts w:ascii="Arial" w:cs="Arial" w:eastAsia="Arial" w:hAnsi="Arial"/>
          <w:sz w:val="19"/>
          <w:szCs w:val="19"/>
          <w:u w:val="single" w:color="auto"/>
          <w:color w:val="auto"/>
        </w:rPr>
        <w:t>3.4</w:t>
      </w:r>
      <w:r>
        <w:rPr>
          <w:rFonts w:ascii="Arial" w:cs="Arial" w:eastAsia="Arial" w:hAnsi="Arial"/>
          <w:sz w:val="19"/>
          <w:szCs w:val="19"/>
          <w:color w:val="auto"/>
        </w:rPr>
        <w:t xml:space="preserve">, </w:t>
      </w:r>
      <w:r>
        <w:rPr>
          <w:rFonts w:ascii="Arial" w:cs="Arial" w:eastAsia="Arial" w:hAnsi="Arial"/>
          <w:sz w:val="19"/>
          <w:szCs w:val="19"/>
          <w:u w:val="single" w:color="auto"/>
          <w:color w:val="auto"/>
        </w:rPr>
        <w:t>3.5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3.10</w:t>
      </w:r>
      <w:r>
        <w:rPr>
          <w:rFonts w:ascii="Arial" w:cs="Arial" w:eastAsia="Arial" w:hAnsi="Arial"/>
          <w:sz w:val="19"/>
          <w:szCs w:val="19"/>
          <w:color w:val="auto"/>
        </w:rPr>
        <w:t xml:space="preserve">, amounts used to Cash Collateralize the Dollar Equivalent of the aggregate undrawn amount of Letters of Credit pursuant to clause </w:t>
      </w:r>
      <w:r>
        <w:rPr>
          <w:rFonts w:ascii="Arial" w:cs="Arial" w:eastAsia="Arial" w:hAnsi="Arial"/>
          <w:sz w:val="19"/>
          <w:szCs w:val="19"/>
          <w:u w:val="single" w:color="auto"/>
          <w:color w:val="auto"/>
        </w:rPr>
        <w:t>Sixth</w:t>
      </w:r>
      <w:r>
        <w:rPr>
          <w:rFonts w:ascii="Arial" w:cs="Arial" w:eastAsia="Arial" w:hAnsi="Arial"/>
          <w:sz w:val="19"/>
          <w:szCs w:val="19"/>
          <w:color w:val="auto"/>
        </w:rPr>
        <w:t xml:space="preserve"> above shall be applied to satisfy drawings under such Letters of Credit as they occur. If any amount remains on deposit as Cash Collateral for Letters of Credit after all Letters of Credit have either been fully drawn or expired, such remaining amount shall be applied to the other Obligations, if any, in the order set forth above.</w:t>
      </w:r>
    </w:p>
    <w:p>
      <w:pPr>
        <w:spacing w:after="0" w:line="1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Notwithstanding the foregoing, no Excluded Swap Obligation of any Guarantor shall be paid with amounts received from such Guarantor or from any Collateral in which such Guarantor has granted to the Administrative Agent a Lien (for the benefit of the Secured Parties) pursuant to the Guarantee and Collateral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each party to this Agreement hereby acknowledges and agrees that appropriate adjustments shall be made by the Administrative Agent (which adjustments shall be controlling in the absence of manifest error) with respect to payments received from other Loan Parties to preserve the allocation of such payments to the satisfaction of the Obligations in the order otherwise contemplated in this </w:t>
      </w:r>
      <w:r>
        <w:rPr>
          <w:rFonts w:ascii="Arial" w:cs="Arial" w:eastAsia="Arial" w:hAnsi="Arial"/>
          <w:sz w:val="19"/>
          <w:szCs w:val="19"/>
          <w:u w:val="single" w:color="auto"/>
          <w:color w:val="auto"/>
        </w:rPr>
        <w:t>Section 8.3</w:t>
      </w:r>
      <w:r>
        <w:rPr>
          <w:rFonts w:ascii="Arial" w:cs="Arial" w:eastAsia="Arial" w:hAnsi="Arial"/>
          <w:sz w:val="19"/>
          <w:szCs w:val="19"/>
          <w:color w:val="auto"/>
        </w:rPr>
        <w: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107</w:t>
      </w:r>
    </w:p>
    <w:p>
      <w:pPr>
        <w:sectPr>
          <w:pgSz w:w="11900" w:h="16838" w:orient="portrait"/>
          <w:cols w:equalWidth="0" w:num="1">
            <w:col w:w="11240"/>
          </w:cols>
          <w:pgMar w:left="320" w:top="770" w:right="339" w:bottom="1440" w:gutter="0" w:footer="0" w:header="0"/>
        </w:sectPr>
      </w:pPr>
    </w:p>
    <w:bookmarkStart w:id="494" w:name="page495"/>
    <w:bookmarkEnd w:id="494"/>
    <w:p>
      <w:pPr>
        <w:jc w:val="center"/>
        <w:spacing w:after="0"/>
        <w:rPr>
          <w:sz w:val="20"/>
          <w:szCs w:val="20"/>
          <w:color w:val="auto"/>
        </w:rPr>
      </w:pPr>
      <w:r>
        <w:rPr>
          <w:rFonts w:ascii="Arial" w:cs="Arial" w:eastAsia="Arial" w:hAnsi="Arial"/>
          <w:sz w:val="20"/>
          <w:szCs w:val="20"/>
          <w:b w:val="1"/>
          <w:bCs w:val="1"/>
          <w:color w:val="auto"/>
        </w:rPr>
        <w:t>SECTION 9</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ADMINISTRATIVE AGENT</w:t>
      </w:r>
    </w:p>
    <w:p>
      <w:pPr>
        <w:spacing w:after="0" w:line="14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9.1</w:t>
      </w:r>
      <w:r>
        <w:rPr>
          <w:sz w:val="20"/>
          <w:szCs w:val="20"/>
          <w:color w:val="auto"/>
        </w:rPr>
        <w:tab/>
      </w:r>
      <w:r>
        <w:rPr>
          <w:rFonts w:ascii="Arial" w:cs="Arial" w:eastAsia="Arial" w:hAnsi="Arial"/>
          <w:sz w:val="18"/>
          <w:szCs w:val="18"/>
          <w:b w:val="1"/>
          <w:bCs w:val="1"/>
          <w:color w:val="auto"/>
        </w:rPr>
        <w:t>Appointment and Authority</w:t>
      </w:r>
      <w:r>
        <w:rPr>
          <w:rFonts w:ascii="Arial" w:cs="Arial" w:eastAsia="Arial" w:hAnsi="Arial"/>
          <w:sz w:val="18"/>
          <w:szCs w:val="18"/>
          <w:color w:val="auto"/>
        </w:rPr>
        <w:t>.</w:t>
      </w:r>
    </w:p>
    <w:p>
      <w:pPr>
        <w:spacing w:after="0" w:line="168" w:lineRule="exact"/>
        <w:rPr>
          <w:sz w:val="20"/>
          <w:szCs w:val="20"/>
          <w:color w:val="auto"/>
        </w:rPr>
      </w:pPr>
    </w:p>
    <w:p>
      <w:pPr>
        <w:jc w:val="both"/>
        <w:ind w:firstLine="1304"/>
        <w:spacing w:after="0" w:line="246" w:lineRule="auto"/>
        <w:tabs>
          <w:tab w:leader="none" w:pos="1763" w:val="left"/>
        </w:tabs>
        <w:numPr>
          <w:ilvl w:val="0"/>
          <w:numId w:val="464"/>
        </w:numPr>
        <w:rPr>
          <w:rFonts w:ascii="Arial" w:cs="Arial" w:eastAsia="Arial" w:hAnsi="Arial"/>
          <w:sz w:val="20"/>
          <w:szCs w:val="20"/>
          <w:color w:val="auto"/>
        </w:rPr>
      </w:pPr>
      <w:r>
        <w:rPr>
          <w:rFonts w:ascii="Arial" w:cs="Arial" w:eastAsia="Arial" w:hAnsi="Arial"/>
          <w:sz w:val="20"/>
          <w:szCs w:val="20"/>
          <w:color w:val="auto"/>
        </w:rPr>
        <w:t>Each of the Lenders hereby irrevocably appoints SVB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w:t>
      </w:r>
    </w:p>
    <w:p>
      <w:pPr>
        <w:spacing w:after="0" w:line="137" w:lineRule="exact"/>
        <w:rPr>
          <w:rFonts w:ascii="Arial" w:cs="Arial" w:eastAsia="Arial" w:hAnsi="Arial"/>
          <w:sz w:val="20"/>
          <w:szCs w:val="20"/>
          <w:color w:val="auto"/>
        </w:rPr>
      </w:pPr>
    </w:p>
    <w:p>
      <w:pPr>
        <w:jc w:val="both"/>
        <w:ind w:firstLine="1304"/>
        <w:spacing w:after="0" w:line="272" w:lineRule="auto"/>
        <w:tabs>
          <w:tab w:leader="none" w:pos="1736" w:val="left"/>
        </w:tabs>
        <w:numPr>
          <w:ilvl w:val="0"/>
          <w:numId w:val="464"/>
        </w:numPr>
        <w:rPr>
          <w:rFonts w:ascii="Arial" w:cs="Arial" w:eastAsia="Arial" w:hAnsi="Arial"/>
          <w:sz w:val="18"/>
          <w:szCs w:val="18"/>
          <w:color w:val="auto"/>
        </w:rPr>
      </w:pPr>
      <w:r>
        <w:rPr>
          <w:rFonts w:ascii="Arial" w:cs="Arial" w:eastAsia="Arial" w:hAnsi="Arial"/>
          <w:sz w:val="18"/>
          <w:szCs w:val="18"/>
          <w:color w:val="auto"/>
        </w:rPr>
        <w:t xml:space="preserve">The provisions of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are solely for the benefit of the Administrative Agent, the Lenders, the Issuing Lender, and the Swingline Lender, and neither the Borrower nor any other Loan Party shall have rights as a third party beneficiary of any of such provisions. Notwithstanding any provision to the contrary elsewhere in this Agreement, the Administrative Agent shall not have any duties or obligations, except those expressly set forth herein and in the other Loan Documents, or any fiduciary relationship with any Lender, and no implied covenants, functions, responsibilities, duties, obligations or liabilities shall be read into this Agreement or any other Loan Document or otherwise exist against the Administrative Agent.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16" w:lineRule="exact"/>
        <w:rPr>
          <w:rFonts w:ascii="Arial" w:cs="Arial" w:eastAsia="Arial" w:hAnsi="Arial"/>
          <w:sz w:val="18"/>
          <w:szCs w:val="18"/>
          <w:color w:val="auto"/>
        </w:rPr>
      </w:pPr>
    </w:p>
    <w:p>
      <w:pPr>
        <w:jc w:val="both"/>
        <w:ind w:firstLine="1304"/>
        <w:spacing w:after="0" w:line="269" w:lineRule="auto"/>
        <w:tabs>
          <w:tab w:leader="none" w:pos="1736" w:val="left"/>
        </w:tabs>
        <w:numPr>
          <w:ilvl w:val="0"/>
          <w:numId w:val="464"/>
        </w:numPr>
        <w:rPr>
          <w:rFonts w:ascii="Arial" w:cs="Arial" w:eastAsia="Arial" w:hAnsi="Arial"/>
          <w:sz w:val="18"/>
          <w:szCs w:val="18"/>
          <w:color w:val="auto"/>
        </w:rPr>
      </w:pPr>
      <w:r>
        <w:rPr>
          <w:rFonts w:ascii="Arial" w:cs="Arial" w:eastAsia="Arial" w:hAnsi="Arial"/>
          <w:sz w:val="18"/>
          <w:szCs w:val="18"/>
          <w:color w:val="auto"/>
        </w:rPr>
        <w:t xml:space="preserve">The Administrative Agent shall also act as the collateral agent under the Loan Documents, and each of the Lenders (in their respective capacities as a Lender and, as applicable, Qualified Counterparty and provider of Cash Management Services) hereby irrevocably (i) authorizes the Administrative Agent to enter into all other Loan Documents, as applicable, including the Guarantee and Collateral Agreement and any subordination or intercreditor agreements contemplated hereby, and (ii) appoints and authorizes the Administrative Agent to act as the agent of the Secured Parties for purposes of acquiring, holding and enforcing any and all Liens on Collateral granted by any of the Loan Parties to secure any of the Obligations, together with such powers and discretion as are reasonably incidental thereto. The Administrative Agent, as collateral agent and any co-agents, sub-agents and attorneys-in-fact appointed by the Administrative Agent pursuant to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(including </w:t>
      </w:r>
      <w:r>
        <w:rPr>
          <w:rFonts w:ascii="Arial" w:cs="Arial" w:eastAsia="Arial" w:hAnsi="Arial"/>
          <w:sz w:val="18"/>
          <w:szCs w:val="18"/>
          <w:u w:val="single" w:color="auto"/>
          <w:color w:val="auto"/>
        </w:rPr>
        <w:t>Section 9.7</w:t>
      </w:r>
      <w:r>
        <w:rPr>
          <w:rFonts w:ascii="Arial" w:cs="Arial" w:eastAsia="Arial" w:hAnsi="Arial"/>
          <w:sz w:val="18"/>
          <w:szCs w:val="18"/>
          <w:color w:val="auto"/>
        </w:rPr>
        <w:t>, as though such co-agents, sub-agents and attorneys-in-fact were the collateral agent under the Loan Documents) as if set forth in full herein with respect thereto. Without limiting the generality of the foregoing, the Administrative Agent is further authorized on behalf of all the Lenders, without the necessity of any notice to or further consent from the Lenders, from time to time to take any action, or permit the any co-agents, sub-agents and attorneys-in-fact appointed by the Administrative Agent to take any action, with respect to any Collateral or the Loan Documents which may be necessary to perfect and maintain perfected the Liens upon any Collateral granted pursuant to any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6741795</wp:posOffset>
            </wp:positionH>
            <wp:positionV relativeFrom="paragraph">
              <wp:posOffset>-1975485</wp:posOffset>
            </wp:positionV>
            <wp:extent cx="4635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6355" cy="8890"/>
                    </a:xfrm>
                    <a:prstGeom prst="rect">
                      <a:avLst/>
                    </a:prstGeom>
                    <a:noFill/>
                  </pic:spPr>
                </pic:pic>
              </a:graphicData>
            </a:graphic>
          </wp:anchor>
        </w:drawing>
      </w:r>
    </w:p>
    <w:p>
      <w:pPr>
        <w:spacing w:after="0" w:line="9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b w:val="1"/>
          <w:bCs w:val="1"/>
          <w:color w:val="auto"/>
        </w:rPr>
        <w:t>9.2 Delegation of Duties</w:t>
      </w:r>
      <w:r>
        <w:rPr>
          <w:rFonts w:ascii="Arial" w:cs="Arial" w:eastAsia="Arial" w:hAnsi="Arial"/>
          <w:sz w:val="18"/>
          <w:szCs w:val="18"/>
          <w:color w:val="auto"/>
        </w:rPr>
        <w:t>. The Administrative Agent may perform any and all of its duties and exercise its rights and powers</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Section shall apply to any such sub-agent and to the Related Parties of the Administrative Agent and any such sub-agent, and shall apply to their respective activities in connection with the syndication of the Facilities provided for herein as well as activities as the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 agents.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108</w:t>
      </w:r>
    </w:p>
    <w:p>
      <w:pPr>
        <w:sectPr>
          <w:pgSz w:w="11900" w:h="16838" w:orient="portrait"/>
          <w:cols w:equalWidth="0" w:num="1">
            <w:col w:w="11240"/>
          </w:cols>
          <w:pgMar w:left="320" w:top="764" w:right="339" w:bottom="1440" w:gutter="0" w:footer="0" w:header="0"/>
        </w:sectPr>
      </w:pPr>
    </w:p>
    <w:bookmarkStart w:id="495" w:name="page496"/>
    <w:bookmarkEnd w:id="495"/>
    <w:p>
      <w:pPr>
        <w:jc w:val="both"/>
        <w:ind w:firstLine="648"/>
        <w:spacing w:after="0" w:line="253" w:lineRule="auto"/>
        <w:rPr>
          <w:sz w:val="20"/>
          <w:szCs w:val="20"/>
          <w:color w:val="auto"/>
        </w:rPr>
      </w:pPr>
      <w:r>
        <w:rPr>
          <w:rFonts w:ascii="Arial" w:cs="Arial" w:eastAsia="Arial" w:hAnsi="Arial"/>
          <w:sz w:val="20"/>
          <w:szCs w:val="20"/>
          <w:b w:val="1"/>
          <w:bCs w:val="1"/>
          <w:color w:val="auto"/>
        </w:rPr>
        <w:t>9.3 Exculpatory Provisions</w:t>
      </w:r>
      <w:r>
        <w:rPr>
          <w:rFonts w:ascii="Arial" w:cs="Arial" w:eastAsia="Arial" w:hAnsi="Arial"/>
          <w:sz w:val="20"/>
          <w:szCs w:val="20"/>
          <w:color w:val="auto"/>
        </w:rPr>
        <w:t>. The Administrative Agent shall have no duties or obligations except those expressly set forth herein</w:t>
      </w:r>
      <w:r>
        <w:rPr>
          <w:rFonts w:ascii="Arial" w:cs="Arial" w:eastAsia="Arial" w:hAnsi="Arial"/>
          <w:sz w:val="20"/>
          <w:szCs w:val="20"/>
          <w:b w:val="1"/>
          <w:bCs w:val="1"/>
          <w:color w:val="auto"/>
        </w:rPr>
        <w:t xml:space="preserve"> </w:t>
      </w:r>
      <w:r>
        <w:rPr>
          <w:rFonts w:ascii="Arial" w:cs="Arial" w:eastAsia="Arial" w:hAnsi="Arial"/>
          <w:sz w:val="20"/>
          <w:szCs w:val="20"/>
          <w:color w:val="auto"/>
        </w:rPr>
        <w:t>and in the other Loan Documents, and its duties hereunder and thereunder shall be administrative in nature. Without limiting the generality of the foregoing, the Administrative Agent shall not:</w:t>
      </w:r>
    </w:p>
    <w:p>
      <w:pPr>
        <w:spacing w:after="0" w:line="129" w:lineRule="exact"/>
        <w:rPr>
          <w:sz w:val="20"/>
          <w:szCs w:val="20"/>
          <w:color w:val="auto"/>
        </w:rPr>
      </w:pPr>
    </w:p>
    <w:p>
      <w:pPr>
        <w:ind w:firstLine="1304"/>
        <w:spacing w:after="0" w:line="260" w:lineRule="auto"/>
        <w:tabs>
          <w:tab w:leader="none" w:pos="1810" w:val="left"/>
        </w:tabs>
        <w:numPr>
          <w:ilvl w:val="0"/>
          <w:numId w:val="465"/>
        </w:numPr>
        <w:rPr>
          <w:rFonts w:ascii="Arial" w:cs="Arial" w:eastAsia="Arial" w:hAnsi="Arial"/>
          <w:sz w:val="20"/>
          <w:szCs w:val="20"/>
          <w:color w:val="auto"/>
        </w:rPr>
      </w:pPr>
      <w:r>
        <w:rPr>
          <w:rFonts w:ascii="Arial" w:cs="Arial" w:eastAsia="Arial" w:hAnsi="Arial"/>
          <w:sz w:val="20"/>
          <w:szCs w:val="20"/>
          <w:color w:val="auto"/>
        </w:rPr>
        <w:t>be subject to any fiduciary or other implied duties, regardless of whether any Default or any Event of Default has occurred and is continuing;</w:t>
      </w:r>
    </w:p>
    <w:p>
      <w:pPr>
        <w:spacing w:after="0" w:line="122" w:lineRule="exact"/>
        <w:rPr>
          <w:rFonts w:ascii="Arial" w:cs="Arial" w:eastAsia="Arial" w:hAnsi="Arial"/>
          <w:sz w:val="20"/>
          <w:szCs w:val="20"/>
          <w:color w:val="auto"/>
        </w:rPr>
      </w:pPr>
    </w:p>
    <w:p>
      <w:pPr>
        <w:jc w:val="both"/>
        <w:ind w:firstLine="1304"/>
        <w:spacing w:after="0" w:line="274" w:lineRule="auto"/>
        <w:tabs>
          <w:tab w:leader="none" w:pos="180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 xml:space="preserve">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as applicable;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14" w:lineRule="exact"/>
        <w:rPr>
          <w:rFonts w:ascii="Arial" w:cs="Arial" w:eastAsia="Arial" w:hAnsi="Arial"/>
          <w:sz w:val="18"/>
          <w:szCs w:val="18"/>
          <w:color w:val="auto"/>
        </w:rPr>
      </w:pPr>
    </w:p>
    <w:p>
      <w:pPr>
        <w:jc w:val="both"/>
        <w:ind w:firstLine="1304"/>
        <w:spacing w:after="0" w:line="250" w:lineRule="auto"/>
        <w:tabs>
          <w:tab w:leader="none" w:pos="1720" w:val="left"/>
        </w:tabs>
        <w:numPr>
          <w:ilvl w:val="0"/>
          <w:numId w:val="465"/>
        </w:numPr>
        <w:rPr>
          <w:rFonts w:ascii="Arial" w:cs="Arial" w:eastAsia="Arial" w:hAnsi="Arial"/>
          <w:sz w:val="20"/>
          <w:szCs w:val="20"/>
          <w:color w:val="auto"/>
        </w:rPr>
      </w:pPr>
      <w:r>
        <w:rPr>
          <w:rFonts w:ascii="Arial" w:cs="Arial" w:eastAsia="Arial" w:hAnsi="Arial"/>
          <w:sz w:val="20"/>
          <w:szCs w:val="20"/>
          <w:color w:val="auto"/>
        </w:rPr>
        <w:t>except as expressly set forth herein and in the other Loan Documents, have any duty to disclose, and the Administrative Agent shall not be liable for the failure to disclose, any information relating to the Borrower or any of its Affiliates that is communicated to or obtained by any Person serving as the Administrative Agent or any of its Affiliates in any capacity.</w:t>
      </w:r>
    </w:p>
    <w:p>
      <w:pPr>
        <w:spacing w:after="0" w:line="13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9"/>
          <w:szCs w:val="19"/>
          <w:u w:val="single" w:color="auto"/>
          <w:color w:val="auto"/>
        </w:rPr>
        <w:t>Sections 8.2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10.1</w:t>
      </w:r>
      <w:r>
        <w:rPr>
          <w:rFonts w:ascii="Arial" w:cs="Arial" w:eastAsia="Arial" w:hAnsi="Arial"/>
          <w:sz w:val="19"/>
          <w:szCs w:val="19"/>
          <w:color w:val="auto"/>
        </w:rPr>
        <w:t>), or (ii) in the absence of its own gross negligence or willful misconduct as determined by a court of competent jurisdiction by final and nonappealable judgment.</w:t>
      </w:r>
    </w:p>
    <w:p>
      <w:pPr>
        <w:spacing w:after="0" w:line="1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or elsewhere herein, other than to confirm receipt of items expressly required to be delivered to the Administrative Agent.</w:t>
      </w:r>
    </w:p>
    <w:p>
      <w:pPr>
        <w:spacing w:after="0" w:line="1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b w:val="1"/>
          <w:bCs w:val="1"/>
          <w:color w:val="auto"/>
        </w:rPr>
        <w:t>9.4 Reliance by Administrative Agent</w:t>
      </w:r>
      <w:r>
        <w:rPr>
          <w:rFonts w:ascii="Arial" w:cs="Arial" w:eastAsia="Arial" w:hAnsi="Arial"/>
          <w:sz w:val="19"/>
          <w:szCs w:val="19"/>
          <w:color w:val="auto"/>
        </w:rPr>
        <w:t>. The Administrative Agent shall be entitled to rely upon, and shall not incur any liability</w:t>
      </w:r>
      <w:r>
        <w:rPr>
          <w:rFonts w:ascii="Arial" w:cs="Arial" w:eastAsia="Arial" w:hAnsi="Arial"/>
          <w:sz w:val="19"/>
          <w:szCs w:val="19"/>
          <w:b w:val="1"/>
          <w:bCs w:val="1"/>
          <w:color w:val="auto"/>
        </w:rPr>
        <w:t xml:space="preserve"> </w:t>
      </w:r>
      <w:r>
        <w:rPr>
          <w:rFonts w:ascii="Arial" w:cs="Arial" w:eastAsia="Arial" w:hAnsi="Arial"/>
          <w:sz w:val="19"/>
          <w:szCs w:val="19"/>
          <w:color w:val="auto"/>
        </w:rPr>
        <w:t>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or the issuance of such Letter of Credit. The Administrative Agent may consult with legal counsel (who may be counsel for any of the Loan Parties), independent accountants and other experts selected by it, and shall not be liable for any action taken or not taken by it in accordance with the advice of any such counsel, accountants or experts. The Administrative Agent may deem and treat the payee of any Note as the owner thereof for all purposes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109</w:t>
      </w:r>
    </w:p>
    <w:p>
      <w:pPr>
        <w:sectPr>
          <w:pgSz w:w="11900" w:h="16838" w:orient="portrait"/>
          <w:cols w:equalWidth="0" w:num="1">
            <w:col w:w="11240"/>
          </w:cols>
          <w:pgMar w:left="320" w:top="764" w:right="339" w:bottom="1440" w:gutter="0" w:footer="0" w:header="0"/>
        </w:sectPr>
      </w:pPr>
    </w:p>
    <w:bookmarkStart w:id="496" w:name="page497"/>
    <w:bookmarkEnd w:id="496"/>
    <w:p>
      <w:pPr>
        <w:jc w:val="both"/>
        <w:spacing w:after="0" w:line="256" w:lineRule="auto"/>
        <w:rPr>
          <w:sz w:val="20"/>
          <w:szCs w:val="20"/>
          <w:color w:val="auto"/>
        </w:rPr>
      </w:pPr>
      <w:r>
        <w:rPr>
          <w:rFonts w:ascii="Arial" w:cs="Arial" w:eastAsia="Arial" w:hAnsi="Arial"/>
          <w:sz w:val="19"/>
          <w:szCs w:val="19"/>
          <w:color w:val="auto"/>
        </w:rPr>
        <w:t>unless 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 Required Lenders (or such other number or percentage of Lenders as shall be provided for herein or in the other Loan Documents) as it deems appropriate or it shall first be indemnified to its satisfaction by the Lenders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such other number or percentage of Lenders as shall be provided for herein or in the other Loan Documents), and such request and any action taken or failure to act pursuant thereto shall be binding upon the Lenders and all future holders of the Loans.</w:t>
      </w:r>
    </w:p>
    <w:p>
      <w:pPr>
        <w:spacing w:after="0" w:line="12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b w:val="1"/>
          <w:bCs w:val="1"/>
          <w:color w:val="auto"/>
        </w:rPr>
        <w:t>9.5 Notice of Default</w:t>
      </w:r>
      <w:r>
        <w:rPr>
          <w:rFonts w:ascii="Arial" w:cs="Arial" w:eastAsia="Arial" w:hAnsi="Arial"/>
          <w:sz w:val="19"/>
          <w:szCs w:val="19"/>
          <w:color w:val="auto"/>
        </w:rPr>
        <w:t>. The Administrative Agent shall not be deemed to have knowledge or notice of the occurrence of any Default</w:t>
      </w:r>
      <w:r>
        <w:rPr>
          <w:rFonts w:ascii="Arial" w:cs="Arial" w:eastAsia="Arial" w:hAnsi="Arial"/>
          <w:sz w:val="19"/>
          <w:szCs w:val="19"/>
          <w:b w:val="1"/>
          <w:bCs w:val="1"/>
          <w:color w:val="auto"/>
        </w:rPr>
        <w:t xml:space="preserve"> </w:t>
      </w:r>
      <w:r>
        <w:rPr>
          <w:rFonts w:ascii="Arial" w:cs="Arial" w:eastAsia="Arial" w:hAnsi="Arial"/>
          <w:sz w:val="19"/>
          <w:szCs w:val="19"/>
          <w:color w:val="auto"/>
        </w:rPr>
        <w:t>or Event of Default unless the Administrative Agent has received notice in writing from a Lender or the Borrower referring to this Agreement, describing such Default or Event of Default and stating that such notice is a “</w:t>
      </w:r>
      <w:r>
        <w:rPr>
          <w:rFonts w:ascii="Arial" w:cs="Arial" w:eastAsia="Arial" w:hAnsi="Arial"/>
          <w:sz w:val="19"/>
          <w:szCs w:val="19"/>
          <w:b w:val="1"/>
          <w:bCs w:val="1"/>
          <w:i w:val="1"/>
          <w:iCs w:val="1"/>
          <w:color w:val="auto"/>
        </w:rPr>
        <w:t>notice of default</w:t>
      </w:r>
      <w:r>
        <w:rPr>
          <w:rFonts w:ascii="Arial" w:cs="Arial" w:eastAsia="Arial" w:hAnsi="Arial"/>
          <w:sz w:val="19"/>
          <w:szCs w:val="19"/>
          <w:color w:val="auto"/>
        </w:rPr>
        <w:t xml:space="preserve">.” In the event that the Administrative Agent receives such a notice, the Administrative Agent shall give notice thereof to the Lenders. The Administrative Agent shall take such action with respect to such Default or Event of Default as shall be reasonably directed by the Required Lenders (or, if so specified by this Agreement, all Lenders);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1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b w:val="1"/>
          <w:bCs w:val="1"/>
          <w:color w:val="auto"/>
        </w:rPr>
        <w:t>9.6 Non-Reliance on Administrative Agent and Other Lenders</w:t>
      </w:r>
      <w:r>
        <w:rPr>
          <w:rFonts w:ascii="Arial" w:cs="Arial" w:eastAsia="Arial" w:hAnsi="Arial"/>
          <w:sz w:val="18"/>
          <w:szCs w:val="18"/>
          <w:color w:val="auto"/>
        </w:rPr>
        <w:t>. Each Lender expressly acknowledges that neither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Agent nor any of its officers, directors, employees, agents, attorneys in fact or Affiliates has made any representations or warranties to it and that no act by the Administrative Agent hereafter taken, including any review of the affairs of a Group Member or any Affiliate of a Group Member, shall be deemed to constitute any representation or warranty by the Administrative Agent to any Lender. Each Lender represents to the Administrative Agent that it has, independently and without reliance upon the Administrative Agent or any other Lender or any of their Related Parties, and based on such documents and information as it has deemed appropriate, made its own appraisal of, and investigation into, the business, operations, property, financial and other condition and creditworthiness of the Group Members and their Affiliates and made its own credit analysis and decision to make its Loans hereunder and enter into this Agreement. Each Lender also agrees that it will, independently and without reliance upon the Administrative Agent or any other Lender or any of their Related Parties, and based on such documents and information as it shall from time to time deem appropriate, continue to make its own credit analysis, appraisals and decisions in taking or not taking action under or based upon this Agreement, the other Loan Documents or any related agreement or any document furnished hereunder or thereunder, and to make such investigation as it deems necessary to inform itself as to the business, operations, property, financial and other condition and creditworthiness of the Group Members and their Affiliates. Except for notices, reports and other documents expressly required to be furnished to the Lenders by the Administrative Agent hereunder, the Administrative Agent shall have no duty or responsibility to provide any Lender with any credit or other information concerning the business, operations, property, condition (financial or otherwise), prospects or creditworthiness of any Group Member or any Affiliate of a Group Member that may come into the possession of the Administrative Agent or any of its officers, directors, employees, agents, attorneys in fact or Affiliates.</w:t>
      </w:r>
    </w:p>
    <w:p>
      <w:pPr>
        <w:spacing w:after="0" w:line="12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color w:val="auto"/>
        </w:rPr>
        <w:t>9.7 Indemnification</w:t>
      </w:r>
      <w:r>
        <w:rPr>
          <w:rFonts w:ascii="Arial" w:cs="Arial" w:eastAsia="Arial" w:hAnsi="Arial"/>
          <w:sz w:val="20"/>
          <w:szCs w:val="20"/>
          <w:color w:val="auto"/>
        </w:rPr>
        <w:t>. Each of the Lenders agrees to indemnify each of the Administrative Agent, the Issuing Lender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Swingline Lender and each of its Related Parties in its capacity as such (to the extent not reimbursed by the Borrower or any other Loan Party and without limiting the obligation of the Borrower or any other Loan Party to do so) according to its Aggregate Exposure Percentage in effect on the date on which indemnification is sought under this </w:t>
      </w:r>
      <w:r>
        <w:rPr>
          <w:rFonts w:ascii="Arial" w:cs="Arial" w:eastAsia="Arial" w:hAnsi="Arial"/>
          <w:sz w:val="20"/>
          <w:szCs w:val="20"/>
          <w:u w:val="single" w:color="auto"/>
          <w:color w:val="auto"/>
        </w:rPr>
        <w:t>Section 9.7</w:t>
      </w:r>
      <w:r>
        <w:rPr>
          <w:rFonts w:ascii="Arial" w:cs="Arial" w:eastAsia="Arial" w:hAnsi="Arial"/>
          <w:sz w:val="20"/>
          <w:szCs w:val="20"/>
          <w:color w:val="auto"/>
        </w:rPr>
        <w:t xml:space="preserve"> (or, if indemnification is sought after the date upon which the Commitments shall have terminated and the Loans shall have been paid in full, in accordance with its Aggregate Exposure Percentage immediately prior to such date), from and against any and all liabilities, obligations, losses, damages, penalties, actions, judgments, suits, costs,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110</w:t>
      </w:r>
    </w:p>
    <w:p>
      <w:pPr>
        <w:sectPr>
          <w:pgSz w:w="11900" w:h="16838" w:orient="portrait"/>
          <w:cols w:equalWidth="0" w:num="1">
            <w:col w:w="11240"/>
          </w:cols>
          <w:pgMar w:left="320" w:top="770" w:right="339" w:bottom="1440" w:gutter="0" w:footer="0" w:header="0"/>
        </w:sectPr>
      </w:pPr>
    </w:p>
    <w:bookmarkStart w:id="497" w:name="page498"/>
    <w:bookmarkEnd w:id="497"/>
    <w:p>
      <w:pPr>
        <w:jc w:val="both"/>
        <w:spacing w:after="0" w:line="270" w:lineRule="auto"/>
        <w:rPr>
          <w:sz w:val="20"/>
          <w:szCs w:val="20"/>
          <w:color w:val="auto"/>
        </w:rPr>
      </w:pPr>
      <w:r>
        <w:rPr>
          <w:rFonts w:ascii="Arial" w:cs="Arial" w:eastAsia="Arial" w:hAnsi="Arial"/>
          <w:sz w:val="18"/>
          <w:szCs w:val="18"/>
          <w:color w:val="auto"/>
        </w:rPr>
        <w:t xml:space="preserve">expenses or disbursements of any kind whatsoever that may at any time (whether before or after the payment of the Loans) be imposed on, incurred by or asserted against the Administrative Agent or such other Person in any way relating to or arising out of, the Commitments, this Agreement, any of the other Loan Documents or any documents contemplated by or referred to herein or therein or the transactions contemplated hereby or thereby or any action taken or omitted by the Administrative Agent or such other Person under or in connection with any of the foregoing and any other amounts not reimbursed by the Borrower or such other Loan Party;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no Lender shall be liable for the payment of any portion of such liabilities, obligations, losses, damages, penalties, actions, judgments, suits, costs, expenses or disbursements that are found by a final and nonappealable decision of a court of competent jurisdiction to have resulted primarily from the Administrative Agent’s or such other Person’s gross negligence or willful misconduct, and that with respect to such unpaid amounts owed to any Issuing Lender or Swingline Lender solely in its capacity as such, only the Revolving Lenders shall be required to pay such unpaid amounts, such payment to be made severally among them based on such Revolving Lenders’ Revolving Percentage (determined as of the time that the applicable unreimbursed expense or indemnity payment is sought). The agreements in this Section shall survive the payment of the Loans and all other amounts payable hereunder.</w:t>
      </w:r>
    </w:p>
    <w:p>
      <w:pPr>
        <w:spacing w:after="0" w:line="1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color w:val="auto"/>
        </w:rPr>
        <w:t>9.8 Agent in Its Individual Capacity</w:t>
      </w:r>
      <w:r>
        <w:rPr>
          <w:rFonts w:ascii="Arial" w:cs="Arial" w:eastAsia="Arial" w:hAnsi="Arial"/>
          <w:sz w:val="20"/>
          <w:szCs w:val="20"/>
          <w:color w:val="auto"/>
        </w:rPr>
        <w:t>. The Person serving as the Administrative Agent hereunder shall have the same rights and</w:t>
      </w:r>
      <w:r>
        <w:rPr>
          <w:rFonts w:ascii="Arial" w:cs="Arial" w:eastAsia="Arial" w:hAnsi="Arial"/>
          <w:sz w:val="20"/>
          <w:szCs w:val="20"/>
          <w:b w:val="1"/>
          <w:bCs w:val="1"/>
          <w:color w:val="auto"/>
        </w:rPr>
        <w:t xml:space="preserve"> </w:t>
      </w:r>
      <w:r>
        <w:rPr>
          <w:rFonts w:ascii="Arial" w:cs="Arial" w:eastAsia="Arial" w:hAnsi="Arial"/>
          <w:sz w:val="20"/>
          <w:szCs w:val="20"/>
          <w:color w:val="auto"/>
        </w:rPr>
        <w:t>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111</w:t>
      </w:r>
    </w:p>
    <w:p>
      <w:pPr>
        <w:sectPr>
          <w:pgSz w:w="11900" w:h="16838" w:orient="portrait"/>
          <w:cols w:equalWidth="0" w:num="1">
            <w:col w:w="11240"/>
          </w:cols>
          <w:pgMar w:left="320" w:top="770" w:right="339" w:bottom="1440" w:gutter="0" w:footer="0" w:header="0"/>
        </w:sectPr>
      </w:pPr>
    </w:p>
    <w:bookmarkStart w:id="498" w:name="page499"/>
    <w:bookmarkEnd w:id="498"/>
    <w:p>
      <w:pPr>
        <w:ind w:left="660"/>
        <w:spacing w:after="0"/>
        <w:tabs>
          <w:tab w:leader="none" w:pos="1080" w:val="left"/>
        </w:tabs>
        <w:rPr>
          <w:sz w:val="20"/>
          <w:szCs w:val="20"/>
          <w:color w:val="auto"/>
        </w:rPr>
      </w:pPr>
      <w:r>
        <w:rPr>
          <w:rFonts w:ascii="Arial" w:cs="Arial" w:eastAsia="Arial" w:hAnsi="Arial"/>
          <w:sz w:val="20"/>
          <w:szCs w:val="20"/>
          <w:b w:val="1"/>
          <w:bCs w:val="1"/>
          <w:color w:val="auto"/>
        </w:rPr>
        <w:t>9.9</w:t>
      </w:r>
      <w:r>
        <w:rPr>
          <w:sz w:val="20"/>
          <w:szCs w:val="20"/>
          <w:color w:val="auto"/>
        </w:rPr>
        <w:tab/>
      </w:r>
      <w:r>
        <w:rPr>
          <w:rFonts w:ascii="Arial" w:cs="Arial" w:eastAsia="Arial" w:hAnsi="Arial"/>
          <w:sz w:val="16"/>
          <w:szCs w:val="16"/>
          <w:b w:val="1"/>
          <w:bCs w:val="1"/>
          <w:color w:val="auto"/>
        </w:rPr>
        <w:t>Successor Administrative Agent</w:t>
      </w:r>
      <w:r>
        <w:rPr>
          <w:rFonts w:ascii="Arial" w:cs="Arial" w:eastAsia="Arial" w:hAnsi="Arial"/>
          <w:sz w:val="16"/>
          <w:szCs w:val="16"/>
          <w:color w:val="auto"/>
        </w:rPr>
        <w:t>.</w:t>
      </w:r>
    </w:p>
    <w:p>
      <w:pPr>
        <w:spacing w:after="0" w:line="168" w:lineRule="exact"/>
        <w:rPr>
          <w:sz w:val="20"/>
          <w:szCs w:val="20"/>
          <w:color w:val="auto"/>
        </w:rPr>
      </w:pPr>
    </w:p>
    <w:p>
      <w:pPr>
        <w:jc w:val="both"/>
        <w:ind w:firstLine="1304"/>
        <w:spacing w:after="0" w:line="257" w:lineRule="auto"/>
        <w:tabs>
          <w:tab w:leader="none" w:pos="1725" w:val="left"/>
        </w:tabs>
        <w:numPr>
          <w:ilvl w:val="0"/>
          <w:numId w:val="466"/>
        </w:numPr>
        <w:rPr>
          <w:rFonts w:ascii="Arial" w:cs="Arial" w:eastAsia="Arial" w:hAnsi="Arial"/>
          <w:sz w:val="19"/>
          <w:szCs w:val="19"/>
          <w:color w:val="auto"/>
        </w:rPr>
      </w:pPr>
      <w:r>
        <w:rPr>
          <w:rFonts w:ascii="Arial" w:cs="Arial" w:eastAsia="Arial" w:hAnsi="Arial"/>
          <w:sz w:val="19"/>
          <w:szCs w:val="19"/>
          <w:color w:val="auto"/>
        </w:rPr>
        <w:t>The Administrative Agent may at any time give notice of its resignation to the Lenders and the Borrower. Upon receipt of any such notice of resignation, the Required Lenders shall have the right, in consultation with the Borrower, to appoint a successor.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Arial" w:cs="Arial" w:eastAsia="Arial" w:hAnsi="Arial"/>
          <w:sz w:val="19"/>
          <w:szCs w:val="19"/>
          <w:b w:val="1"/>
          <w:bCs w:val="1"/>
          <w:i w:val="1"/>
          <w:iCs w:val="1"/>
          <w:color w:val="auto"/>
        </w:rPr>
        <w:t>Resignation Effective Date</w:t>
      </w:r>
      <w:r>
        <w:rPr>
          <w:rFonts w:ascii="Arial" w:cs="Arial" w:eastAsia="Arial" w:hAnsi="Arial"/>
          <w:sz w:val="19"/>
          <w:szCs w:val="19"/>
          <w:color w:val="auto"/>
        </w:rPr>
        <w:t xml:space="preserve">”), then the retiring Administrative Agent may (but shall not be obligated to), on behalf of the Lenders, appoint a successor Administrative Agent meeting the qualifications set forth above;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in no event shall any such successor Administrative Agent be a Defaulting Lender. Whether or not a successor has been appointed, such resignation shall become effective in accordance with such notice on the Resignation Effective Date.</w:t>
      </w:r>
    </w:p>
    <w:p>
      <w:pPr>
        <w:spacing w:after="0" w:line="126" w:lineRule="exact"/>
        <w:rPr>
          <w:rFonts w:ascii="Arial" w:cs="Arial" w:eastAsia="Arial" w:hAnsi="Arial"/>
          <w:sz w:val="19"/>
          <w:szCs w:val="19"/>
          <w:color w:val="auto"/>
        </w:rPr>
      </w:pPr>
    </w:p>
    <w:p>
      <w:pPr>
        <w:jc w:val="both"/>
        <w:ind w:firstLine="1304"/>
        <w:spacing w:after="0" w:line="243" w:lineRule="auto"/>
        <w:tabs>
          <w:tab w:leader="none" w:pos="1727" w:val="left"/>
        </w:tabs>
        <w:numPr>
          <w:ilvl w:val="0"/>
          <w:numId w:val="466"/>
        </w:numPr>
        <w:rPr>
          <w:rFonts w:ascii="Arial" w:cs="Arial" w:eastAsia="Arial" w:hAnsi="Arial"/>
          <w:sz w:val="20"/>
          <w:szCs w:val="20"/>
          <w:color w:val="auto"/>
        </w:rPr>
      </w:pPr>
      <w:r>
        <w:rPr>
          <w:rFonts w:ascii="Arial" w:cs="Arial" w:eastAsia="Arial" w:hAnsi="Arial"/>
          <w:sz w:val="20"/>
          <w:szCs w:val="20"/>
          <w:color w:val="auto"/>
        </w:rPr>
        <w:t>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20"/>
          <w:szCs w:val="20"/>
          <w:b w:val="1"/>
          <w:bCs w:val="1"/>
          <w:i w:val="1"/>
          <w:iCs w:val="1"/>
          <w:color w:val="auto"/>
        </w:rPr>
        <w:t>Removal Effective Date</w:t>
      </w:r>
      <w:r>
        <w:rPr>
          <w:rFonts w:ascii="Arial" w:cs="Arial" w:eastAsia="Arial" w:hAnsi="Arial"/>
          <w:sz w:val="20"/>
          <w:szCs w:val="20"/>
          <w:color w:val="auto"/>
        </w:rPr>
        <w:t>”), then such removal shall nonetheless become effective in accordance with such notice on the Removal Effective Date.</w:t>
      </w:r>
    </w:p>
    <w:p>
      <w:pPr>
        <w:spacing w:after="0" w:line="141" w:lineRule="exact"/>
        <w:rPr>
          <w:rFonts w:ascii="Arial" w:cs="Arial" w:eastAsia="Arial" w:hAnsi="Arial"/>
          <w:sz w:val="20"/>
          <w:szCs w:val="20"/>
          <w:color w:val="auto"/>
        </w:rPr>
      </w:pPr>
    </w:p>
    <w:p>
      <w:pPr>
        <w:jc w:val="both"/>
        <w:ind w:firstLine="1304"/>
        <w:spacing w:after="0" w:line="269" w:lineRule="auto"/>
        <w:tabs>
          <w:tab w:leader="none" w:pos="1838" w:val="left"/>
        </w:tabs>
        <w:numPr>
          <w:ilvl w:val="0"/>
          <w:numId w:val="466"/>
        </w:numPr>
        <w:rPr>
          <w:rFonts w:ascii="Arial" w:cs="Arial" w:eastAsia="Arial" w:hAnsi="Arial"/>
          <w:sz w:val="18"/>
          <w:szCs w:val="18"/>
          <w:color w:val="auto"/>
        </w:rPr>
      </w:pPr>
      <w:r>
        <w:rPr>
          <w:rFonts w:ascii="Arial" w:cs="Arial" w:eastAsia="Arial" w:hAnsi="Arial"/>
          <w:sz w:val="18"/>
          <w:szCs w:val="18"/>
          <w:color w:val="auto"/>
        </w:rPr>
        <w:t xml:space="preserve">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Secured Parties under any of the Loan Documents, the retiring or removed Administrative Agent shall continue to hold such collateral security until such time as a successor Administrative Agent is appointed and such collateral security is assigned to such successor Administrative Agent) and (ii) except for any indemnity payments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the Administrative Agent.</w:t>
      </w:r>
    </w:p>
    <w:p>
      <w:pPr>
        <w:spacing w:after="0" w:line="11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9.10</w:t>
      </w:r>
      <w:r>
        <w:rPr>
          <w:sz w:val="20"/>
          <w:szCs w:val="20"/>
          <w:color w:val="auto"/>
        </w:rPr>
        <w:tab/>
      </w:r>
      <w:r>
        <w:rPr>
          <w:rFonts w:ascii="Arial" w:cs="Arial" w:eastAsia="Arial" w:hAnsi="Arial"/>
          <w:sz w:val="18"/>
          <w:szCs w:val="18"/>
          <w:b w:val="1"/>
          <w:bCs w:val="1"/>
          <w:color w:val="auto"/>
        </w:rPr>
        <w:t>Collateral and Guaranty Matters</w:t>
      </w:r>
      <w:r>
        <w:rPr>
          <w:rFonts w:ascii="Arial" w:cs="Arial" w:eastAsia="Arial" w:hAnsi="Arial"/>
          <w:sz w:val="18"/>
          <w:szCs w:val="18"/>
          <w:color w:val="auto"/>
        </w:rPr>
        <w:t>.</w:t>
      </w:r>
    </w:p>
    <w:p>
      <w:pPr>
        <w:spacing w:after="0" w:line="168" w:lineRule="exact"/>
        <w:rPr>
          <w:sz w:val="20"/>
          <w:szCs w:val="20"/>
          <w:color w:val="auto"/>
        </w:rPr>
      </w:pPr>
    </w:p>
    <w:p>
      <w:pPr>
        <w:ind w:left="1720" w:hanging="416"/>
        <w:spacing w:after="0"/>
        <w:tabs>
          <w:tab w:leader="none" w:pos="1720" w:val="left"/>
        </w:tabs>
        <w:numPr>
          <w:ilvl w:val="0"/>
          <w:numId w:val="467"/>
        </w:numPr>
        <w:rPr>
          <w:rFonts w:ascii="Arial" w:cs="Arial" w:eastAsia="Arial" w:hAnsi="Arial"/>
          <w:sz w:val="20"/>
          <w:szCs w:val="20"/>
          <w:color w:val="auto"/>
        </w:rPr>
      </w:pPr>
      <w:r>
        <w:rPr>
          <w:rFonts w:ascii="Arial" w:cs="Arial" w:eastAsia="Arial" w:hAnsi="Arial"/>
          <w:sz w:val="20"/>
          <w:szCs w:val="20"/>
          <w:color w:val="auto"/>
        </w:rPr>
        <w:t>The Lenders irrevocably authorize the Administrative Agent, at its option and in its discretion,</w:t>
      </w:r>
    </w:p>
    <w:p>
      <w:pPr>
        <w:spacing w:after="0" w:line="161" w:lineRule="exact"/>
        <w:rPr>
          <w:rFonts w:ascii="Arial" w:cs="Arial" w:eastAsia="Arial" w:hAnsi="Arial"/>
          <w:sz w:val="20"/>
          <w:szCs w:val="20"/>
          <w:color w:val="auto"/>
        </w:rPr>
      </w:pPr>
    </w:p>
    <w:p>
      <w:pPr>
        <w:jc w:val="both"/>
        <w:ind w:firstLine="1952"/>
        <w:spacing w:after="0" w:line="244" w:lineRule="auto"/>
        <w:tabs>
          <w:tab w:leader="none" w:pos="2329" w:val="left"/>
        </w:tabs>
        <w:numPr>
          <w:ilvl w:val="1"/>
          <w:numId w:val="467"/>
        </w:numPr>
        <w:rPr>
          <w:rFonts w:ascii="Arial" w:cs="Arial" w:eastAsia="Arial" w:hAnsi="Arial"/>
          <w:sz w:val="20"/>
          <w:szCs w:val="20"/>
          <w:color w:val="auto"/>
        </w:rPr>
      </w:pPr>
      <w:r>
        <w:rPr>
          <w:rFonts w:ascii="Arial" w:cs="Arial" w:eastAsia="Arial" w:hAnsi="Arial"/>
          <w:sz w:val="20"/>
          <w:szCs w:val="20"/>
          <w:color w:val="auto"/>
        </w:rPr>
        <w:t>to release any Lien on any Collateral or other property granted to or held by the Administrative Agent under any Loan Document (A) upon the Discharge of Obligations (other than contingent indemnification obligations) and the expiration or termination of all Letters of Credit (other than Letters of Credit as to which other arrangements satisfactory to the Administrative Agent and the applicable Issuing Lender shall have been made), (B) that is sold or otherwise disposed of or to be sold or otherwise disposed of as part of or in connection with any sale or other disposition permitted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112</w:t>
      </w:r>
    </w:p>
    <w:p>
      <w:pPr>
        <w:sectPr>
          <w:pgSz w:w="11900" w:h="16838" w:orient="portrait"/>
          <w:cols w:equalWidth="0" w:num="1">
            <w:col w:w="11240"/>
          </w:cols>
          <w:pgMar w:left="320" w:top="764" w:right="339" w:bottom="1440" w:gutter="0" w:footer="0" w:header="0"/>
        </w:sectPr>
      </w:pPr>
    </w:p>
    <w:bookmarkStart w:id="499" w:name="page500"/>
    <w:bookmarkEnd w:id="499"/>
    <w:p>
      <w:pPr>
        <w:spacing w:after="0" w:line="260" w:lineRule="auto"/>
        <w:rPr>
          <w:sz w:val="20"/>
          <w:szCs w:val="20"/>
          <w:color w:val="auto"/>
        </w:rPr>
      </w:pPr>
      <w:r>
        <w:rPr>
          <w:rFonts w:ascii="Arial" w:cs="Arial" w:eastAsia="Arial" w:hAnsi="Arial"/>
          <w:sz w:val="20"/>
          <w:szCs w:val="20"/>
          <w:color w:val="auto"/>
        </w:rPr>
        <w:t xml:space="preserve">hereunder or under any other Loan Document, or (C) subject to </w:t>
      </w:r>
      <w:r>
        <w:rPr>
          <w:rFonts w:ascii="Arial" w:cs="Arial" w:eastAsia="Arial" w:hAnsi="Arial"/>
          <w:sz w:val="20"/>
          <w:szCs w:val="20"/>
          <w:u w:val="single" w:color="auto"/>
          <w:color w:val="auto"/>
        </w:rPr>
        <w:t>Section 10.1</w:t>
      </w:r>
      <w:r>
        <w:rPr>
          <w:rFonts w:ascii="Arial" w:cs="Arial" w:eastAsia="Arial" w:hAnsi="Arial"/>
          <w:sz w:val="20"/>
          <w:szCs w:val="20"/>
          <w:color w:val="auto"/>
        </w:rPr>
        <w:t>, if approved, authorized or ratified in writing by the Required Lenders;</w:t>
      </w:r>
    </w:p>
    <w:p>
      <w:pPr>
        <w:spacing w:after="0" w:line="123" w:lineRule="exact"/>
        <w:rPr>
          <w:sz w:val="20"/>
          <w:szCs w:val="20"/>
          <w:color w:val="auto"/>
        </w:rPr>
      </w:pPr>
    </w:p>
    <w:p>
      <w:pPr>
        <w:ind w:firstLine="1952"/>
        <w:spacing w:after="0" w:line="260" w:lineRule="auto"/>
        <w:tabs>
          <w:tab w:leader="none" w:pos="2461" w:val="left"/>
        </w:tabs>
        <w:numPr>
          <w:ilvl w:val="0"/>
          <w:numId w:val="468"/>
        </w:numPr>
        <w:rPr>
          <w:rFonts w:ascii="Arial" w:cs="Arial" w:eastAsia="Arial" w:hAnsi="Arial"/>
          <w:sz w:val="20"/>
          <w:szCs w:val="20"/>
          <w:color w:val="auto"/>
        </w:rPr>
      </w:pPr>
      <w:r>
        <w:rPr>
          <w:rFonts w:ascii="Arial" w:cs="Arial" w:eastAsia="Arial" w:hAnsi="Arial"/>
          <w:sz w:val="20"/>
          <w:szCs w:val="20"/>
          <w:color w:val="auto"/>
        </w:rPr>
        <w:t xml:space="preserve">to subordinate any Lien on any Collateral or other property granted to or held by the Administrative Agent under any Loan Document to the holder of any Lien on such property that is permitted by </w:t>
      </w:r>
      <w:r>
        <w:rPr>
          <w:rFonts w:ascii="Arial" w:cs="Arial" w:eastAsia="Arial" w:hAnsi="Arial"/>
          <w:sz w:val="20"/>
          <w:szCs w:val="20"/>
          <w:u w:val="single" w:color="auto"/>
          <w:color w:val="auto"/>
        </w:rPr>
        <w:t>Sections 7.3 (g)</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(i)</w:t>
      </w:r>
      <w:r>
        <w:rPr>
          <w:rFonts w:ascii="Arial" w:cs="Arial" w:eastAsia="Arial" w:hAnsi="Arial"/>
          <w:sz w:val="20"/>
          <w:szCs w:val="20"/>
          <w:color w:val="auto"/>
        </w:rPr>
        <w:t>; and</w:t>
      </w:r>
    </w:p>
    <w:p>
      <w:pPr>
        <w:spacing w:after="0" w:line="122" w:lineRule="exact"/>
        <w:rPr>
          <w:rFonts w:ascii="Arial" w:cs="Arial" w:eastAsia="Arial" w:hAnsi="Arial"/>
          <w:sz w:val="20"/>
          <w:szCs w:val="20"/>
          <w:color w:val="auto"/>
        </w:rPr>
      </w:pPr>
    </w:p>
    <w:p>
      <w:pPr>
        <w:ind w:firstLine="1952"/>
        <w:spacing w:after="0" w:line="260" w:lineRule="auto"/>
        <w:tabs>
          <w:tab w:leader="none" w:pos="2510" w:val="left"/>
        </w:tabs>
        <w:numPr>
          <w:ilvl w:val="0"/>
          <w:numId w:val="468"/>
        </w:numPr>
        <w:rPr>
          <w:rFonts w:ascii="Arial" w:cs="Arial" w:eastAsia="Arial" w:hAnsi="Arial"/>
          <w:sz w:val="20"/>
          <w:szCs w:val="20"/>
          <w:color w:val="auto"/>
        </w:rPr>
      </w:pPr>
      <w:r>
        <w:rPr>
          <w:rFonts w:ascii="Arial" w:cs="Arial" w:eastAsia="Arial" w:hAnsi="Arial"/>
          <w:sz w:val="20"/>
          <w:szCs w:val="20"/>
          <w:color w:val="auto"/>
        </w:rPr>
        <w:t>to release any Guarantor from its obligations under the Guarantee and Collateral Agreement if such Person ceases to be a Subsidiary as a result of a transaction permitted under the Loan Documents.</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Arial" w:cs="Arial" w:eastAsia="Arial" w:hAnsi="Arial"/>
          <w:sz w:val="20"/>
          <w:szCs w:val="20"/>
          <w:u w:val="single" w:color="auto"/>
          <w:color w:val="auto"/>
        </w:rPr>
        <w:t>Section 9.10</w:t>
      </w:r>
      <w:r>
        <w:rPr>
          <w:rFonts w:ascii="Arial" w:cs="Arial" w:eastAsia="Arial" w:hAnsi="Arial"/>
          <w:sz w:val="20"/>
          <w:szCs w:val="20"/>
          <w:color w:val="auto"/>
        </w:rPr>
        <w:t>.</w:t>
      </w:r>
    </w:p>
    <w:p>
      <w:pPr>
        <w:spacing w:after="0" w:line="132" w:lineRule="exact"/>
        <w:rPr>
          <w:sz w:val="20"/>
          <w:szCs w:val="20"/>
          <w:color w:val="auto"/>
        </w:rPr>
      </w:pPr>
    </w:p>
    <w:p>
      <w:pPr>
        <w:jc w:val="both"/>
        <w:ind w:firstLine="1304"/>
        <w:spacing w:after="0" w:line="246" w:lineRule="auto"/>
        <w:tabs>
          <w:tab w:leader="none" w:pos="1756" w:val="left"/>
        </w:tabs>
        <w:numPr>
          <w:ilvl w:val="0"/>
          <w:numId w:val="469"/>
        </w:numPr>
        <w:rPr>
          <w:rFonts w:ascii="Arial" w:cs="Arial" w:eastAsia="Arial" w:hAnsi="Arial"/>
          <w:sz w:val="20"/>
          <w:szCs w:val="20"/>
          <w:color w:val="auto"/>
        </w:rPr>
      </w:pPr>
      <w:r>
        <w:rPr>
          <w:rFonts w:ascii="Arial" w:cs="Arial" w:eastAsia="Arial" w:hAnsi="Arial"/>
          <w:sz w:val="20"/>
          <w:szCs w:val="20"/>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37" w:lineRule="exact"/>
        <w:rPr>
          <w:rFonts w:ascii="Arial" w:cs="Arial" w:eastAsia="Arial" w:hAnsi="Arial"/>
          <w:sz w:val="20"/>
          <w:szCs w:val="20"/>
          <w:color w:val="auto"/>
        </w:rPr>
      </w:pPr>
    </w:p>
    <w:p>
      <w:pPr>
        <w:jc w:val="both"/>
        <w:ind w:firstLine="1304"/>
        <w:spacing w:after="0" w:line="268" w:lineRule="auto"/>
        <w:tabs>
          <w:tab w:leader="none" w:pos="1819" w:val="left"/>
        </w:tabs>
        <w:numPr>
          <w:ilvl w:val="0"/>
          <w:numId w:val="469"/>
        </w:numPr>
        <w:rPr>
          <w:rFonts w:ascii="Arial" w:cs="Arial" w:eastAsia="Arial" w:hAnsi="Arial"/>
          <w:sz w:val="18"/>
          <w:szCs w:val="18"/>
          <w:color w:val="auto"/>
        </w:rPr>
      </w:pPr>
      <w:r>
        <w:rPr>
          <w:rFonts w:ascii="Arial" w:cs="Arial" w:eastAsia="Arial" w:hAnsi="Arial"/>
          <w:sz w:val="18"/>
          <w:szCs w:val="18"/>
          <w:color w:val="auto"/>
        </w:rPr>
        <w:t xml:space="preserve">Notwithstanding anything contained in any Loan Document, no Secured Party shall have any right individually to realize upon any of the Collateral or to enforce any guaranty of the Obligations (including any such guaranty provided by the Guarantors pursuant to the Guarantee and Collateral Agreement), it being understood and agreed that all powers, rights and remedies under the Loan Documents may be exercised solely by the Administrative Agent on behalf of the Secured Parties in accordance with the terms thereof;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for the avoidance of doubt, in no event shall a Secured Party be restricted hereunder from filing a proof of claim on its own behalf during the pendency of a proceeding relative to any Loan Party under any Debtor Relief Law or any other judicial proceeding. In the event of a foreclosure by the Administrative Agent on any of the Collateral pursuant to a public or private sale or other disposition, the Administrative Agent or any Secured Party may be the purchaser or licensor of any or all of such Collateral at any such sale or other disposition, and the Administrative Agent, as agent for and representative of such Secured Party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Administrative Agent on behalf of the Secured Parties at such sale or other disposition. Each Secured Party, whether or not a party hereto, will be deemed, by its acceptance of the benefits of the Collateral and of the guarantees of the Obligations provided by the Loan Parties under the Guarantee and Collateral Agreement, to have agreed to the foregoing provisions. In furtherance of the foregoing, and not in limitation thereof, no Specified Swap Agreement and no Cash Management Agreement, the Obligations under which constitute Obligations, will create (or be deemed to create) in favor of any Secured Party that is a party thereto any rights in connection with the management or release of any Collateral or of the Obligations of any Loan Party under any Loan Document except as expressly provided herein or in the Guarantee and Collateral Agreement. By accepting the benefits of the Collateral and of the guarantees of the Obligations provided by the Loan Parties under the Guarantee and Collateral Agreement, any Secured Party that is a Cash Management Bank or a Qualified Counterparty shall be deemed to have appointed the Administrative Agent to serve as administrative agent and collateral agent under the Loan Documents and to have agreed to be bound by the Loan Documents as a Secured Party thereunder, subject to the limitations set forth in this paragraph.</w:t>
      </w:r>
    </w:p>
    <w:p>
      <w:pPr>
        <w:spacing w:after="0" w:line="1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9.11 Administrative Agent May File Proofs of Claim</w:t>
      </w:r>
      <w:r>
        <w:rPr>
          <w:rFonts w:ascii="Arial" w:cs="Arial" w:eastAsia="Arial" w:hAnsi="Arial"/>
          <w:sz w:val="20"/>
          <w:szCs w:val="20"/>
          <w:color w:val="auto"/>
        </w:rPr>
        <w:t>. In case of the pendency of any proceeding under any Debtor Relief Law or</w:t>
      </w:r>
      <w:r>
        <w:rPr>
          <w:rFonts w:ascii="Arial" w:cs="Arial" w:eastAsia="Arial" w:hAnsi="Arial"/>
          <w:sz w:val="20"/>
          <w:szCs w:val="20"/>
          <w:b w:val="1"/>
          <w:bCs w:val="1"/>
          <w:color w:val="auto"/>
        </w:rPr>
        <w:t xml:space="preserve"> </w:t>
      </w:r>
      <w:r>
        <w:rPr>
          <w:rFonts w:ascii="Arial" w:cs="Arial" w:eastAsia="Arial" w:hAnsi="Arial"/>
          <w:sz w:val="20"/>
          <w:szCs w:val="20"/>
          <w:color w:val="auto"/>
        </w:rPr>
        <w:t>any other judicial proceeding relative to any Loan Party, the Administrative Agent (irrespective of whether the principal of any Loan or Obligation in respect of any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113</w:t>
      </w:r>
    </w:p>
    <w:p>
      <w:pPr>
        <w:sectPr>
          <w:pgSz w:w="11900" w:h="16838" w:orient="portrait"/>
          <w:cols w:equalWidth="0" w:num="1">
            <w:col w:w="11240"/>
          </w:cols>
          <w:pgMar w:left="320" w:top="770" w:right="339" w:bottom="1440" w:gutter="0" w:footer="0" w:header="0"/>
        </w:sectPr>
      </w:pPr>
    </w:p>
    <w:bookmarkStart w:id="500" w:name="page501"/>
    <w:bookmarkEnd w:id="500"/>
    <w:p>
      <w:pPr>
        <w:jc w:val="both"/>
        <w:spacing w:after="0" w:line="250" w:lineRule="auto"/>
        <w:rPr>
          <w:sz w:val="20"/>
          <w:szCs w:val="20"/>
          <w:color w:val="auto"/>
        </w:rPr>
      </w:pPr>
      <w:r>
        <w:rPr>
          <w:rFonts w:ascii="Arial" w:cs="Arial" w:eastAsia="Arial" w:hAnsi="Arial"/>
          <w:sz w:val="20"/>
          <w:szCs w:val="20"/>
          <w:color w:val="auto"/>
        </w:rPr>
        <w:t>Letter of Credit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32" w:lineRule="exact"/>
        <w:rPr>
          <w:sz w:val="20"/>
          <w:szCs w:val="20"/>
          <w:color w:val="auto"/>
        </w:rPr>
      </w:pPr>
    </w:p>
    <w:p>
      <w:pPr>
        <w:jc w:val="both"/>
        <w:ind w:firstLine="1304"/>
        <w:spacing w:after="0" w:line="278" w:lineRule="auto"/>
        <w:tabs>
          <w:tab w:leader="none" w:pos="1751" w:val="left"/>
        </w:tabs>
        <w:numPr>
          <w:ilvl w:val="0"/>
          <w:numId w:val="470"/>
        </w:numPr>
        <w:rPr>
          <w:rFonts w:ascii="Arial" w:cs="Arial" w:eastAsia="Arial" w:hAnsi="Arial"/>
          <w:sz w:val="18"/>
          <w:szCs w:val="18"/>
          <w:color w:val="auto"/>
        </w:rPr>
      </w:pPr>
      <w:r>
        <w:rPr>
          <w:rFonts w:ascii="Arial" w:cs="Arial" w:eastAsia="Arial" w:hAnsi="Arial"/>
          <w:sz w:val="18"/>
          <w:szCs w:val="18"/>
          <w:color w:val="auto"/>
        </w:rPr>
        <w:t xml:space="preserve">to file and prove a claim for the whole amount of the principal and interest owing and unpaid in respect of the Loans, Obligations in respect of any Letter of Credit and all other Obligations that are owing and unpaid and to file such other documents as may be necessary or advisable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Arial" w:cs="Arial" w:eastAsia="Arial" w:hAnsi="Arial"/>
          <w:sz w:val="18"/>
          <w:szCs w:val="18"/>
          <w:u w:val="single" w:color="auto"/>
          <w:color w:val="auto"/>
        </w:rPr>
        <w:t>Sections 2.9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10.5</w:t>
      </w:r>
      <w:r>
        <w:rPr>
          <w:rFonts w:ascii="Arial" w:cs="Arial" w:eastAsia="Arial" w:hAnsi="Arial"/>
          <w:sz w:val="18"/>
          <w:szCs w:val="18"/>
          <w:color w:val="auto"/>
        </w:rPr>
        <w:t>) allowed in such judicial proceeding; and</w:t>
      </w:r>
    </w:p>
    <w:p>
      <w:pPr>
        <w:spacing w:after="0" w:line="110" w:lineRule="exact"/>
        <w:rPr>
          <w:rFonts w:ascii="Arial" w:cs="Arial" w:eastAsia="Arial" w:hAnsi="Arial"/>
          <w:sz w:val="18"/>
          <w:szCs w:val="18"/>
          <w:color w:val="auto"/>
        </w:rPr>
      </w:pPr>
    </w:p>
    <w:p>
      <w:pPr>
        <w:ind w:left="1820" w:hanging="516"/>
        <w:spacing w:after="0"/>
        <w:tabs>
          <w:tab w:leader="none" w:pos="182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same;</w:t>
      </w:r>
    </w:p>
    <w:p>
      <w:pPr>
        <w:spacing w:after="0" w:line="14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20"/>
          <w:szCs w:val="20"/>
          <w:u w:val="single" w:color="auto"/>
          <w:color w:val="auto"/>
        </w:rPr>
        <w:t>Sections 2.9</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10.5</w:t>
      </w:r>
      <w:r>
        <w:rPr>
          <w:rFonts w:ascii="Arial" w:cs="Arial" w:eastAsia="Arial" w:hAnsi="Arial"/>
          <w:sz w:val="20"/>
          <w:szCs w:val="20"/>
          <w:color w:val="auto"/>
        </w:rPr>
        <w:t>.</w:t>
      </w:r>
    </w:p>
    <w:p>
      <w:pPr>
        <w:spacing w:after="0" w:line="14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in any such proceeding.</w:t>
      </w:r>
    </w:p>
    <w:p>
      <w:pPr>
        <w:spacing w:after="0" w:line="11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auto"/>
        </w:rPr>
        <w:t>9.12 No Other Duties, etc.</w:t>
      </w:r>
      <w:r>
        <w:rPr>
          <w:rFonts w:ascii="Arial" w:cs="Arial" w:eastAsia="Arial" w:hAnsi="Arial"/>
          <w:sz w:val="19"/>
          <w:szCs w:val="19"/>
          <w:color w:val="auto"/>
        </w:rPr>
        <w:t>. Anything herein to the contrary notwithstanding, the Lead Arranger listed on the cover page hereof</w:t>
      </w:r>
      <w:r>
        <w:rPr>
          <w:rFonts w:ascii="Arial" w:cs="Arial" w:eastAsia="Arial" w:hAnsi="Arial"/>
          <w:sz w:val="19"/>
          <w:szCs w:val="19"/>
          <w:b w:val="1"/>
          <w:bCs w:val="1"/>
          <w:color w:val="auto"/>
        </w:rPr>
        <w:t xml:space="preserve"> </w:t>
      </w:r>
      <w:r>
        <w:rPr>
          <w:rFonts w:ascii="Arial" w:cs="Arial" w:eastAsia="Arial" w:hAnsi="Arial"/>
          <w:sz w:val="19"/>
          <w:szCs w:val="19"/>
          <w:color w:val="auto"/>
        </w:rPr>
        <w:t>shall not have any powers, duties or responsibilities under this Agreement or any of the other Loan Documents, except in its capacity, as applicable, as the Administrative Agent, a Lender, the Issuing Lender or the Swingline Lender hereunder.</w:t>
      </w:r>
    </w:p>
    <w:p>
      <w:pPr>
        <w:spacing w:after="0" w:line="1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b w:val="1"/>
          <w:bCs w:val="1"/>
          <w:color w:val="auto"/>
        </w:rPr>
        <w:t>9.13 Cash Management Bank and Qualified Counterparty Reports</w:t>
      </w:r>
      <w:r>
        <w:rPr>
          <w:rFonts w:ascii="Arial" w:cs="Arial" w:eastAsia="Arial" w:hAnsi="Arial"/>
          <w:sz w:val="19"/>
          <w:szCs w:val="19"/>
          <w:color w:val="auto"/>
        </w:rPr>
        <w:t>. Each Cash Management Bank and each Qualified</w:t>
      </w:r>
      <w:r>
        <w:rPr>
          <w:rFonts w:ascii="Arial" w:cs="Arial" w:eastAsia="Arial" w:hAnsi="Arial"/>
          <w:sz w:val="19"/>
          <w:szCs w:val="19"/>
          <w:b w:val="1"/>
          <w:bCs w:val="1"/>
          <w:color w:val="auto"/>
        </w:rPr>
        <w:t xml:space="preserve"> </w:t>
      </w:r>
      <w:r>
        <w:rPr>
          <w:rFonts w:ascii="Arial" w:cs="Arial" w:eastAsia="Arial" w:hAnsi="Arial"/>
          <w:sz w:val="19"/>
          <w:szCs w:val="19"/>
          <w:color w:val="auto"/>
        </w:rPr>
        <w:t>Counterparty agrees to furnish to the Administrative Agent, as frequently as the Administrative Agent may reasonably request, with a summary of all Obligations in respect of Cash Management Services and/or Specified Swap Agreements, as applicable, due or to become due to such Cash Management Bank or Qualified Counterparty, as applicable. In connection with any distributions to be made hereunder, the Administrative Agent shall be entitled to assume that no amounts are due to any Cash Management Bank or Qualified Counterparty (in its capacity as a Cash Management Bank or Qualified Counterparty and not in its capacity as a Lender) unless the Administrative Agent has received written notice thereof from such Cash Management Bank or Qualified Counterparty and if such notice is received, the Administrative Agent shall be entitled to assume that the only amounts due to such Cash Management Bank or Qualified Counterparty on account of Cash Management Services or Specified Swap Agreements are set forth in such notice.</w:t>
      </w:r>
    </w:p>
    <w:p>
      <w:pPr>
        <w:spacing w:after="0" w:line="12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9.14</w:t>
      </w:r>
      <w:r>
        <w:rPr>
          <w:sz w:val="20"/>
          <w:szCs w:val="20"/>
          <w:color w:val="auto"/>
        </w:rPr>
        <w:tab/>
      </w:r>
      <w:r>
        <w:rPr>
          <w:rFonts w:ascii="Arial" w:cs="Arial" w:eastAsia="Arial" w:hAnsi="Arial"/>
          <w:sz w:val="19"/>
          <w:szCs w:val="19"/>
          <w:b w:val="1"/>
          <w:bCs w:val="1"/>
          <w:color w:val="auto"/>
        </w:rPr>
        <w:t>Certain ERISA Matters</w:t>
      </w:r>
      <w:r>
        <w:rPr>
          <w:rFonts w:ascii="Arial" w:cs="Arial" w:eastAsia="Arial" w:hAnsi="Arial"/>
          <w:sz w:val="19"/>
          <w:szCs w:val="19"/>
          <w:color w:val="auto"/>
        </w:rPr>
        <w:t>.</w:t>
      </w:r>
    </w:p>
    <w:p>
      <w:pPr>
        <w:spacing w:after="0" w:line="168" w:lineRule="exact"/>
        <w:rPr>
          <w:sz w:val="20"/>
          <w:szCs w:val="20"/>
          <w:color w:val="auto"/>
        </w:rPr>
      </w:pPr>
    </w:p>
    <w:p>
      <w:pPr>
        <w:jc w:val="both"/>
        <w:ind w:firstLine="1304"/>
        <w:spacing w:after="0" w:line="263" w:lineRule="auto"/>
        <w:tabs>
          <w:tab w:leader="none" w:pos="1859" w:val="left"/>
        </w:tabs>
        <w:numPr>
          <w:ilvl w:val="0"/>
          <w:numId w:val="471"/>
        </w:numPr>
        <w:rPr>
          <w:rFonts w:ascii="Arial" w:cs="Arial" w:eastAsia="Arial" w:hAnsi="Arial"/>
          <w:sz w:val="19"/>
          <w:szCs w:val="19"/>
          <w:color w:val="auto"/>
        </w:rPr>
      </w:pPr>
      <w:r>
        <w:rPr>
          <w:rFonts w:ascii="Arial" w:cs="Arial" w:eastAsia="Arial" w:hAnsi="Arial"/>
          <w:sz w:val="19"/>
          <w:szCs w:val="19"/>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Lead Arranger and their respective Affiliates, and not, for the avoidance of doubt, to or for the benefit of the Borrower or any other Loan Party, that at least one of the following is and will be true:</w:t>
      </w:r>
    </w:p>
    <w:p>
      <w:pPr>
        <w:spacing w:after="0" w:line="122" w:lineRule="exact"/>
        <w:rPr>
          <w:rFonts w:ascii="Arial" w:cs="Arial" w:eastAsia="Arial" w:hAnsi="Arial"/>
          <w:sz w:val="19"/>
          <w:szCs w:val="19"/>
          <w:color w:val="auto"/>
        </w:rPr>
      </w:pPr>
    </w:p>
    <w:p>
      <w:pPr>
        <w:jc w:val="both"/>
        <w:ind w:firstLine="1952"/>
        <w:spacing w:after="0" w:line="250" w:lineRule="auto"/>
        <w:tabs>
          <w:tab w:leader="none" w:pos="2416" w:val="left"/>
        </w:tabs>
        <w:numPr>
          <w:ilvl w:val="1"/>
          <w:numId w:val="471"/>
        </w:numPr>
        <w:rPr>
          <w:rFonts w:ascii="Arial" w:cs="Arial" w:eastAsia="Arial" w:hAnsi="Arial"/>
          <w:sz w:val="20"/>
          <w:szCs w:val="20"/>
          <w:color w:val="auto"/>
        </w:rPr>
      </w:pPr>
      <w:r>
        <w:rPr>
          <w:rFonts w:ascii="Arial" w:cs="Arial" w:eastAsia="Arial" w:hAnsi="Arial"/>
          <w:sz w:val="20"/>
          <w:szCs w:val="20"/>
          <w:color w:val="auto"/>
        </w:rPr>
        <w:t>such Lender is not using “plan assets” (within the meaning of the Plan Assets Regulations or otherwise for purposes of Title I of ERISA or Section 4975 of the Code) of one or more Benefit Plans in connection with the Loans, the Letters of Credit or the Commitments,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114</w:t>
      </w:r>
    </w:p>
    <w:p>
      <w:pPr>
        <w:sectPr>
          <w:pgSz w:w="11900" w:h="16838" w:orient="portrait"/>
          <w:cols w:equalWidth="0" w:num="1">
            <w:col w:w="11240"/>
          </w:cols>
          <w:pgMar w:left="320" w:top="770" w:right="339" w:bottom="1440" w:gutter="0" w:footer="0" w:header="0"/>
        </w:sectPr>
      </w:pPr>
    </w:p>
    <w:bookmarkStart w:id="501" w:name="page502"/>
    <w:bookmarkEnd w:id="501"/>
    <w:p>
      <w:pPr>
        <w:jc w:val="both"/>
        <w:ind w:firstLine="1952"/>
        <w:spacing w:after="0" w:line="276" w:lineRule="auto"/>
        <w:tabs>
          <w:tab w:leader="none" w:pos="2411" w:val="left"/>
        </w:tabs>
        <w:numPr>
          <w:ilvl w:val="0"/>
          <w:numId w:val="472"/>
        </w:numPr>
        <w:rPr>
          <w:rFonts w:ascii="Arial" w:cs="Arial" w:eastAsia="Arial" w:hAnsi="Arial"/>
          <w:sz w:val="18"/>
          <w:szCs w:val="18"/>
          <w:color w:val="auto"/>
        </w:rPr>
      </w:pPr>
      <w:r>
        <w:rPr>
          <w:rFonts w:ascii="Arial" w:cs="Arial" w:eastAsia="Arial" w:hAnsi="Arial"/>
          <w:sz w:val="18"/>
          <w:szCs w:val="18"/>
          <w:color w:val="auto"/>
        </w:rPr>
        <w:t>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10" w:lineRule="exact"/>
        <w:rPr>
          <w:rFonts w:ascii="Arial" w:cs="Arial" w:eastAsia="Arial" w:hAnsi="Arial"/>
          <w:sz w:val="18"/>
          <w:szCs w:val="18"/>
          <w:color w:val="auto"/>
        </w:rPr>
      </w:pPr>
    </w:p>
    <w:p>
      <w:pPr>
        <w:jc w:val="both"/>
        <w:ind w:firstLine="1952"/>
        <w:spacing w:after="0" w:line="257" w:lineRule="auto"/>
        <w:tabs>
          <w:tab w:leader="none" w:pos="2532" w:val="left"/>
        </w:tabs>
        <w:numPr>
          <w:ilvl w:val="0"/>
          <w:numId w:val="472"/>
        </w:numPr>
        <w:rPr>
          <w:rFonts w:ascii="Arial" w:cs="Arial" w:eastAsia="Arial" w:hAnsi="Arial"/>
          <w:sz w:val="19"/>
          <w:szCs w:val="19"/>
          <w:color w:val="auto"/>
        </w:rPr>
      </w:pPr>
      <w:r>
        <w:rPr>
          <w:rFonts w:ascii="Arial" w:cs="Arial" w:eastAsia="Arial" w:hAnsi="Arial"/>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30" w:lineRule="exact"/>
        <w:rPr>
          <w:rFonts w:ascii="Arial" w:cs="Arial" w:eastAsia="Arial" w:hAnsi="Arial"/>
          <w:sz w:val="19"/>
          <w:szCs w:val="19"/>
          <w:color w:val="auto"/>
        </w:rPr>
      </w:pPr>
    </w:p>
    <w:p>
      <w:pPr>
        <w:ind w:firstLine="1952"/>
        <w:spacing w:after="0" w:line="260" w:lineRule="auto"/>
        <w:tabs>
          <w:tab w:leader="none" w:pos="2524" w:val="left"/>
        </w:tabs>
        <w:numPr>
          <w:ilvl w:val="0"/>
          <w:numId w:val="472"/>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12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and (y) covenants, from the date such Person became a Lender party hereto to the date such Person ceases being a Lender party hereto, for the benefit of, the Administrative Agent, and the Lead Arranger and their respective Affiliates, and not, for the avoidance of doubt, to or for the benefit of the Borrower or any other Loan Party, that none of the Administrative Agent, or the Lead Arranger or any of their respective Affiliates is a fiduciary with respect to the Collateral or the assets of such Lender (including in connection with the reservation or exercise of any rights by the Administrative Agent under this Agreement, any Loan Document or any documents related to hereto or thereto).</w:t>
      </w:r>
    </w:p>
    <w:p>
      <w:pPr>
        <w:spacing w:after="0" w:line="114" w:lineRule="exact"/>
        <w:rPr>
          <w:sz w:val="20"/>
          <w:szCs w:val="20"/>
          <w:color w:val="auto"/>
        </w:rPr>
      </w:pPr>
    </w:p>
    <w:p>
      <w:pPr>
        <w:jc w:val="both"/>
        <w:ind w:firstLine="656"/>
        <w:spacing w:after="0" w:line="271" w:lineRule="auto"/>
        <w:tabs>
          <w:tab w:leader="none" w:pos="1073" w:val="left"/>
        </w:tabs>
        <w:numPr>
          <w:ilvl w:val="0"/>
          <w:numId w:val="473"/>
        </w:numPr>
        <w:rPr>
          <w:rFonts w:ascii="Arial" w:cs="Arial" w:eastAsia="Arial" w:hAnsi="Arial"/>
          <w:sz w:val="18"/>
          <w:szCs w:val="18"/>
          <w:color w:val="auto"/>
        </w:rPr>
      </w:pPr>
      <w:r>
        <w:rPr>
          <w:rFonts w:ascii="Arial" w:cs="Arial" w:eastAsia="Arial" w:hAnsi="Arial"/>
          <w:sz w:val="18"/>
          <w:szCs w:val="18"/>
          <w:color w:val="auto"/>
        </w:rPr>
        <w:t>The Administrative Agent and the Lead Arranger hereby inform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1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9.15</w:t>
      </w:r>
      <w:r>
        <w:rPr>
          <w:sz w:val="20"/>
          <w:szCs w:val="20"/>
          <w:color w:val="auto"/>
        </w:rPr>
        <w:tab/>
      </w:r>
      <w:r>
        <w:rPr>
          <w:rFonts w:ascii="Arial" w:cs="Arial" w:eastAsia="Arial" w:hAnsi="Arial"/>
          <w:sz w:val="18"/>
          <w:szCs w:val="18"/>
          <w:b w:val="1"/>
          <w:bCs w:val="1"/>
          <w:color w:val="auto"/>
        </w:rPr>
        <w:t>Survival</w:t>
      </w:r>
      <w:r>
        <w:rPr>
          <w:rFonts w:ascii="Arial" w:cs="Arial" w:eastAsia="Arial" w:hAnsi="Arial"/>
          <w:sz w:val="18"/>
          <w:szCs w:val="18"/>
          <w:color w:val="auto"/>
        </w:rPr>
        <w:t>.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w:t>
      </w:r>
      <w:r>
        <w:rPr>
          <w:rFonts w:ascii="Arial" w:cs="Arial" w:eastAsia="Arial" w:hAnsi="Arial"/>
          <w:sz w:val="18"/>
          <w:szCs w:val="18"/>
          <w:b w:val="1"/>
          <w:bCs w:val="1"/>
          <w:color w:val="auto"/>
        </w:rPr>
        <w:t xml:space="preserve"> </w:t>
      </w:r>
      <w:r>
        <w:rPr>
          <w:rFonts w:ascii="Arial" w:cs="Arial" w:eastAsia="Arial" w:hAnsi="Arial"/>
          <w:sz w:val="18"/>
          <w:szCs w:val="18"/>
          <w:color w:val="auto"/>
        </w:rPr>
        <w:t>shall survive the Discharge of Obligations.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115</w:t>
      </w:r>
    </w:p>
    <w:p>
      <w:pPr>
        <w:sectPr>
          <w:pgSz w:w="11900" w:h="16838" w:orient="portrait"/>
          <w:cols w:equalWidth="0" w:num="1">
            <w:col w:w="11240"/>
          </w:cols>
          <w:pgMar w:left="320" w:top="770" w:right="339" w:bottom="1440" w:gutter="0" w:footer="0" w:header="0"/>
        </w:sectPr>
      </w:pPr>
    </w:p>
    <w:bookmarkStart w:id="502" w:name="page503"/>
    <w:bookmarkEnd w:id="502"/>
    <w:p>
      <w:pPr>
        <w:jc w:val="center"/>
        <w:spacing w:after="0"/>
        <w:rPr>
          <w:sz w:val="20"/>
          <w:szCs w:val="20"/>
          <w:color w:val="auto"/>
        </w:rPr>
      </w:pPr>
      <w:r>
        <w:rPr>
          <w:rFonts w:ascii="Arial" w:cs="Arial" w:eastAsia="Arial" w:hAnsi="Arial"/>
          <w:sz w:val="20"/>
          <w:szCs w:val="20"/>
          <w:b w:val="1"/>
          <w:bCs w:val="1"/>
          <w:color w:val="auto"/>
        </w:rPr>
        <w:t>SECTION 10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14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10.1</w:t>
      </w:r>
      <w:r>
        <w:rPr>
          <w:sz w:val="20"/>
          <w:szCs w:val="20"/>
          <w:color w:val="auto"/>
        </w:rPr>
        <w:tab/>
      </w:r>
      <w:r>
        <w:rPr>
          <w:rFonts w:ascii="Arial" w:cs="Arial" w:eastAsia="Arial" w:hAnsi="Arial"/>
          <w:sz w:val="16"/>
          <w:szCs w:val="16"/>
          <w:b w:val="1"/>
          <w:bCs w:val="1"/>
          <w:color w:val="auto"/>
        </w:rPr>
        <w:t>Amendments and Waivers</w:t>
      </w:r>
      <w:r>
        <w:rPr>
          <w:rFonts w:ascii="Arial" w:cs="Arial" w:eastAsia="Arial" w:hAnsi="Arial"/>
          <w:sz w:val="16"/>
          <w:szCs w:val="16"/>
          <w:color w:val="auto"/>
        </w:rPr>
        <w:t>.</w:t>
      </w:r>
    </w:p>
    <w:p>
      <w:pPr>
        <w:spacing w:after="0" w:line="168" w:lineRule="exact"/>
        <w:rPr>
          <w:sz w:val="20"/>
          <w:szCs w:val="20"/>
          <w:color w:val="auto"/>
        </w:rPr>
      </w:pPr>
    </w:p>
    <w:p>
      <w:pPr>
        <w:jc w:val="both"/>
        <w:ind w:firstLine="1304"/>
        <w:spacing w:after="0" w:line="304" w:lineRule="auto"/>
        <w:tabs>
          <w:tab w:leader="none" w:pos="1744" w:val="left"/>
        </w:tabs>
        <w:numPr>
          <w:ilvl w:val="1"/>
          <w:numId w:val="474"/>
        </w:numPr>
        <w:rPr>
          <w:rFonts w:ascii="Arial" w:cs="Arial" w:eastAsia="Arial" w:hAnsi="Arial"/>
          <w:sz w:val="16"/>
          <w:szCs w:val="16"/>
          <w:color w:val="auto"/>
        </w:rPr>
      </w:pPr>
      <w:r>
        <w:rPr>
          <w:rFonts w:ascii="Arial" w:cs="Arial" w:eastAsia="Arial" w:hAnsi="Arial"/>
          <w:sz w:val="16"/>
          <w:szCs w:val="16"/>
          <w:color w:val="auto"/>
        </w:rPr>
        <w:t xml:space="preserve">Neither this Agreement, any other Loan Document (other than any L/C Related Document and the Existing Fee Letter or the Fee Letter), nor any terms hereof or thereof may be amended, supplemented or modified except in accordance with the provisions of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The Required Lenders and each Loan Party party to the relevant Loan Document may, or, with the written consent of the Required Lenders, the Administrative Agent and each Loan Party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of the Lenders or of the Loan Parties hereunder or thereunder or (ii) waive, on such terms and conditions as the Required Lenders or the Administrative Agent, as the case may be, may specify in such instrument, any of the requirements of this Agreement or the other Loan Documents or any Default or Event of Default and its consequences;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no such waiver and no such amendment, supplement or modification shall (A) forgive the principal amount or extend the final scheduled date of maturity of any Loan, reduce the stated rate of any interest or fee payable hereunder (except that no amendment or modification of defined terms used in the financial covenants in this Agreement or waiver of any Default or Event of Default or the right to receive interest at the Default Rate shall constitute a reduction in the rate of interest or fees for purposes of this clause (A)) or extend the scheduled date of any payment thereof, or increase the amount or extend the expiration date of any Lender’s Revolving Commitment, in each case, without the written consent of each Lender directly affected thereby; (B) eliminate or reduce the voting rights of any Lender under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without the written consent of such Lender; (C) reduce any percentage specified in the definition of Required Lenders, consent to the assignment or transfer by the Borrower of any of its rights and obligations under this Agreement and the other Loan Documents, release all or substantially all of the Collateral or release all or substantially all of the value of the guarantees (taken as a whole) of the Guarantors from their obligations under the Guarantee and Collateral Agreement, in each case without the written consent of all Lenders;</w:t>
      </w:r>
    </w:p>
    <w:p>
      <w:pPr>
        <w:spacing w:after="0" w:line="185" w:lineRule="exact"/>
        <w:rPr>
          <w:rFonts w:ascii="Arial" w:cs="Arial" w:eastAsia="Arial" w:hAnsi="Arial"/>
          <w:sz w:val="16"/>
          <w:szCs w:val="16"/>
          <w:color w:val="auto"/>
        </w:rPr>
      </w:pPr>
    </w:p>
    <w:p>
      <w:pPr>
        <w:jc w:val="both"/>
        <w:ind w:firstLine="8"/>
        <w:spacing w:after="0" w:line="267" w:lineRule="auto"/>
        <w:tabs>
          <w:tab w:leader="none" w:pos="334" w:val="left"/>
        </w:tabs>
        <w:numPr>
          <w:ilvl w:val="0"/>
          <w:numId w:val="475"/>
        </w:numPr>
        <w:rPr>
          <w:rFonts w:ascii="Arial" w:cs="Arial" w:eastAsia="Arial" w:hAnsi="Arial"/>
          <w:sz w:val="18"/>
          <w:szCs w:val="18"/>
          <w:color w:val="auto"/>
        </w:rPr>
      </w:pPr>
      <w:r>
        <w:rPr>
          <w:rFonts w:ascii="Arial" w:cs="Arial" w:eastAsia="Arial" w:hAnsi="Arial"/>
          <w:sz w:val="18"/>
          <w:szCs w:val="18"/>
          <w:color w:val="auto"/>
        </w:rPr>
        <w:t xml:space="preserve">(i) amend, modify or waive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requirements of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or any other provision of the Loan Documents requiring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treatment of the Lenders in a manner that adversely affects Revolving Lenders without the written consent of each Revolving Lender or (ii) amend, modify or waive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requirements of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or any other provision of the Loan Documents requiring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treatment of the Lenders in a manner that adversely affects the L/C Lenders without the written consent of each L/C Lender; (E) subordinate the Obligations or all or substantially all of the Liens securing the Obligations without the written consent of each Lender; (F) amend, modify or waive any provision of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without the written consent of the Administrative Agent; (G) amend, modify or waive any provision of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2.7</w:t>
      </w:r>
      <w:r>
        <w:rPr>
          <w:rFonts w:ascii="Arial" w:cs="Arial" w:eastAsia="Arial" w:hAnsi="Arial"/>
          <w:sz w:val="18"/>
          <w:szCs w:val="18"/>
          <w:color w:val="auto"/>
        </w:rPr>
        <w:t xml:space="preserve"> without the written consent of the Swingline Lender; (H) amend, modify or waive any provision of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the definition of Alternative Currency or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without the written consent of the Administrative Agent, the Issuing Lender and each Lender; or (I) amend or modify the application of payments set forth in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without the written consent of each Lender. Any such waiver and any such amendment, supplement or modification shall apply equally to each of the Lenders and shall be binding upon the Loan Parties, the Lenders, the Administrative Agent, the Issuing Lender, each Cash Management Bank, each Qualified Counterparty, and all future holders of the Loans. In the case of any waiver, the Loan Parties, the Lenders and the Administrative Agent shall be restored to their former position and rights hereunder and under the other Loan Documents, and any Default or Event of Default waived shall be deemed to be cured during the period such waiver is effective; but no such waiver shall extend to any subsequent or other Default or Event of Default, or impair any right consequent thereon. Notwithstanding the foregoing, the Issuing Lender may amend any of the L/C Related Documents without the consent of the Administrative Agent or any other Lender and the Issuing Lender, Administrative Agent and the Borrower may make customary technical amendments if any Letter of Credit shall be issued hereunder in a currency other than U.S. Dollars.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116</w:t>
      </w:r>
    </w:p>
    <w:p>
      <w:pPr>
        <w:sectPr>
          <w:pgSz w:w="11900" w:h="16838" w:orient="portrait"/>
          <w:cols w:equalWidth="0" w:num="1">
            <w:col w:w="11240"/>
          </w:cols>
          <w:pgMar w:left="320" w:top="764" w:right="339" w:bottom="1440" w:gutter="0" w:footer="0" w:header="0"/>
        </w:sectPr>
      </w:pPr>
    </w:p>
    <w:bookmarkStart w:id="503" w:name="page504"/>
    <w:bookmarkEnd w:id="503"/>
    <w:p>
      <w:pPr>
        <w:jc w:val="both"/>
        <w:spacing w:after="0" w:line="246" w:lineRule="auto"/>
        <w:rPr>
          <w:sz w:val="20"/>
          <w:szCs w:val="20"/>
          <w:color w:val="auto"/>
        </w:rPr>
      </w:pPr>
      <w:r>
        <w:rPr>
          <w:rFonts w:ascii="Arial" w:cs="Arial" w:eastAsia="Arial" w:hAnsi="Arial"/>
          <w:sz w:val="20"/>
          <w:szCs w:val="20"/>
          <w:color w:val="auto"/>
        </w:rPr>
        <w:t>applicable Lenders other than Defaulting Lenders), except that (x) the Revolving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pacing w:after="0" w:line="137" w:lineRule="exact"/>
        <w:rPr>
          <w:sz w:val="20"/>
          <w:szCs w:val="20"/>
          <w:color w:val="auto"/>
        </w:rPr>
      </w:pPr>
    </w:p>
    <w:p>
      <w:pPr>
        <w:jc w:val="both"/>
        <w:ind w:firstLine="1304"/>
        <w:spacing w:after="0" w:line="243" w:lineRule="auto"/>
        <w:tabs>
          <w:tab w:leader="none" w:pos="1779" w:val="left"/>
        </w:tabs>
        <w:numPr>
          <w:ilvl w:val="0"/>
          <w:numId w:val="476"/>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contained in </w:t>
      </w:r>
      <w:r>
        <w:rPr>
          <w:rFonts w:ascii="Arial" w:cs="Arial" w:eastAsia="Arial" w:hAnsi="Arial"/>
          <w:sz w:val="20"/>
          <w:szCs w:val="20"/>
          <w:u w:val="single" w:color="auto"/>
          <w:color w:val="auto"/>
        </w:rPr>
        <w:t>Section 10.1(a)</w:t>
      </w:r>
      <w:r>
        <w:rPr>
          <w:rFonts w:ascii="Arial" w:cs="Arial" w:eastAsia="Arial" w:hAnsi="Arial"/>
          <w:sz w:val="20"/>
          <w:szCs w:val="20"/>
          <w:color w:val="auto"/>
        </w:rPr>
        <w:t xml:space="preserve"> above, in the event that the Borrower requests that this Agreement or any of the other Loan Documents be amended or otherwise modified in a manner which would require the consent of all of the Lenders and such amendment or other modification is agreed to by the Borrower, the Required Lenders and the Administrative Agent, then, with the consent of the Borrower, the Administrative Agent and the Required Lenders, this Agreement or such other Loan Document may be amended without the consent of the Lender or Lenders who are unwilling to agree to such amendment or other modification (each, a “</w:t>
      </w:r>
      <w:r>
        <w:rPr>
          <w:rFonts w:ascii="Arial" w:cs="Arial" w:eastAsia="Arial" w:hAnsi="Arial"/>
          <w:sz w:val="20"/>
          <w:szCs w:val="20"/>
          <w:b w:val="1"/>
          <w:bCs w:val="1"/>
          <w:i w:val="1"/>
          <w:iCs w:val="1"/>
          <w:color w:val="auto"/>
        </w:rPr>
        <w:t>Minority Lender</w:t>
      </w:r>
      <w:r>
        <w:rPr>
          <w:rFonts w:ascii="Arial" w:cs="Arial" w:eastAsia="Arial" w:hAnsi="Arial"/>
          <w:sz w:val="20"/>
          <w:szCs w:val="20"/>
          <w:color w:val="auto"/>
        </w:rPr>
        <w:t>”), to provide for:</w:t>
      </w:r>
    </w:p>
    <w:p>
      <w:pPr>
        <w:spacing w:after="0" w:line="141" w:lineRule="exact"/>
        <w:rPr>
          <w:rFonts w:ascii="Arial" w:cs="Arial" w:eastAsia="Arial" w:hAnsi="Arial"/>
          <w:sz w:val="20"/>
          <w:szCs w:val="20"/>
          <w:color w:val="auto"/>
        </w:rPr>
      </w:pPr>
    </w:p>
    <w:p>
      <w:pPr>
        <w:ind w:left="2340" w:hanging="388"/>
        <w:spacing w:after="0"/>
        <w:tabs>
          <w:tab w:leader="none" w:pos="2340" w:val="left"/>
        </w:tabs>
        <w:numPr>
          <w:ilvl w:val="1"/>
          <w:numId w:val="476"/>
        </w:numPr>
        <w:rPr>
          <w:rFonts w:ascii="Arial" w:cs="Arial" w:eastAsia="Arial" w:hAnsi="Arial"/>
          <w:sz w:val="20"/>
          <w:szCs w:val="20"/>
          <w:color w:val="auto"/>
        </w:rPr>
      </w:pPr>
      <w:r>
        <w:rPr>
          <w:rFonts w:ascii="Arial" w:cs="Arial" w:eastAsia="Arial" w:hAnsi="Arial"/>
          <w:sz w:val="20"/>
          <w:szCs w:val="20"/>
          <w:color w:val="auto"/>
        </w:rPr>
        <w:t>the termination of the Commitment of each such Minority Lender;</w:t>
      </w:r>
    </w:p>
    <w:p>
      <w:pPr>
        <w:spacing w:after="0" w:line="161" w:lineRule="exact"/>
        <w:rPr>
          <w:rFonts w:ascii="Arial" w:cs="Arial" w:eastAsia="Arial" w:hAnsi="Arial"/>
          <w:sz w:val="20"/>
          <w:szCs w:val="20"/>
          <w:color w:val="auto"/>
        </w:rPr>
      </w:pPr>
    </w:p>
    <w:p>
      <w:pPr>
        <w:ind w:firstLine="1952"/>
        <w:spacing w:after="0" w:line="260" w:lineRule="auto"/>
        <w:tabs>
          <w:tab w:leader="none" w:pos="2473" w:val="left"/>
        </w:tabs>
        <w:numPr>
          <w:ilvl w:val="1"/>
          <w:numId w:val="476"/>
        </w:numPr>
        <w:rPr>
          <w:rFonts w:ascii="Arial" w:cs="Arial" w:eastAsia="Arial" w:hAnsi="Arial"/>
          <w:sz w:val="20"/>
          <w:szCs w:val="20"/>
          <w:color w:val="auto"/>
        </w:rPr>
      </w:pPr>
      <w:r>
        <w:rPr>
          <w:rFonts w:ascii="Arial" w:cs="Arial" w:eastAsia="Arial" w:hAnsi="Arial"/>
          <w:sz w:val="20"/>
          <w:szCs w:val="20"/>
          <w:color w:val="auto"/>
        </w:rPr>
        <w:t xml:space="preserve">the assumption of the Loans and Commitment of each such Minority Lender by one or more Replacement Lenders pursuant to the provisions of </w:t>
      </w:r>
      <w:r>
        <w:rPr>
          <w:rFonts w:ascii="Arial" w:cs="Arial" w:eastAsia="Arial" w:hAnsi="Arial"/>
          <w:sz w:val="20"/>
          <w:szCs w:val="20"/>
          <w:u w:val="single" w:color="auto"/>
          <w:color w:val="auto"/>
        </w:rPr>
        <w:t>Section 2.23</w:t>
      </w:r>
      <w:r>
        <w:rPr>
          <w:rFonts w:ascii="Arial" w:cs="Arial" w:eastAsia="Arial" w:hAnsi="Arial"/>
          <w:sz w:val="20"/>
          <w:szCs w:val="20"/>
          <w:color w:val="auto"/>
        </w:rPr>
        <w:t>; and</w:t>
      </w:r>
    </w:p>
    <w:p>
      <w:pPr>
        <w:spacing w:after="0" w:line="122" w:lineRule="exact"/>
        <w:rPr>
          <w:rFonts w:ascii="Arial" w:cs="Arial" w:eastAsia="Arial" w:hAnsi="Arial"/>
          <w:sz w:val="20"/>
          <w:szCs w:val="20"/>
          <w:color w:val="auto"/>
        </w:rPr>
      </w:pPr>
    </w:p>
    <w:p>
      <w:pPr>
        <w:jc w:val="both"/>
        <w:ind w:firstLine="1952"/>
        <w:spacing w:after="0" w:line="250" w:lineRule="auto"/>
        <w:tabs>
          <w:tab w:leader="none" w:pos="2446" w:val="left"/>
        </w:tabs>
        <w:numPr>
          <w:ilvl w:val="1"/>
          <w:numId w:val="476"/>
        </w:numPr>
        <w:rPr>
          <w:rFonts w:ascii="Arial" w:cs="Arial" w:eastAsia="Arial" w:hAnsi="Arial"/>
          <w:sz w:val="20"/>
          <w:szCs w:val="20"/>
          <w:color w:val="auto"/>
        </w:rPr>
      </w:pPr>
      <w:r>
        <w:rPr>
          <w:rFonts w:ascii="Arial" w:cs="Arial" w:eastAsia="Arial" w:hAnsi="Arial"/>
          <w:sz w:val="20"/>
          <w:szCs w:val="20"/>
          <w:color w:val="auto"/>
        </w:rPr>
        <w:t>the payment of all interest, fees and other obligations payable or accrued in favor of each Minority Lender and such other modifications to this Agreement or to such Loan Documents as the Borrower, the Administrative Agent and the Required Lenders may determine to be appropriate in connection therewith.</w:t>
      </w:r>
    </w:p>
    <w:p>
      <w:pPr>
        <w:spacing w:after="0" w:line="131" w:lineRule="exact"/>
        <w:rPr>
          <w:rFonts w:ascii="Arial" w:cs="Arial" w:eastAsia="Arial" w:hAnsi="Arial"/>
          <w:sz w:val="20"/>
          <w:szCs w:val="20"/>
          <w:color w:val="auto"/>
        </w:rPr>
      </w:pPr>
    </w:p>
    <w:p>
      <w:pPr>
        <w:jc w:val="both"/>
        <w:ind w:firstLine="1304"/>
        <w:spacing w:after="0" w:line="257" w:lineRule="auto"/>
        <w:tabs>
          <w:tab w:leader="none" w:pos="1735" w:val="left"/>
        </w:tabs>
        <w:numPr>
          <w:ilvl w:val="0"/>
          <w:numId w:val="476"/>
        </w:numPr>
        <w:rPr>
          <w:rFonts w:ascii="Arial" w:cs="Arial" w:eastAsia="Arial" w:hAnsi="Arial"/>
          <w:sz w:val="19"/>
          <w:szCs w:val="19"/>
          <w:color w:val="auto"/>
        </w:rPr>
      </w:pPr>
      <w:r>
        <w:rPr>
          <w:rFonts w:ascii="Arial" w:cs="Arial" w:eastAsia="Arial" w:hAnsi="Arial"/>
          <w:sz w:val="19"/>
          <w:szCs w:val="19"/>
          <w:color w:val="auto"/>
        </w:rPr>
        <w:t>Notwithstanding any provision herein to the contrary, this Agreement may be amended (or amended and restated) with the written consent of the Required Lenders, the Administrative Agent, and the Borrower, (i) to add one or more additional credit or term loan facilities to this Agreement and to permit all such additional extensions of credit and all related obligations and liabilities arising in connection therewith and from time to time outstanding thereunder to share ratably (or on a basis subordinated to the existing facilities hereunder) in the benefits of this Agreement and the other Loan Documents with the obligations and liabilities from time to time outstanding in respect of the existing facilities hereunder, and (ii) in connection with the foregoing, to permit, as deemed appropriate by the Administrative Agent and approved by the Required Lenders, the Lenders providing such additional credit facilities to participate in any required vote or action required to be approved by the Required Lenders.</w:t>
      </w:r>
    </w:p>
    <w:p>
      <w:pPr>
        <w:spacing w:after="0" w:line="126" w:lineRule="exact"/>
        <w:rPr>
          <w:rFonts w:ascii="Arial" w:cs="Arial" w:eastAsia="Arial" w:hAnsi="Arial"/>
          <w:sz w:val="19"/>
          <w:szCs w:val="19"/>
          <w:color w:val="auto"/>
        </w:rPr>
      </w:pPr>
    </w:p>
    <w:p>
      <w:pPr>
        <w:ind w:firstLine="1304"/>
        <w:spacing w:after="0" w:line="316" w:lineRule="auto"/>
        <w:tabs>
          <w:tab w:leader="none" w:pos="1736" w:val="left"/>
        </w:tabs>
        <w:numPr>
          <w:ilvl w:val="0"/>
          <w:numId w:val="476"/>
        </w:numPr>
        <w:rPr>
          <w:rFonts w:ascii="Arial" w:cs="Arial" w:eastAsia="Arial" w:hAnsi="Arial"/>
          <w:sz w:val="18"/>
          <w:szCs w:val="18"/>
          <w:color w:val="auto"/>
        </w:rPr>
      </w:pPr>
      <w:r>
        <w:rPr>
          <w:rFonts w:ascii="Arial" w:cs="Arial" w:eastAsia="Arial" w:hAnsi="Arial"/>
          <w:sz w:val="18"/>
          <w:szCs w:val="18"/>
          <w:color w:val="auto"/>
        </w:rPr>
        <w:t>Notwithstanding any provision herein to the contrary, any Cash Management Agreement may be amended or otherwise modified by the parties thereto in accordance with the terms thereof without the consent of the Administrative Agent or any Lender.</w:t>
      </w:r>
    </w:p>
    <w:p>
      <w:pPr>
        <w:spacing w:after="0" w:line="75" w:lineRule="exact"/>
        <w:rPr>
          <w:rFonts w:ascii="Arial" w:cs="Arial" w:eastAsia="Arial" w:hAnsi="Arial"/>
          <w:sz w:val="18"/>
          <w:szCs w:val="18"/>
          <w:color w:val="auto"/>
        </w:rPr>
      </w:pPr>
    </w:p>
    <w:p>
      <w:pPr>
        <w:jc w:val="both"/>
        <w:ind w:firstLine="1304"/>
        <w:spacing w:after="0" w:line="244" w:lineRule="auto"/>
        <w:tabs>
          <w:tab w:leader="none" w:pos="1744" w:val="left"/>
        </w:tabs>
        <w:numPr>
          <w:ilvl w:val="0"/>
          <w:numId w:val="476"/>
        </w:numPr>
        <w:rPr>
          <w:rFonts w:ascii="Arial" w:cs="Arial" w:eastAsia="Arial" w:hAnsi="Arial"/>
          <w:sz w:val="20"/>
          <w:szCs w:val="20"/>
          <w:color w:val="auto"/>
        </w:rPr>
      </w:pPr>
      <w:r>
        <w:rPr>
          <w:rFonts w:ascii="Arial" w:cs="Arial" w:eastAsia="Arial" w:hAnsi="Arial"/>
          <w:sz w:val="20"/>
          <w:szCs w:val="20"/>
          <w:color w:val="auto"/>
        </w:rPr>
        <w:t>Notwithstanding any provision herein or in any other Loan Document to the contrary, no Cash Management Bank and no Qualified Counterparty shall have any voting or approval rights hereunder (or be deemed a Lender) solely by virtue of its status as the provider or holder of Cash Management Services or Specified Swap Agreements or Obligations owing thereunder, nor shall the consent of any such Cash Management Bank or Qualified Counterparty, as applicable, be required for any matter, other than in their capacities as Lenders, to the extent applicable.</w:t>
      </w:r>
    </w:p>
    <w:p>
      <w:pPr>
        <w:spacing w:after="0" w:line="140" w:lineRule="exact"/>
        <w:rPr>
          <w:rFonts w:ascii="Arial" w:cs="Arial" w:eastAsia="Arial" w:hAnsi="Arial"/>
          <w:sz w:val="20"/>
          <w:szCs w:val="20"/>
          <w:color w:val="auto"/>
        </w:rPr>
      </w:pPr>
    </w:p>
    <w:p>
      <w:pPr>
        <w:ind w:right="20" w:firstLine="1304"/>
        <w:spacing w:after="0" w:line="316" w:lineRule="auto"/>
        <w:tabs>
          <w:tab w:leader="none" w:pos="1699" w:val="left"/>
        </w:tabs>
        <w:numPr>
          <w:ilvl w:val="0"/>
          <w:numId w:val="476"/>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herein to the contrary, no consent of any Lender (or other Secured Party other than the Administrative Agent) shall be required to effectuate any amendment to implement any Increase permitted by </w:t>
      </w:r>
      <w:r>
        <w:rPr>
          <w:rFonts w:ascii="Arial" w:cs="Arial" w:eastAsia="Arial" w:hAnsi="Arial"/>
          <w:sz w:val="18"/>
          <w:szCs w:val="18"/>
          <w:u w:val="single" w:color="auto"/>
          <w:color w:val="auto"/>
        </w:rPr>
        <w:t>Section 2.27</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jc w:val="both"/>
        <w:ind w:firstLine="1304"/>
        <w:spacing w:after="0" w:line="269" w:lineRule="auto"/>
        <w:tabs>
          <w:tab w:leader="none" w:pos="1765" w:val="left"/>
        </w:tabs>
        <w:numPr>
          <w:ilvl w:val="0"/>
          <w:numId w:val="476"/>
        </w:numPr>
        <w:rPr>
          <w:rFonts w:ascii="Arial" w:cs="Arial" w:eastAsia="Arial" w:hAnsi="Arial"/>
          <w:sz w:val="19"/>
          <w:szCs w:val="19"/>
          <w:color w:val="auto"/>
        </w:rPr>
      </w:pPr>
      <w:r>
        <w:rPr>
          <w:rFonts w:ascii="Arial" w:cs="Arial" w:eastAsia="Arial" w:hAnsi="Arial"/>
          <w:sz w:val="19"/>
          <w:szCs w:val="19"/>
          <w:color w:val="auto"/>
        </w:rPr>
        <w:t xml:space="preserve">Notwithstanding any other provision herein to the contrary, this Agreement may be amended with the written consent of the Administrative Agent, the Issuing Lender, the Borrower and the Lenders affected thereby to amend the definition of “Alternative Currency” solely to add additional currency options, in each case solely to the extent permitted pursuant to </w:t>
      </w:r>
      <w:r>
        <w:rPr>
          <w:rFonts w:ascii="Arial" w:cs="Arial" w:eastAsia="Arial" w:hAnsi="Arial"/>
          <w:sz w:val="19"/>
          <w:szCs w:val="19"/>
          <w:u w:val="single" w:color="auto"/>
          <w:color w:val="auto"/>
        </w:rPr>
        <w:t>Section 1.5</w:t>
      </w:r>
      <w:r>
        <w:rPr>
          <w:rFonts w:ascii="Arial" w:cs="Arial" w:eastAsia="Arial" w:hAnsi="Arial"/>
          <w:sz w:val="19"/>
          <w:szCs w:val="19"/>
          <w:color w:val="auto"/>
        </w:rPr>
        <w: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117</w:t>
      </w:r>
    </w:p>
    <w:p>
      <w:pPr>
        <w:sectPr>
          <w:pgSz w:w="11900" w:h="16838" w:orient="portrait"/>
          <w:cols w:equalWidth="0" w:num="1">
            <w:col w:w="11240"/>
          </w:cols>
          <w:pgMar w:left="320" w:top="770" w:right="339" w:bottom="1440" w:gutter="0" w:footer="0" w:header="0"/>
        </w:sectPr>
      </w:pPr>
    </w:p>
    <w:bookmarkStart w:id="504" w:name="page505"/>
    <w:bookmarkEnd w:id="504"/>
    <w:p>
      <w:pPr>
        <w:ind w:left="-660" w:firstLine="1304"/>
        <w:spacing w:after="0" w:line="260" w:lineRule="auto"/>
        <w:tabs>
          <w:tab w:leader="none" w:pos="1061" w:val="left"/>
        </w:tabs>
        <w:numPr>
          <w:ilvl w:val="0"/>
          <w:numId w:val="477"/>
        </w:numPr>
        <w:rPr>
          <w:rFonts w:ascii="Arial" w:cs="Arial" w:eastAsia="Arial" w:hAnsi="Arial"/>
          <w:sz w:val="20"/>
          <w:szCs w:val="20"/>
          <w:color w:val="auto"/>
        </w:rPr>
      </w:pPr>
      <w:r>
        <w:rPr>
          <w:rFonts w:ascii="Arial" w:cs="Arial" w:eastAsia="Arial" w:hAnsi="Arial"/>
          <w:sz w:val="20"/>
          <w:szCs w:val="20"/>
          <w:color w:val="auto"/>
        </w:rPr>
        <w:t>The Administrative Agent may, with the consent of the Borrower only, amend, modify or supplement this Agreement or any of the Loan Documents to cure any omission, mistake or defect.</w:t>
      </w:r>
    </w:p>
    <w:p>
      <w:pPr>
        <w:spacing w:after="0" w:line="11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b w:val="1"/>
          <w:bCs w:val="1"/>
          <w:color w:val="auto"/>
        </w:rPr>
        <w:t>10.2</w:t>
      </w:r>
      <w:r>
        <w:rPr>
          <w:sz w:val="20"/>
          <w:szCs w:val="20"/>
          <w:color w:val="auto"/>
        </w:rPr>
        <w:tab/>
      </w:r>
      <w:r>
        <w:rPr>
          <w:rFonts w:ascii="Arial" w:cs="Arial" w:eastAsia="Arial" w:hAnsi="Arial"/>
          <w:sz w:val="16"/>
          <w:szCs w:val="16"/>
          <w:b w:val="1"/>
          <w:bCs w:val="1"/>
          <w:color w:val="auto"/>
        </w:rPr>
        <w:t>Notices</w:t>
      </w:r>
      <w:r>
        <w:rPr>
          <w:rFonts w:ascii="Arial" w:cs="Arial" w:eastAsia="Arial" w:hAnsi="Arial"/>
          <w:sz w:val="16"/>
          <w:szCs w:val="16"/>
          <w:color w:val="auto"/>
        </w:rPr>
        <w:t>.</w:t>
      </w:r>
    </w:p>
    <w:p>
      <w:pPr>
        <w:spacing w:after="0" w:line="168" w:lineRule="exact"/>
        <w:rPr>
          <w:sz w:val="20"/>
          <w:szCs w:val="20"/>
          <w:color w:val="auto"/>
        </w:rPr>
      </w:pPr>
    </w:p>
    <w:p>
      <w:pPr>
        <w:jc w:val="both"/>
        <w:ind w:left="-660" w:firstLine="1304"/>
        <w:spacing w:after="0" w:line="243" w:lineRule="auto"/>
        <w:tabs>
          <w:tab w:leader="none" w:pos="1073" w:val="left"/>
        </w:tabs>
        <w:numPr>
          <w:ilvl w:val="0"/>
          <w:numId w:val="478"/>
        </w:numPr>
        <w:rPr>
          <w:rFonts w:ascii="Arial" w:cs="Arial" w:eastAsia="Arial" w:hAnsi="Arial"/>
          <w:sz w:val="20"/>
          <w:szCs w:val="20"/>
          <w:color w:val="auto"/>
        </w:rPr>
      </w:pPr>
      <w:r>
        <w:rPr>
          <w:rFonts w:ascii="Arial" w:cs="Arial" w:eastAsia="Arial" w:hAnsi="Arial"/>
          <w:sz w:val="20"/>
          <w:szCs w:val="20"/>
          <w:color w:val="auto"/>
        </w:rPr>
        <w:t>All notices, requests and demands to or upon the respective parties hereto to be effective shall be in writing (including by facsimile or electronic mail), and, unless otherwise expressly provided herein, shall be deemed to have been duly given or made when delivered, or 3 Business Days after being deposited in the mail, postage prepaid, or, in the case of facsimile or electronic mail notice, when received, addressed as follows in the case of the Borrower and the Administrative Agent, and as set forth in an administrative questionnaire delivered to the Administrative Agent in the case of the Lenders, or to such other address as may be hereafter notified by the respective parties hereto:</w:t>
      </w:r>
    </w:p>
    <w:p>
      <w:pPr>
        <w:sectPr>
          <w:pgSz w:w="11900" w:h="16838" w:orient="portrait"/>
          <w:cols w:equalWidth="0" w:num="1">
            <w:col w:w="10580"/>
          </w:cols>
          <w:pgMar w:left="980" w:top="770" w:right="339" w:bottom="1440" w:gutter="0" w:footer="0" w:header="0"/>
        </w:sectPr>
      </w:pP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Borrower:</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NerdWallet, Inc.</w:t>
      </w:r>
    </w:p>
    <w:p>
      <w:pPr>
        <w:spacing w:after="0" w:line="77" w:lineRule="exact"/>
        <w:rPr>
          <w:sz w:val="20"/>
          <w:szCs w:val="20"/>
          <w:color w:val="auto"/>
        </w:rPr>
      </w:pPr>
    </w:p>
    <w:p>
      <w:pPr>
        <w:sectPr>
          <w:pgSz w:w="11900" w:h="16838" w:orient="portrait"/>
          <w:cols w:equalWidth="0" w:num="2">
            <w:col w:w="2600" w:space="720"/>
            <w:col w:w="7260"/>
          </w:cols>
          <w:pgMar w:left="980" w:top="770" w:right="339" w:bottom="1440" w:gutter="0" w:footer="0" w:header="0"/>
          <w:type w:val="continuous"/>
        </w:sectPr>
      </w:pPr>
    </w:p>
    <w:p>
      <w:pPr>
        <w:ind w:left="3320"/>
        <w:spacing w:after="0"/>
        <w:rPr>
          <w:sz w:val="20"/>
          <w:szCs w:val="20"/>
          <w:color w:val="auto"/>
        </w:rPr>
      </w:pPr>
      <w:r>
        <w:rPr>
          <w:rFonts w:ascii="Arial" w:cs="Arial" w:eastAsia="Arial" w:hAnsi="Arial"/>
          <w:sz w:val="20"/>
          <w:szCs w:val="20"/>
          <w:color w:val="auto"/>
        </w:rPr>
        <w:t>875 Stevenson St., 5</w:t>
      </w:r>
      <w:r>
        <w:rPr>
          <w:rFonts w:ascii="Arial" w:cs="Arial" w:eastAsia="Arial" w:hAnsi="Arial"/>
          <w:sz w:val="12"/>
          <w:szCs w:val="12"/>
          <w:color w:val="auto"/>
        </w:rPr>
        <w:t>th</w:t>
      </w:r>
      <w:r>
        <w:rPr>
          <w:rFonts w:ascii="Arial" w:cs="Arial" w:eastAsia="Arial" w:hAnsi="Arial"/>
          <w:sz w:val="20"/>
          <w:szCs w:val="20"/>
          <w:color w:val="auto"/>
        </w:rPr>
        <w:t xml:space="preserve"> Floor</w:t>
      </w:r>
    </w:p>
    <w:p>
      <w:pPr>
        <w:spacing w:after="0" w:line="54" w:lineRule="exact"/>
        <w:rPr>
          <w:sz w:val="20"/>
          <w:szCs w:val="20"/>
          <w:color w:val="auto"/>
        </w:rPr>
      </w:pPr>
    </w:p>
    <w:p>
      <w:pPr>
        <w:ind w:left="3320"/>
        <w:spacing w:after="0"/>
        <w:rPr>
          <w:sz w:val="20"/>
          <w:szCs w:val="20"/>
          <w:color w:val="auto"/>
        </w:rPr>
      </w:pPr>
      <w:r>
        <w:rPr>
          <w:rFonts w:ascii="Arial" w:cs="Arial" w:eastAsia="Arial" w:hAnsi="Arial"/>
          <w:sz w:val="20"/>
          <w:szCs w:val="20"/>
          <w:color w:val="auto"/>
        </w:rPr>
        <w:t>San Francisco, California 94103</w:t>
      </w:r>
    </w:p>
    <w:p>
      <w:pPr>
        <w:spacing w:after="0" w:line="54"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Attn: Aby Castro, Corporate Counsel</w:t>
      </w:r>
    </w:p>
    <w:p>
      <w:pPr>
        <w:spacing w:after="0" w:line="77" w:lineRule="exact"/>
        <w:rPr>
          <w:sz w:val="20"/>
          <w:szCs w:val="20"/>
          <w:color w:val="auto"/>
        </w:rPr>
      </w:pPr>
    </w:p>
    <w:p>
      <w:pPr>
        <w:ind w:left="3320"/>
        <w:spacing w:after="0"/>
        <w:rPr>
          <w:sz w:val="20"/>
          <w:szCs w:val="20"/>
          <w:color w:val="auto"/>
        </w:rPr>
      </w:pPr>
      <w:r>
        <w:rPr>
          <w:rFonts w:ascii="Arial" w:cs="Arial" w:eastAsia="Arial" w:hAnsi="Arial"/>
          <w:sz w:val="20"/>
          <w:szCs w:val="20"/>
          <w:color w:val="auto"/>
        </w:rPr>
        <w:t>Email: acastro@nerdwallet.com</w:t>
      </w:r>
    </w:p>
    <w:p>
      <w:pPr>
        <w:sectPr>
          <w:pgSz w:w="11900" w:h="16838" w:orient="portrait"/>
          <w:cols w:equalWidth="0" w:num="1">
            <w:col w:w="10580"/>
          </w:cols>
          <w:pgMar w:left="980" w:top="770" w:right="339" w:bottom="1440" w:gutter="0" w:footer="0" w:header="0"/>
          <w:type w:val="continuous"/>
        </w:sectPr>
      </w:pPr>
    </w:p>
    <w:p>
      <w:pPr>
        <w:spacing w:after="0" w:line="310"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with a copy (which shall not constitute notice) to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76" w:lineRule="exact"/>
        <w:rPr>
          <w:sz w:val="20"/>
          <w:szCs w:val="20"/>
          <w:color w:val="auto"/>
        </w:rPr>
      </w:pPr>
    </w:p>
    <w:p>
      <w:pPr>
        <w:sectPr>
          <w:pgSz w:w="11900" w:h="16838" w:orient="portrait"/>
          <w:cols w:equalWidth="0" w:num="2">
            <w:col w:w="3280" w:space="40"/>
            <w:col w:w="7260"/>
          </w:cols>
          <w:pgMar w:left="980" w:top="770" w:right="339" w:bottom="1440" w:gutter="0" w:footer="0" w:header="0"/>
          <w:type w:val="continuous"/>
        </w:sectPr>
      </w:pPr>
    </w:p>
    <w:p>
      <w:pPr>
        <w:ind w:left="3320"/>
        <w:spacing w:after="0"/>
        <w:rPr>
          <w:sz w:val="20"/>
          <w:szCs w:val="20"/>
          <w:color w:val="auto"/>
        </w:rPr>
      </w:pPr>
      <w:r>
        <w:rPr>
          <w:rFonts w:ascii="Arial" w:cs="Arial" w:eastAsia="Arial" w:hAnsi="Arial"/>
          <w:sz w:val="20"/>
          <w:szCs w:val="20"/>
          <w:color w:val="auto"/>
        </w:rPr>
        <w:t>101 California Street</w:t>
      </w:r>
    </w:p>
    <w:p>
      <w:pPr>
        <w:spacing w:after="0" w:line="54" w:lineRule="exact"/>
        <w:rPr>
          <w:sz w:val="20"/>
          <w:szCs w:val="20"/>
          <w:color w:val="auto"/>
        </w:rPr>
      </w:pPr>
    </w:p>
    <w:p>
      <w:pPr>
        <w:ind w:left="3320"/>
        <w:spacing w:after="0"/>
        <w:rPr>
          <w:sz w:val="20"/>
          <w:szCs w:val="20"/>
          <w:color w:val="auto"/>
        </w:rPr>
      </w:pPr>
      <w:r>
        <w:rPr>
          <w:rFonts w:ascii="Arial" w:cs="Arial" w:eastAsia="Arial" w:hAnsi="Arial"/>
          <w:sz w:val="19"/>
          <w:szCs w:val="19"/>
          <w:color w:val="auto"/>
        </w:rPr>
        <w:t>San Francisco, CA 94111-5800</w:t>
      </w:r>
    </w:p>
    <w:p>
      <w:pPr>
        <w:spacing w:after="0" w:line="65"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Attention: Maricel Mojares-Moore</w:t>
      </w:r>
    </w:p>
    <w:p>
      <w:pPr>
        <w:spacing w:after="0" w:line="77" w:lineRule="exact"/>
        <w:rPr>
          <w:sz w:val="20"/>
          <w:szCs w:val="20"/>
          <w:color w:val="auto"/>
        </w:rPr>
      </w:pPr>
    </w:p>
    <w:p>
      <w:pPr>
        <w:ind w:left="3320"/>
        <w:spacing w:after="0"/>
        <w:rPr>
          <w:sz w:val="20"/>
          <w:szCs w:val="20"/>
          <w:color w:val="auto"/>
        </w:rPr>
      </w:pPr>
      <w:r>
        <w:rPr>
          <w:rFonts w:ascii="Arial" w:cs="Arial" w:eastAsia="Arial" w:hAnsi="Arial"/>
          <w:sz w:val="20"/>
          <w:szCs w:val="20"/>
          <w:color w:val="auto"/>
        </w:rPr>
        <w:t>Email: mmoore@cooley.com</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660"/>
        <w:spacing w:after="0"/>
        <w:rPr>
          <w:sz w:val="20"/>
          <w:szCs w:val="20"/>
          <w:color w:val="auto"/>
        </w:rPr>
      </w:pPr>
      <w:r>
        <w:rPr>
          <w:rFonts w:ascii="Arial" w:cs="Arial" w:eastAsia="Arial" w:hAnsi="Arial"/>
          <w:sz w:val="20"/>
          <w:szCs w:val="20"/>
          <w:color w:val="auto"/>
        </w:rPr>
        <w:t>118</w:t>
      </w:r>
    </w:p>
    <w:p>
      <w:pPr>
        <w:sectPr>
          <w:pgSz w:w="11900" w:h="16838" w:orient="portrait"/>
          <w:cols w:equalWidth="0" w:num="1">
            <w:col w:w="10580"/>
          </w:cols>
          <w:pgMar w:left="980" w:top="770" w:right="339" w:bottom="1440" w:gutter="0" w:footer="0" w:header="0"/>
          <w:type w:val="continuous"/>
        </w:sectPr>
      </w:pPr>
    </w:p>
    <w:bookmarkStart w:id="505" w:name="page506"/>
    <w:bookmarkEnd w:id="505"/>
    <w:p>
      <w:pPr>
        <w:ind w:left="1320"/>
        <w:spacing w:after="0"/>
        <w:rPr>
          <w:sz w:val="20"/>
          <w:szCs w:val="20"/>
          <w:color w:val="auto"/>
        </w:rPr>
      </w:pPr>
      <w:r>
        <w:rPr>
          <w:rFonts w:ascii="Arial" w:cs="Arial" w:eastAsia="Arial" w:hAnsi="Arial"/>
          <w:sz w:val="18"/>
          <w:szCs w:val="18"/>
          <w:color w:val="auto"/>
        </w:rPr>
        <w:t>Administrative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Silicon Valley Bank</w:t>
      </w:r>
    </w:p>
    <w:p>
      <w:pPr>
        <w:spacing w:after="0" w:line="77" w:lineRule="exact"/>
        <w:rPr>
          <w:sz w:val="20"/>
          <w:szCs w:val="20"/>
          <w:color w:val="auto"/>
        </w:rPr>
      </w:pPr>
    </w:p>
    <w:p>
      <w:pPr>
        <w:sectPr>
          <w:pgSz w:w="11900" w:h="16838" w:orient="portrait"/>
          <w:cols w:equalWidth="0" w:num="2">
            <w:col w:w="3260" w:space="720"/>
            <w:col w:w="7260"/>
          </w:cols>
          <w:pgMar w:left="320" w:top="824" w:right="339" w:bottom="1440" w:gutter="0" w:footer="0" w:header="0"/>
        </w:sectPr>
      </w:pPr>
    </w:p>
    <w:p>
      <w:pPr>
        <w:ind w:left="3980"/>
        <w:spacing w:after="0"/>
        <w:rPr>
          <w:sz w:val="20"/>
          <w:szCs w:val="20"/>
          <w:color w:val="auto"/>
        </w:rPr>
      </w:pPr>
      <w:r>
        <w:rPr>
          <w:rFonts w:ascii="Arial" w:cs="Arial" w:eastAsia="Arial" w:hAnsi="Arial"/>
          <w:sz w:val="20"/>
          <w:szCs w:val="20"/>
          <w:color w:val="auto"/>
        </w:rPr>
        <w:t>2400 Hanover Street</w:t>
      </w:r>
    </w:p>
    <w:p>
      <w:pPr>
        <w:spacing w:after="0" w:line="54"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Palo Alto, CA 94304</w:t>
      </w:r>
    </w:p>
    <w:p>
      <w:pPr>
        <w:spacing w:after="0" w:line="54"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Attn: Alex Grotevant</w:t>
      </w:r>
    </w:p>
    <w:p>
      <w:pPr>
        <w:spacing w:after="0" w:line="54"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E-Mail: agrotevant@svb.com</w:t>
      </w:r>
    </w:p>
    <w:p>
      <w:pPr>
        <w:sectPr>
          <w:pgSz w:w="11900" w:h="16838" w:orient="portrait"/>
          <w:cols w:equalWidth="0" w:num="1">
            <w:col w:w="11240"/>
          </w:cols>
          <w:pgMar w:left="320" w:top="824" w:right="339" w:bottom="1440" w:gutter="0" w:footer="0" w:header="0"/>
          <w:type w:val="continuous"/>
        </w:sectPr>
      </w:pPr>
    </w:p>
    <w:p>
      <w:pPr>
        <w:spacing w:after="0" w:line="333" w:lineRule="exact"/>
        <w:rPr>
          <w:sz w:val="20"/>
          <w:szCs w:val="20"/>
          <w:color w:val="auto"/>
        </w:rPr>
      </w:pPr>
    </w:p>
    <w:p>
      <w:pPr>
        <w:ind w:left="1320"/>
        <w:spacing w:after="0" w:line="260" w:lineRule="auto"/>
        <w:rPr>
          <w:sz w:val="20"/>
          <w:szCs w:val="20"/>
          <w:color w:val="auto"/>
        </w:rPr>
      </w:pPr>
      <w:r>
        <w:rPr>
          <w:rFonts w:ascii="Arial" w:cs="Arial" w:eastAsia="Arial" w:hAnsi="Arial"/>
          <w:sz w:val="20"/>
          <w:szCs w:val="20"/>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Morrison &amp; Foerster LLP</w:t>
      </w:r>
    </w:p>
    <w:p>
      <w:pPr>
        <w:spacing w:after="0" w:line="76" w:lineRule="exact"/>
        <w:rPr>
          <w:sz w:val="20"/>
          <w:szCs w:val="20"/>
          <w:color w:val="auto"/>
        </w:rPr>
      </w:pPr>
    </w:p>
    <w:p>
      <w:pPr>
        <w:sectPr>
          <w:pgSz w:w="11900" w:h="16838" w:orient="portrait"/>
          <w:cols w:equalWidth="0" w:num="2">
            <w:col w:w="3940" w:space="40"/>
            <w:col w:w="7260"/>
          </w:cols>
          <w:pgMar w:left="320" w:top="824" w:right="339" w:bottom="1440" w:gutter="0" w:footer="0" w:header="0"/>
          <w:type w:val="continuous"/>
        </w:sectPr>
      </w:pPr>
    </w:p>
    <w:p>
      <w:pPr>
        <w:ind w:left="3980"/>
        <w:spacing w:after="0"/>
        <w:rPr>
          <w:sz w:val="20"/>
          <w:szCs w:val="20"/>
          <w:color w:val="auto"/>
        </w:rPr>
      </w:pPr>
      <w:r>
        <w:rPr>
          <w:rFonts w:ascii="Arial" w:cs="Arial" w:eastAsia="Arial" w:hAnsi="Arial"/>
          <w:sz w:val="20"/>
          <w:szCs w:val="20"/>
          <w:color w:val="auto"/>
        </w:rPr>
        <w:t>200 Clarendon Street</w:t>
      </w:r>
    </w:p>
    <w:p>
      <w:pPr>
        <w:spacing w:after="0" w:line="54"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Boston, Massachusetts 02116</w:t>
      </w:r>
    </w:p>
    <w:p>
      <w:pPr>
        <w:spacing w:after="0" w:line="54" w:lineRule="exact"/>
        <w:rPr>
          <w:sz w:val="20"/>
          <w:szCs w:val="20"/>
          <w:color w:val="auto"/>
        </w:rPr>
      </w:pPr>
    </w:p>
    <w:p>
      <w:pPr>
        <w:ind w:left="3980"/>
        <w:spacing w:after="0"/>
        <w:rPr>
          <w:sz w:val="20"/>
          <w:szCs w:val="20"/>
          <w:color w:val="auto"/>
        </w:rPr>
      </w:pPr>
      <w:r>
        <w:rPr>
          <w:rFonts w:ascii="Arial" w:cs="Arial" w:eastAsia="Arial" w:hAnsi="Arial"/>
          <w:sz w:val="16"/>
          <w:szCs w:val="16"/>
          <w:color w:val="auto"/>
        </w:rPr>
        <w:t>Attention: Charles W. Stavros, Esq.</w:t>
      </w:r>
    </w:p>
    <w:p>
      <w:pPr>
        <w:spacing w:after="0" w:line="100"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E-Mail: Cstavros@mofo.com</w:t>
      </w:r>
    </w:p>
    <w:p>
      <w:pPr>
        <w:sectPr>
          <w:pgSz w:w="11900" w:h="16838" w:orient="portrait"/>
          <w:cols w:equalWidth="0" w:num="1">
            <w:col w:w="11240"/>
          </w:cols>
          <w:pgMar w:left="320" w:top="824" w:right="339" w:bottom="1440" w:gutter="0" w:footer="0" w:header="0"/>
          <w:type w:val="continuous"/>
        </w:sectPr>
      </w:pP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any notice, request or demand to or upon the Administrative Agent or the Lenders shall not be effective until received.</w:t>
      </w:r>
    </w:p>
    <w:p>
      <w:pPr>
        <w:spacing w:after="0" w:line="185" w:lineRule="exact"/>
        <w:rPr>
          <w:sz w:val="20"/>
          <w:szCs w:val="20"/>
          <w:color w:val="auto"/>
        </w:rPr>
      </w:pPr>
    </w:p>
    <w:p>
      <w:pPr>
        <w:jc w:val="both"/>
        <w:ind w:firstLine="1304"/>
        <w:spacing w:after="0" w:line="270" w:lineRule="auto"/>
        <w:tabs>
          <w:tab w:leader="none" w:pos="1998" w:val="left"/>
        </w:tabs>
        <w:numPr>
          <w:ilvl w:val="0"/>
          <w:numId w:val="479"/>
        </w:numPr>
        <w:rPr>
          <w:rFonts w:ascii="Arial" w:cs="Arial" w:eastAsia="Arial" w:hAnsi="Arial"/>
          <w:sz w:val="18"/>
          <w:szCs w:val="18"/>
          <w:color w:val="auto"/>
        </w:rPr>
      </w:pPr>
      <w:r>
        <w:rPr>
          <w:rFonts w:ascii="Arial" w:cs="Arial" w:eastAsia="Arial" w:hAnsi="Arial"/>
          <w:sz w:val="18"/>
          <w:szCs w:val="18"/>
          <w:color w:val="auto"/>
        </w:rPr>
        <w:t xml:space="preserve">Notices and other communications to the Lenders hereunder may be delivered or furnished by electronic communications (including email and Internet or intranet websites)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the foregoing shall not apply to notices to any Lender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unless otherwise agreed by the Administrative Agent and the applicable Lender. The Administrative Agent or any Loan Party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approval of such procedures may be limited to particular notices or communications. Unless the Administrative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for both clauses (i) and (ii), if such notice or other communication is not sent during the normal business hours of the recipient, such notice or communication shall be deemed to have been sent at the opening of business on the next Business Day for the recipient.</w:t>
      </w:r>
    </w:p>
    <w:p>
      <w:pPr>
        <w:spacing w:after="0" w:line="121" w:lineRule="exact"/>
        <w:rPr>
          <w:rFonts w:ascii="Arial" w:cs="Arial" w:eastAsia="Arial" w:hAnsi="Arial"/>
          <w:sz w:val="18"/>
          <w:szCs w:val="18"/>
          <w:color w:val="auto"/>
        </w:rPr>
      </w:pPr>
    </w:p>
    <w:p>
      <w:pPr>
        <w:ind w:firstLine="1304"/>
        <w:spacing w:after="0" w:line="260" w:lineRule="auto"/>
        <w:tabs>
          <w:tab w:leader="none" w:pos="1703" w:val="left"/>
        </w:tabs>
        <w:numPr>
          <w:ilvl w:val="0"/>
          <w:numId w:val="479"/>
        </w:numPr>
        <w:rPr>
          <w:rFonts w:ascii="Arial" w:cs="Arial" w:eastAsia="Arial" w:hAnsi="Arial"/>
          <w:sz w:val="20"/>
          <w:szCs w:val="20"/>
          <w:color w:val="auto"/>
        </w:rPr>
      </w:pPr>
      <w:r>
        <w:rPr>
          <w:rFonts w:ascii="Arial" w:cs="Arial" w:eastAsia="Arial" w:hAnsi="Arial"/>
          <w:sz w:val="20"/>
          <w:szCs w:val="20"/>
          <w:color w:val="auto"/>
        </w:rPr>
        <w:t>Any party hereto may change its address or facsimile number for notices and other communications hereunder by notice to the other parties hereto.</w:t>
      </w:r>
    </w:p>
    <w:p>
      <w:pPr>
        <w:spacing w:after="0" w:line="122" w:lineRule="exact"/>
        <w:rPr>
          <w:rFonts w:ascii="Arial" w:cs="Arial" w:eastAsia="Arial" w:hAnsi="Arial"/>
          <w:sz w:val="20"/>
          <w:szCs w:val="20"/>
          <w:color w:val="auto"/>
        </w:rPr>
      </w:pPr>
    </w:p>
    <w:p>
      <w:pPr>
        <w:ind w:firstLine="1304"/>
        <w:spacing w:after="0" w:line="316" w:lineRule="auto"/>
        <w:tabs>
          <w:tab w:leader="none" w:pos="1947" w:val="left"/>
        </w:tabs>
        <w:numPr>
          <w:ilvl w:val="0"/>
          <w:numId w:val="479"/>
        </w:numPr>
        <w:rPr>
          <w:rFonts w:ascii="Arial" w:cs="Arial" w:eastAsia="Arial" w:hAnsi="Arial"/>
          <w:sz w:val="18"/>
          <w:szCs w:val="18"/>
          <w:color w:val="auto"/>
        </w:rPr>
      </w:pPr>
      <w:r>
        <w:rPr>
          <w:rFonts w:ascii="Arial" w:cs="Arial" w:eastAsia="Arial" w:hAnsi="Arial"/>
          <w:sz w:val="18"/>
          <w:szCs w:val="18"/>
          <w:color w:val="auto"/>
        </w:rPr>
        <w:t>(i) Each Loan Party agrees that the Administrative Agent may, but shall not be obligated to, make the Communications (as defined below) available to the Issuing Lender and the other Lenders by posting the Communications on the Platform.</w:t>
      </w:r>
    </w:p>
    <w:p>
      <w:pPr>
        <w:spacing w:after="0" w:line="75" w:lineRule="exact"/>
        <w:rPr>
          <w:rFonts w:ascii="Arial" w:cs="Arial" w:eastAsia="Arial" w:hAnsi="Arial"/>
          <w:sz w:val="18"/>
          <w:szCs w:val="18"/>
          <w:color w:val="auto"/>
        </w:rPr>
      </w:pPr>
    </w:p>
    <w:p>
      <w:pPr>
        <w:jc w:val="both"/>
        <w:ind w:firstLine="1952"/>
        <w:spacing w:after="0" w:line="255" w:lineRule="auto"/>
        <w:tabs>
          <w:tab w:leader="none" w:pos="2426" w:val="left"/>
        </w:tabs>
        <w:numPr>
          <w:ilvl w:val="1"/>
          <w:numId w:val="479"/>
        </w:numPr>
        <w:rPr>
          <w:rFonts w:ascii="Arial" w:cs="Arial" w:eastAsia="Arial" w:hAnsi="Arial"/>
          <w:sz w:val="19"/>
          <w:szCs w:val="19"/>
          <w:color w:val="auto"/>
        </w:rPr>
      </w:pPr>
      <w:r>
        <w:rPr>
          <w:rFonts w:ascii="Arial" w:cs="Arial" w:eastAsia="Arial" w:hAnsi="Arial"/>
          <w:sz w:val="19"/>
          <w:szCs w:val="19"/>
          <w:color w:val="auto"/>
        </w:rPr>
        <w:t>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Arial" w:cs="Arial" w:eastAsia="Arial" w:hAnsi="Arial"/>
          <w:sz w:val="19"/>
          <w:szCs w:val="19"/>
          <w:b w:val="1"/>
          <w:bCs w:val="1"/>
          <w:i w:val="1"/>
          <w:iCs w:val="1"/>
          <w:color w:val="auto"/>
        </w:rPr>
        <w:t>Agent Parties</w:t>
      </w:r>
      <w:r>
        <w:rPr>
          <w:rFonts w:ascii="Arial" w:cs="Arial" w:eastAsia="Arial" w:hAnsi="Arial"/>
          <w:sz w:val="19"/>
          <w:szCs w:val="19"/>
          <w:color w:val="auto"/>
        </w:rPr>
        <w:t>”) have any liability to the Borrower or the other Loan Parties, any Lender or any other Person for damages of any kind, including direct or indirect, special, incidental or consequential damages, losses or expenses (whether in tort, contract or otherwise) arising out of the Borrower’s, any Loan Party’s or the Administrative Agent’s transmission of communications through the Platform. “</w:t>
      </w:r>
      <w:r>
        <w:rPr>
          <w:rFonts w:ascii="Arial" w:cs="Arial" w:eastAsia="Arial" w:hAnsi="Arial"/>
          <w:sz w:val="19"/>
          <w:szCs w:val="19"/>
          <w:b w:val="1"/>
          <w:bCs w:val="1"/>
          <w:i w:val="1"/>
          <w:iCs w:val="1"/>
          <w:color w:val="auto"/>
        </w:rPr>
        <w:t>Communications</w:t>
      </w:r>
      <w:r>
        <w:rPr>
          <w:rFonts w:ascii="Arial" w:cs="Arial" w:eastAsia="Arial" w:hAnsi="Arial"/>
          <w:sz w:val="19"/>
          <w:szCs w:val="19"/>
          <w:color w:val="auto"/>
        </w:rPr>
        <w:t>” means, collectively, any notice, demand, communication, information, document or other material provided by or on behalf of any Loan Party pursuant to any Loan Document or the transactions contemplated therein which is distributed to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119</w:t>
      </w:r>
    </w:p>
    <w:p>
      <w:pPr>
        <w:sectPr>
          <w:pgSz w:w="11900" w:h="16838" w:orient="portrait"/>
          <w:cols w:equalWidth="0" w:num="1">
            <w:col w:w="11240"/>
          </w:cols>
          <w:pgMar w:left="320" w:top="824" w:right="339" w:bottom="1440" w:gutter="0" w:footer="0" w:header="0"/>
          <w:type w:val="continuous"/>
        </w:sectPr>
      </w:pPr>
    </w:p>
    <w:bookmarkStart w:id="506" w:name="page507"/>
    <w:bookmarkEnd w:id="506"/>
    <w:p>
      <w:pPr>
        <w:jc w:val="both"/>
        <w:spacing w:after="0" w:line="260" w:lineRule="auto"/>
        <w:rPr>
          <w:sz w:val="20"/>
          <w:szCs w:val="20"/>
          <w:color w:val="auto"/>
        </w:rPr>
      </w:pPr>
      <w:r>
        <w:rPr>
          <w:rFonts w:ascii="Arial" w:cs="Arial" w:eastAsia="Arial" w:hAnsi="Arial"/>
          <w:sz w:val="20"/>
          <w:szCs w:val="20"/>
          <w:color w:val="auto"/>
        </w:rPr>
        <w:t>Administrative Agent, any Lender or the Issuing Lender by means of electronic communications pursuant to this Section, including through the Platform.</w:t>
      </w:r>
    </w:p>
    <w:p>
      <w:pPr>
        <w:spacing w:after="0" w:line="11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b w:val="1"/>
          <w:bCs w:val="1"/>
          <w:color w:val="auto"/>
        </w:rPr>
        <w:t>10.3 No Waiver; Cumulative Remedies</w:t>
      </w:r>
      <w:r>
        <w:rPr>
          <w:rFonts w:ascii="Arial" w:cs="Arial" w:eastAsia="Arial" w:hAnsi="Arial"/>
          <w:sz w:val="19"/>
          <w:szCs w:val="19"/>
          <w:color w:val="auto"/>
        </w:rPr>
        <w:t>. No failure to exercise and no delay in exercising, on the part of the Administrative Agent</w:t>
      </w:r>
      <w:r>
        <w:rPr>
          <w:rFonts w:ascii="Arial" w:cs="Arial" w:eastAsia="Arial" w:hAnsi="Arial"/>
          <w:sz w:val="19"/>
          <w:szCs w:val="19"/>
          <w:b w:val="1"/>
          <w:bCs w:val="1"/>
          <w:color w:val="auto"/>
        </w:rPr>
        <w:t xml:space="preserve"> </w:t>
      </w:r>
      <w:r>
        <w:rPr>
          <w:rFonts w:ascii="Arial" w:cs="Arial" w:eastAsia="Arial" w:hAnsi="Arial"/>
          <w:sz w:val="19"/>
          <w:szCs w:val="19"/>
          <w:color w:val="auto"/>
        </w:rPr>
        <w:t>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17"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0"/>
          <w:szCs w:val="20"/>
          <w:b w:val="1"/>
          <w:bCs w:val="1"/>
          <w:color w:val="auto"/>
        </w:rPr>
        <w:t>10.4 Survival of Representations and Warranties</w:t>
      </w:r>
      <w:r>
        <w:rPr>
          <w:rFonts w:ascii="Arial" w:cs="Arial" w:eastAsia="Arial" w:hAnsi="Arial"/>
          <w:sz w:val="20"/>
          <w:szCs w:val="20"/>
          <w:color w:val="auto"/>
        </w:rPr>
        <w:t>. All representations and warranties made hereunder, in the other Loan</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Documents and in any document, certificate or statement delivered pursuant hereto or in connection herewith shall survive the execution and delivery of this Agreement and the making of the Loans and other extensions of credit hereunder.</w:t>
      </w:r>
    </w:p>
    <w:p>
      <w:pPr>
        <w:spacing w:after="0" w:line="12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10.5</w:t>
      </w:r>
      <w:r>
        <w:rPr>
          <w:sz w:val="20"/>
          <w:szCs w:val="20"/>
          <w:color w:val="auto"/>
        </w:rPr>
        <w:tab/>
      </w:r>
      <w:r>
        <w:rPr>
          <w:rFonts w:ascii="Arial" w:cs="Arial" w:eastAsia="Arial" w:hAnsi="Arial"/>
          <w:sz w:val="16"/>
          <w:szCs w:val="16"/>
          <w:b w:val="1"/>
          <w:bCs w:val="1"/>
          <w:color w:val="auto"/>
        </w:rPr>
        <w:t>Expenses; Indemnity; Damage Waiver</w:t>
      </w:r>
      <w:r>
        <w:rPr>
          <w:rFonts w:ascii="Arial" w:cs="Arial" w:eastAsia="Arial" w:hAnsi="Arial"/>
          <w:sz w:val="16"/>
          <w:szCs w:val="16"/>
          <w:color w:val="auto"/>
        </w:rPr>
        <w:t>.</w:t>
      </w:r>
    </w:p>
    <w:p>
      <w:pPr>
        <w:spacing w:after="0" w:line="168" w:lineRule="exact"/>
        <w:rPr>
          <w:sz w:val="20"/>
          <w:szCs w:val="20"/>
          <w:color w:val="auto"/>
        </w:rPr>
      </w:pPr>
    </w:p>
    <w:p>
      <w:pPr>
        <w:jc w:val="both"/>
        <w:ind w:firstLine="1304"/>
        <w:spacing w:after="0" w:line="271" w:lineRule="auto"/>
        <w:tabs>
          <w:tab w:leader="none" w:pos="1727" w:val="left"/>
        </w:tabs>
        <w:numPr>
          <w:ilvl w:val="0"/>
          <w:numId w:val="480"/>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The Borrower shall pay (i) all reasonable and documented out-of-pocket expenses incurred by the Administrative Agent and its Affiliates (including the reasonable fees, charges and disbursements of counsel for the Administrative Agent), in connection with the syndication of the Facilities,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the Issuing Lender in connection with the issuance, amendment, renewal or extension of any Letter of Credit or any demand for payment thereunder, and (iii) all reasonable and documented out-of-pocket expenses incurred by the Administrative Agent or any Lender (including the fees, charges and disbursements of counsel for the Administrative Agent or any Lender), in connection with the enforcement or protection of its rights (A) in connection with this Agreement and the other Loan Documents, including its rights under this Section, or (B) in connection with the Loans made or Letters of Credit issued or participated in hereunder, including all such documented out-of-pocket expenses incurred during any workout, restructuring or negotiations in respect of such Loans or Letters of Credit.</w:t>
      </w:r>
    </w:p>
    <w:p>
      <w:pPr>
        <w:spacing w:after="0" w:line="115" w:lineRule="exact"/>
        <w:rPr>
          <w:rFonts w:ascii="Arial" w:cs="Arial" w:eastAsia="Arial" w:hAnsi="Arial"/>
          <w:sz w:val="18"/>
          <w:szCs w:val="18"/>
          <w:color w:val="auto"/>
        </w:rPr>
      </w:pPr>
    </w:p>
    <w:p>
      <w:pPr>
        <w:jc w:val="both"/>
        <w:ind w:firstLine="1304"/>
        <w:spacing w:after="0" w:line="269" w:lineRule="auto"/>
        <w:tabs>
          <w:tab w:leader="none" w:pos="1724" w:val="left"/>
        </w:tabs>
        <w:numPr>
          <w:ilvl w:val="0"/>
          <w:numId w:val="480"/>
        </w:numPr>
        <w:rPr>
          <w:rFonts w:ascii="Arial" w:cs="Arial" w:eastAsia="Arial" w:hAnsi="Arial"/>
          <w:sz w:val="18"/>
          <w:szCs w:val="18"/>
          <w:color w:val="auto"/>
        </w:rPr>
      </w:pPr>
      <w:r>
        <w:rPr>
          <w:rFonts w:ascii="Arial" w:cs="Arial" w:eastAsia="Arial" w:hAnsi="Arial"/>
          <w:sz w:val="18"/>
          <w:szCs w:val="18"/>
          <w:u w:val="single" w:color="auto"/>
          <w:color w:val="auto"/>
        </w:rPr>
        <w:t>Indemnification by the Borrower</w:t>
      </w:r>
      <w:r>
        <w:rPr>
          <w:rFonts w:ascii="Arial" w:cs="Arial" w:eastAsia="Arial" w:hAnsi="Arial"/>
          <w:sz w:val="18"/>
          <w:szCs w:val="18"/>
          <w:color w:val="auto"/>
        </w:rPr>
        <w:t>. The Borrower shall indemnify the Administrative Agent (and any sub-agent thereof), each Lender (including the Issuing Lender), and each Related Party of any of the foregoing Persons (each such Person being called an “</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 xml:space="preserve">”) against, and hold each Indemnitee harmless from, any and all losses, claims, damages, liabilities and related expenses (including the fees, charges and disbursements of any counsel for any Indemnitee), incurred by any Indemnitee or asserted against any Indemnitee by any Person (including the Borrower or any other Loan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Letter of Credit or the use or proposed use of the proceeds therefrom (including any refusal by the Issuing Lender to honor a demand for payment under a Letter of Credit if the documents presented in connection with such demand do not strictly comply with the terms of such Letter of Credit), (iii) any actual or alleged presence or release of Materials of Environmental Concern on or from any property owned or operated by the Group Members, or any Environmental Liability related in any way to the Group Members,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the Borrower or any other</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120</w:t>
      </w:r>
    </w:p>
    <w:p>
      <w:pPr>
        <w:sectPr>
          <w:pgSz w:w="11900" w:h="16838" w:orient="portrait"/>
          <w:cols w:equalWidth="0" w:num="1">
            <w:col w:w="11240"/>
          </w:cols>
          <w:pgMar w:left="320" w:top="770" w:right="339" w:bottom="1440" w:gutter="0" w:footer="0" w:header="0"/>
        </w:sectPr>
      </w:pPr>
    </w:p>
    <w:bookmarkStart w:id="507" w:name="page508"/>
    <w:bookmarkEnd w:id="507"/>
    <w:p>
      <w:pPr>
        <w:jc w:val="both"/>
        <w:spacing w:after="0" w:line="246" w:lineRule="auto"/>
        <w:rPr>
          <w:sz w:val="20"/>
          <w:szCs w:val="20"/>
          <w:color w:val="auto"/>
        </w:rPr>
      </w:pPr>
      <w:r>
        <w:rPr>
          <w:rFonts w:ascii="Arial" w:cs="Arial" w:eastAsia="Arial" w:hAnsi="Arial"/>
          <w:sz w:val="20"/>
          <w:szCs w:val="20"/>
          <w:color w:val="auto"/>
        </w:rPr>
        <w:t xml:space="preserve">Loan Party against an Indemnitee for breach in bad faith of such Indemnitee’s obligations hereunder or under any other Loan Document, if the Borrower or such Loan Party has obtained a final and nonappealable judgment in its favor on such claim as determined by a court of competent jurisdiction. This </w:t>
      </w:r>
      <w:r>
        <w:rPr>
          <w:rFonts w:ascii="Arial" w:cs="Arial" w:eastAsia="Arial" w:hAnsi="Arial"/>
          <w:sz w:val="20"/>
          <w:szCs w:val="20"/>
          <w:u w:val="single" w:color="auto"/>
          <w:color w:val="auto"/>
        </w:rPr>
        <w:t>Section 10.5(b)</w:t>
      </w:r>
      <w:r>
        <w:rPr>
          <w:rFonts w:ascii="Arial" w:cs="Arial" w:eastAsia="Arial" w:hAnsi="Arial"/>
          <w:sz w:val="20"/>
          <w:szCs w:val="20"/>
          <w:color w:val="auto"/>
        </w:rPr>
        <w:t xml:space="preserve"> shall not apply with respect to Taxes other than any Taxes that represent losses, claims, damages, etc. arising from any non-Tax claim.</w:t>
      </w:r>
    </w:p>
    <w:p>
      <w:pPr>
        <w:spacing w:after="0" w:line="137" w:lineRule="exact"/>
        <w:rPr>
          <w:sz w:val="20"/>
          <w:szCs w:val="20"/>
          <w:color w:val="auto"/>
        </w:rPr>
      </w:pPr>
    </w:p>
    <w:p>
      <w:pPr>
        <w:jc w:val="both"/>
        <w:ind w:firstLine="1304"/>
        <w:spacing w:after="0" w:line="254" w:lineRule="auto"/>
        <w:tabs>
          <w:tab w:leader="none" w:pos="1835" w:val="left"/>
        </w:tabs>
        <w:numPr>
          <w:ilvl w:val="0"/>
          <w:numId w:val="481"/>
        </w:numPr>
        <w:rPr>
          <w:rFonts w:ascii="Arial" w:cs="Arial" w:eastAsia="Arial" w:hAnsi="Arial"/>
          <w:sz w:val="19"/>
          <w:szCs w:val="19"/>
          <w:color w:val="auto"/>
        </w:rPr>
      </w:pPr>
      <w:r>
        <w:rPr>
          <w:rFonts w:ascii="Arial" w:cs="Arial" w:eastAsia="Arial" w:hAnsi="Arial"/>
          <w:sz w:val="19"/>
          <w:szCs w:val="19"/>
          <w:u w:val="single" w:color="auto"/>
          <w:color w:val="auto"/>
        </w:rPr>
        <w:t>Reimbursement by Lenders</w:t>
      </w:r>
      <w:r>
        <w:rPr>
          <w:rFonts w:ascii="Arial" w:cs="Arial" w:eastAsia="Arial" w:hAnsi="Arial"/>
          <w:sz w:val="19"/>
          <w:szCs w:val="19"/>
          <w:color w:val="auto"/>
        </w:rPr>
        <w:t xml:space="preserve">. To the extent that the Borrower for any reason fails indefeasibly to pay any amount required under paragraph (a) or (b) of this Section to be paid by it to the Administrative Agent (or any sub-agent thereof), the Issuing Lender, the Swingline Lender or any Related Party of any of the foregoing, each Lender severally agrees to pay to the Administrative Agent (or any such sub-agent), the Issuing Lender, the Swingline Lender or such Related Party, as the case may be, such Lender’s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share (determined as of the time that the applicable unreimbursed expense or indemnity payment is sought based on each Lender’s Revolving Percentage at such time) of such unpaid amount (including any such unpaid amount in respect of a claim asserted by such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with respect to such unpaid amounts owed to the Issuing Lender or the Swingline Lender solely in its capacity as such, only the Revolving Lenders shall be required to pay such unpaid amounts, such payment to be made severally among them based on such Revolving Lenders’ Revolving Percentage (determined as of the time that the applicable unreimbursed expense or indemnity payment is sought);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unreimbursed expense or indemnified loss, claim, damage, liability or related expense, as the case may be, was incurred by or asserted against the Administrative Agent (or any such sub-agent), the Issuing Lender or the Swingline Lender in its capacity as such, or against any Related Party of any of the foregoing acting for the Administrative Agent (or any such sub-agent), the Issuing Lender or the Swingline Lender in connection with such capacity. The obligations of the Lenders under this paragraph (c) are subject to the provisions of </w:t>
      </w:r>
      <w:r>
        <w:rPr>
          <w:rFonts w:ascii="Arial" w:cs="Arial" w:eastAsia="Arial" w:hAnsi="Arial"/>
          <w:sz w:val="19"/>
          <w:szCs w:val="19"/>
          <w:u w:val="single" w:color="auto"/>
          <w:color w:val="auto"/>
        </w:rPr>
        <w:t>Sections 2.1</w:t>
      </w:r>
      <w:r>
        <w:rPr>
          <w:rFonts w:ascii="Arial" w:cs="Arial" w:eastAsia="Arial" w:hAnsi="Arial"/>
          <w:sz w:val="19"/>
          <w:szCs w:val="19"/>
          <w:color w:val="auto"/>
        </w:rPr>
        <w:t xml:space="preserve">, </w:t>
      </w:r>
      <w:r>
        <w:rPr>
          <w:rFonts w:ascii="Arial" w:cs="Arial" w:eastAsia="Arial" w:hAnsi="Arial"/>
          <w:sz w:val="19"/>
          <w:szCs w:val="19"/>
          <w:u w:val="single" w:color="auto"/>
          <w:color w:val="auto"/>
        </w:rPr>
        <w:t>2.4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2.20(e)</w:t>
      </w:r>
      <w:r>
        <w:rPr>
          <w:rFonts w:ascii="Arial" w:cs="Arial" w:eastAsia="Arial" w:hAnsi="Arial"/>
          <w:sz w:val="19"/>
          <w:szCs w:val="19"/>
          <w:color w:val="auto"/>
        </w:rPr>
        <w:t>.</w:t>
      </w:r>
    </w:p>
    <w:p>
      <w:pPr>
        <w:spacing w:after="0" w:line="137" w:lineRule="exact"/>
        <w:rPr>
          <w:rFonts w:ascii="Arial" w:cs="Arial" w:eastAsia="Arial" w:hAnsi="Arial"/>
          <w:sz w:val="19"/>
          <w:szCs w:val="19"/>
          <w:color w:val="auto"/>
        </w:rPr>
      </w:pPr>
    </w:p>
    <w:p>
      <w:pPr>
        <w:jc w:val="both"/>
        <w:ind w:firstLine="1304"/>
        <w:spacing w:after="0" w:line="256" w:lineRule="auto"/>
        <w:tabs>
          <w:tab w:leader="none" w:pos="1738" w:val="left"/>
        </w:tabs>
        <w:numPr>
          <w:ilvl w:val="0"/>
          <w:numId w:val="481"/>
        </w:numPr>
        <w:rPr>
          <w:rFonts w:ascii="Arial" w:cs="Arial" w:eastAsia="Arial" w:hAnsi="Arial"/>
          <w:sz w:val="19"/>
          <w:szCs w:val="19"/>
          <w:color w:val="auto"/>
        </w:rPr>
      </w:pPr>
      <w:r>
        <w:rPr>
          <w:rFonts w:ascii="Arial" w:cs="Arial" w:eastAsia="Arial" w:hAnsi="Arial"/>
          <w:sz w:val="19"/>
          <w:szCs w:val="19"/>
          <w:u w:val="single" w:color="auto"/>
          <w:color w:val="auto"/>
        </w:rPr>
        <w:t>Waiver of Consequential Damages, Etc.</w:t>
      </w:r>
      <w:r>
        <w:rPr>
          <w:rFonts w:ascii="Arial" w:cs="Arial" w:eastAsia="Arial" w:hAnsi="Arial"/>
          <w:sz w:val="19"/>
          <w:szCs w:val="19"/>
          <w:color w:val="auto"/>
        </w:rPr>
        <w:t xml:space="preserve"> To the fullest extent permitted by applicable law, the Borrower and each other Loan Party shall not assert, and hereby waives, any claim against the Administrative Agent (and any sub-agent thereof), each Lender (including the Issuing Lender), and each Related Party of any of the foregoing Persons (each such Person being called an “</w:t>
      </w:r>
      <w:r>
        <w:rPr>
          <w:rFonts w:ascii="Arial" w:cs="Arial" w:eastAsia="Arial" w:hAnsi="Arial"/>
          <w:sz w:val="19"/>
          <w:szCs w:val="19"/>
          <w:b w:val="1"/>
          <w:bCs w:val="1"/>
          <w:i w:val="1"/>
          <w:iCs w:val="1"/>
          <w:color w:val="auto"/>
        </w:rPr>
        <w:t>Applicable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Party</w:t>
      </w:r>
      <w:r>
        <w:rPr>
          <w:rFonts w:ascii="Arial" w:cs="Arial" w:eastAsia="Arial" w:hAnsi="Arial"/>
          <w:sz w:val="19"/>
          <w:szCs w:val="19"/>
          <w:color w:val="auto"/>
        </w:rPr>
        <w:t>”), on any theory of liability, for special, indirect, consequential or punitive damages (as opposed to direct or actual damages) arising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out of, in connection with, or as a result of, this Agreement, any other Loan Document or any agreement or instrument contemplated hereby, the transactions contemplated hereby or thereby, any Loan or Letter of Credit, or the use of the proceeds thereof. No Applicable Party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30" w:lineRule="exact"/>
        <w:rPr>
          <w:rFonts w:ascii="Arial" w:cs="Arial" w:eastAsia="Arial" w:hAnsi="Arial"/>
          <w:sz w:val="19"/>
          <w:szCs w:val="19"/>
          <w:color w:val="auto"/>
        </w:rPr>
      </w:pPr>
    </w:p>
    <w:p>
      <w:pPr>
        <w:ind w:left="1720" w:hanging="416"/>
        <w:spacing w:after="0"/>
        <w:tabs>
          <w:tab w:leader="none" w:pos="1720" w:val="left"/>
        </w:tabs>
        <w:numPr>
          <w:ilvl w:val="0"/>
          <w:numId w:val="481"/>
        </w:numPr>
        <w:rPr>
          <w:rFonts w:ascii="Arial" w:cs="Arial" w:eastAsia="Arial" w:hAnsi="Arial"/>
          <w:sz w:val="20"/>
          <w:szCs w:val="20"/>
          <w:color w:val="auto"/>
        </w:rPr>
      </w:pPr>
      <w:r>
        <w:rPr>
          <w:rFonts w:ascii="Arial" w:cs="Arial" w:eastAsia="Arial" w:hAnsi="Arial"/>
          <w:sz w:val="20"/>
          <w:szCs w:val="20"/>
          <w:u w:val="single" w:color="auto"/>
          <w:color w:val="auto"/>
        </w:rPr>
        <w:t>Payments</w:t>
      </w:r>
      <w:r>
        <w:rPr>
          <w:rFonts w:ascii="Arial" w:cs="Arial" w:eastAsia="Arial" w:hAnsi="Arial"/>
          <w:sz w:val="20"/>
          <w:szCs w:val="20"/>
          <w:color w:val="auto"/>
        </w:rPr>
        <w:t>. All amounts due under this Section shall be payable promptly after demand therefor.</w:t>
      </w:r>
    </w:p>
    <w:p>
      <w:pPr>
        <w:spacing w:after="0" w:line="161" w:lineRule="exact"/>
        <w:rPr>
          <w:rFonts w:ascii="Arial" w:cs="Arial" w:eastAsia="Arial" w:hAnsi="Arial"/>
          <w:sz w:val="20"/>
          <w:szCs w:val="20"/>
          <w:color w:val="auto"/>
        </w:rPr>
      </w:pPr>
    </w:p>
    <w:p>
      <w:pPr>
        <w:ind w:left="1700" w:hanging="396"/>
        <w:spacing w:after="0"/>
        <w:tabs>
          <w:tab w:leader="none" w:pos="1700" w:val="left"/>
        </w:tabs>
        <w:numPr>
          <w:ilvl w:val="0"/>
          <w:numId w:val="481"/>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Each party’s obligations under this Section shall survive the Discharge of Obligations.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121</w:t>
      </w:r>
    </w:p>
    <w:p>
      <w:pPr>
        <w:sectPr>
          <w:pgSz w:w="11900" w:h="16838" w:orient="portrait"/>
          <w:cols w:equalWidth="0" w:num="1">
            <w:col w:w="11240"/>
          </w:cols>
          <w:pgMar w:left="320" w:top="770" w:right="339" w:bottom="1440" w:gutter="0" w:footer="0" w:header="0"/>
        </w:sectPr>
      </w:pPr>
    </w:p>
    <w:bookmarkStart w:id="508" w:name="page509"/>
    <w:bookmarkEnd w:id="508"/>
    <w:p>
      <w:pPr>
        <w:ind w:left="660"/>
        <w:spacing w:after="0"/>
        <w:tabs>
          <w:tab w:leader="none" w:pos="1180" w:val="left"/>
        </w:tabs>
        <w:rPr>
          <w:sz w:val="20"/>
          <w:szCs w:val="20"/>
          <w:color w:val="auto"/>
        </w:rPr>
      </w:pPr>
      <w:r>
        <w:rPr>
          <w:rFonts w:ascii="Arial" w:cs="Arial" w:eastAsia="Arial" w:hAnsi="Arial"/>
          <w:sz w:val="20"/>
          <w:szCs w:val="20"/>
          <w:b w:val="1"/>
          <w:bCs w:val="1"/>
          <w:color w:val="auto"/>
        </w:rPr>
        <w:t>10.6</w:t>
      </w:r>
      <w:r>
        <w:rPr>
          <w:sz w:val="20"/>
          <w:szCs w:val="20"/>
          <w:color w:val="auto"/>
        </w:rPr>
        <w:tab/>
      </w:r>
      <w:r>
        <w:rPr>
          <w:rFonts w:ascii="Arial" w:cs="Arial" w:eastAsia="Arial" w:hAnsi="Arial"/>
          <w:sz w:val="16"/>
          <w:szCs w:val="16"/>
          <w:b w:val="1"/>
          <w:bCs w:val="1"/>
          <w:color w:val="auto"/>
        </w:rPr>
        <w:t>Successors and Assigns; Participations and Assignments</w:t>
      </w:r>
      <w:r>
        <w:rPr>
          <w:rFonts w:ascii="Arial" w:cs="Arial" w:eastAsia="Arial" w:hAnsi="Arial"/>
          <w:sz w:val="16"/>
          <w:szCs w:val="16"/>
          <w:color w:val="auto"/>
        </w:rPr>
        <w:t>.</w:t>
      </w:r>
    </w:p>
    <w:p>
      <w:pPr>
        <w:spacing w:after="0" w:line="168" w:lineRule="exact"/>
        <w:rPr>
          <w:sz w:val="20"/>
          <w:szCs w:val="20"/>
          <w:color w:val="auto"/>
        </w:rPr>
      </w:pPr>
    </w:p>
    <w:p>
      <w:pPr>
        <w:jc w:val="both"/>
        <w:ind w:firstLine="1304"/>
        <w:spacing w:after="0" w:line="271" w:lineRule="auto"/>
        <w:tabs>
          <w:tab w:leader="none" w:pos="1740" w:val="left"/>
        </w:tabs>
        <w:numPr>
          <w:ilvl w:val="0"/>
          <w:numId w:val="482"/>
        </w:numPr>
        <w:rPr>
          <w:rFonts w:ascii="Arial" w:cs="Arial" w:eastAsia="Arial" w:hAnsi="Arial"/>
          <w:sz w:val="18"/>
          <w:szCs w:val="18"/>
          <w:color w:val="auto"/>
        </w:rPr>
      </w:pPr>
      <w:r>
        <w:rPr>
          <w:rFonts w:ascii="Arial" w:cs="Arial" w:eastAsia="Arial" w:hAnsi="Arial"/>
          <w:sz w:val="18"/>
          <w:szCs w:val="18"/>
          <w:u w:val="single" w:color="auto"/>
          <w:color w:val="auto"/>
        </w:rPr>
        <w:t>Successors and Assigns Generally</w:t>
      </w:r>
      <w:r>
        <w:rPr>
          <w:rFonts w:ascii="Arial" w:cs="Arial" w:eastAsia="Arial" w:hAnsi="Arial"/>
          <w:sz w:val="18"/>
          <w:szCs w:val="18"/>
          <w:color w:val="auto"/>
        </w:rPr>
        <w:t xml:space="preserve">. The provisions of this Agreement shall be binding upon and inure to the benefit of the parties hereto and their respective successors and assigns permitted hereby (which, for purposes of this </w:t>
      </w:r>
      <w:r>
        <w:rPr>
          <w:rFonts w:ascii="Arial" w:cs="Arial" w:eastAsia="Arial" w:hAnsi="Arial"/>
          <w:sz w:val="18"/>
          <w:szCs w:val="18"/>
          <w:u w:val="single" w:color="auto"/>
          <w:color w:val="auto"/>
        </w:rPr>
        <w:t>Section 10.6</w:t>
      </w:r>
      <w:r>
        <w:rPr>
          <w:rFonts w:ascii="Arial" w:cs="Arial" w:eastAsia="Arial" w:hAnsi="Arial"/>
          <w:sz w:val="18"/>
          <w:szCs w:val="18"/>
          <w:color w:val="auto"/>
        </w:rPr>
        <w:t xml:space="preserve">, shall include any Cash Management Bank and any Qualified Counterparty), except that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paragraph (b) of this Section, (ii) by way of participation in accordance with the provisions of </w:t>
      </w:r>
      <w:r>
        <w:rPr>
          <w:rFonts w:ascii="Arial" w:cs="Arial" w:eastAsia="Arial" w:hAnsi="Arial"/>
          <w:sz w:val="18"/>
          <w:szCs w:val="18"/>
          <w:u w:val="single" w:color="auto"/>
          <w:color w:val="auto"/>
        </w:rPr>
        <w:t>Section 10.6(d)</w:t>
      </w:r>
      <w:r>
        <w:rPr>
          <w:rFonts w:ascii="Arial" w:cs="Arial" w:eastAsia="Arial" w:hAnsi="Arial"/>
          <w:sz w:val="18"/>
          <w:szCs w:val="18"/>
          <w:color w:val="auto"/>
        </w:rPr>
        <w:t xml:space="preserve">, or (iii) by way of pledge or assignment of a security interest subject to the restrictions of </w:t>
      </w:r>
      <w:r>
        <w:rPr>
          <w:rFonts w:ascii="Arial" w:cs="Arial" w:eastAsia="Arial" w:hAnsi="Arial"/>
          <w:sz w:val="18"/>
          <w:szCs w:val="18"/>
          <w:u w:val="single" w:color="auto"/>
          <w:color w:val="auto"/>
        </w:rPr>
        <w:t>Section 10.6(e)</w:t>
      </w:r>
      <w:r>
        <w:rPr>
          <w:rFonts w:ascii="Arial" w:cs="Arial" w:eastAsia="Arial" w:hAnsi="Arial"/>
          <w:sz w:val="18"/>
          <w:szCs w:val="18"/>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the Administrative Agent and the Lenders) any legal or equitable right, remedy or claim under or by reason of this Agreement.</w:t>
      </w:r>
    </w:p>
    <w:p>
      <w:pPr>
        <w:spacing w:after="0" w:line="115" w:lineRule="exact"/>
        <w:rPr>
          <w:rFonts w:ascii="Arial" w:cs="Arial" w:eastAsia="Arial" w:hAnsi="Arial"/>
          <w:sz w:val="18"/>
          <w:szCs w:val="18"/>
          <w:color w:val="auto"/>
        </w:rPr>
      </w:pPr>
    </w:p>
    <w:p>
      <w:pPr>
        <w:jc w:val="both"/>
        <w:ind w:firstLine="1304"/>
        <w:spacing w:after="0" w:line="250" w:lineRule="auto"/>
        <w:tabs>
          <w:tab w:leader="none" w:pos="1738" w:val="left"/>
        </w:tabs>
        <w:numPr>
          <w:ilvl w:val="0"/>
          <w:numId w:val="482"/>
        </w:numPr>
        <w:rPr>
          <w:rFonts w:ascii="Arial" w:cs="Arial" w:eastAsia="Arial" w:hAnsi="Arial"/>
          <w:sz w:val="20"/>
          <w:szCs w:val="20"/>
          <w:color w:val="auto"/>
        </w:rPr>
      </w:pPr>
      <w:r>
        <w:rPr>
          <w:rFonts w:ascii="Arial" w:cs="Arial" w:eastAsia="Arial" w:hAnsi="Arial"/>
          <w:sz w:val="20"/>
          <w:szCs w:val="20"/>
          <w:u w:val="single" w:color="auto"/>
          <w:color w:val="auto"/>
        </w:rPr>
        <w:t>Assignments by Lenders</w:t>
      </w:r>
      <w:r>
        <w:rPr>
          <w:rFonts w:ascii="Arial" w:cs="Arial" w:eastAsia="Arial" w:hAnsi="Arial"/>
          <w:sz w:val="20"/>
          <w:szCs w:val="20"/>
          <w:color w:val="auto"/>
        </w:rPr>
        <w:t xml:space="preserve">. Any Lender may at any time assign to one or more assignees all or a portion of its rights and obligations under this Agreement (including all or a portion of its Commitment and the Loans at the time owing to it);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(in each case with respect to any Facility) any such assignment shall be subject to the following conditions:</w:t>
      </w:r>
    </w:p>
    <w:p>
      <w:pPr>
        <w:spacing w:after="0" w:line="131" w:lineRule="exact"/>
        <w:rPr>
          <w:rFonts w:ascii="Arial" w:cs="Arial" w:eastAsia="Arial" w:hAnsi="Arial"/>
          <w:sz w:val="20"/>
          <w:szCs w:val="20"/>
          <w:color w:val="auto"/>
        </w:rPr>
      </w:pPr>
    </w:p>
    <w:p>
      <w:pPr>
        <w:ind w:left="2340" w:hanging="388"/>
        <w:spacing w:after="0"/>
        <w:tabs>
          <w:tab w:leader="none" w:pos="2340" w:val="left"/>
        </w:tabs>
        <w:numPr>
          <w:ilvl w:val="1"/>
          <w:numId w:val="482"/>
        </w:numPr>
        <w:rPr>
          <w:rFonts w:ascii="Arial" w:cs="Arial" w:eastAsia="Arial" w:hAnsi="Arial"/>
          <w:sz w:val="20"/>
          <w:szCs w:val="20"/>
          <w:color w:val="auto"/>
        </w:rPr>
      </w:pPr>
      <w:r>
        <w:rPr>
          <w:rFonts w:ascii="Arial" w:cs="Arial" w:eastAsia="Arial" w:hAnsi="Arial"/>
          <w:sz w:val="20"/>
          <w:szCs w:val="20"/>
          <w:u w:val="single" w:color="auto"/>
          <w:color w:val="auto"/>
        </w:rPr>
        <w:t>Minimum Amounts</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2600"/>
        <w:spacing w:after="0" w:line="244" w:lineRule="auto"/>
        <w:tabs>
          <w:tab w:leader="none" w:pos="3127" w:val="left"/>
        </w:tabs>
        <w:numPr>
          <w:ilvl w:val="2"/>
          <w:numId w:val="482"/>
        </w:numPr>
        <w:rPr>
          <w:rFonts w:ascii="Arial" w:cs="Arial" w:eastAsia="Arial" w:hAnsi="Arial"/>
          <w:sz w:val="20"/>
          <w:szCs w:val="20"/>
          <w:color w:val="auto"/>
        </w:rPr>
      </w:pPr>
      <w:r>
        <w:rPr>
          <w:rFonts w:ascii="Arial" w:cs="Arial" w:eastAsia="Arial" w:hAnsi="Arial"/>
          <w:sz w:val="20"/>
          <w:szCs w:val="20"/>
          <w:color w:val="auto"/>
        </w:rPr>
        <w:t>in the case of an assignment of the entire remaining amount of the assigning Lender’s Commitment and/or the Loans at the time owing to it (in each case with respect to any Facility) or contemporaneous assignments to related Approved Funds (determined after giving effect to such assignments) that equal at least the amount specified in paragraph (b)(i)(B) of this Section in the aggregate or in the case of an assignment to a Lender, an Affiliate of a Lender or an Approved Fund, no minimum amount need be assigned; and</w:t>
      </w:r>
    </w:p>
    <w:p>
      <w:pPr>
        <w:spacing w:after="0" w:line="140" w:lineRule="exact"/>
        <w:rPr>
          <w:rFonts w:ascii="Arial" w:cs="Arial" w:eastAsia="Arial" w:hAnsi="Arial"/>
          <w:sz w:val="20"/>
          <w:szCs w:val="20"/>
          <w:color w:val="auto"/>
        </w:rPr>
      </w:pPr>
    </w:p>
    <w:p>
      <w:pPr>
        <w:jc w:val="both"/>
        <w:ind w:firstLine="2600"/>
        <w:spacing w:after="0" w:line="243" w:lineRule="auto"/>
        <w:tabs>
          <w:tab w:leader="none" w:pos="3241" w:val="left"/>
        </w:tabs>
        <w:numPr>
          <w:ilvl w:val="2"/>
          <w:numId w:val="482"/>
        </w:numPr>
        <w:rPr>
          <w:rFonts w:ascii="Arial" w:cs="Arial" w:eastAsia="Arial" w:hAnsi="Arial"/>
          <w:sz w:val="20"/>
          <w:szCs w:val="20"/>
          <w:color w:val="auto"/>
        </w:rPr>
      </w:pPr>
      <w:r>
        <w:rPr>
          <w:rFonts w:ascii="Arial" w:cs="Arial" w:eastAsia="Arial" w:hAnsi="Arial"/>
          <w:sz w:val="20"/>
          <w:szCs w:val="20"/>
          <w:color w:val="auto"/>
        </w:rPr>
        <w:t>in any case not described in paragraph (b)(i)(A)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w:t>
      </w:r>
      <w:r>
        <w:rPr>
          <w:rFonts w:ascii="Arial" w:cs="Arial" w:eastAsia="Arial" w:hAnsi="Arial"/>
          <w:sz w:val="20"/>
          <w:szCs w:val="20"/>
          <w:b w:val="1"/>
          <w:bCs w:val="1"/>
          <w:i w:val="1"/>
          <w:iCs w:val="1"/>
          <w:color w:val="auto"/>
        </w:rPr>
        <w:t>Trade Date</w:t>
      </w:r>
      <w:r>
        <w:rPr>
          <w:rFonts w:ascii="Arial" w:cs="Arial" w:eastAsia="Arial" w:hAnsi="Arial"/>
          <w:sz w:val="20"/>
          <w:szCs w:val="20"/>
          <w:color w:val="auto"/>
        </w:rPr>
        <w:t>” is specified in the Assignment and Assumption, as of the Trade Date) shall not be less than $5,000,000, unless each of the Administrative Agent and, so long as no Default or Event of Default has occurred and is continuing, the Borrower otherwise consents (each such consent not to be unreasonably withheld or delayed).</w:t>
      </w:r>
    </w:p>
    <w:p>
      <w:pPr>
        <w:spacing w:after="0" w:line="138" w:lineRule="exact"/>
        <w:rPr>
          <w:rFonts w:ascii="Arial" w:cs="Arial" w:eastAsia="Arial" w:hAnsi="Arial"/>
          <w:sz w:val="20"/>
          <w:szCs w:val="20"/>
          <w:color w:val="auto"/>
        </w:rPr>
      </w:pPr>
    </w:p>
    <w:p>
      <w:pPr>
        <w:jc w:val="both"/>
        <w:ind w:firstLine="1952"/>
        <w:spacing w:after="0" w:line="246" w:lineRule="auto"/>
        <w:tabs>
          <w:tab w:leader="none" w:pos="2410" w:val="left"/>
        </w:tabs>
        <w:numPr>
          <w:ilvl w:val="1"/>
          <w:numId w:val="482"/>
        </w:numPr>
        <w:rPr>
          <w:rFonts w:ascii="Arial" w:cs="Arial" w:eastAsia="Arial" w:hAnsi="Arial"/>
          <w:sz w:val="20"/>
          <w:szCs w:val="20"/>
          <w:color w:val="auto"/>
        </w:rPr>
      </w:pPr>
      <w:r>
        <w:rPr>
          <w:rFonts w:ascii="Arial" w:cs="Arial" w:eastAsia="Arial" w:hAnsi="Arial"/>
          <w:sz w:val="20"/>
          <w:szCs w:val="20"/>
          <w:u w:val="single" w:color="auto"/>
          <w:color w:val="auto"/>
        </w:rPr>
        <w:t>Proportionate Amounts</w:t>
      </w:r>
      <w:r>
        <w:rPr>
          <w:rFonts w:ascii="Arial" w:cs="Arial" w:eastAsia="Arial" w:hAnsi="Arial"/>
          <w:sz w:val="20"/>
          <w:szCs w:val="20"/>
          <w:color w:val="auto"/>
        </w:rPr>
        <w:t>. Each partial assignment shall be made as an assignment of a proportionate part of all the assigning Lender’s rights and obligations under this Agreement with respect to the Loan or the Commitment assigned, except that this clause (ii) shall not prohibit any Lender from assigning all or a portion of its rights and obligations among separate Facilities on a non-pro rata basis.</w:t>
      </w:r>
    </w:p>
    <w:p>
      <w:pPr>
        <w:spacing w:after="0" w:line="137" w:lineRule="exact"/>
        <w:rPr>
          <w:rFonts w:ascii="Arial" w:cs="Arial" w:eastAsia="Arial" w:hAnsi="Arial"/>
          <w:sz w:val="20"/>
          <w:szCs w:val="20"/>
          <w:color w:val="auto"/>
        </w:rPr>
      </w:pPr>
    </w:p>
    <w:p>
      <w:pPr>
        <w:ind w:firstLine="1952"/>
        <w:spacing w:after="0" w:line="260" w:lineRule="auto"/>
        <w:tabs>
          <w:tab w:leader="none" w:pos="2600" w:val="left"/>
        </w:tabs>
        <w:numPr>
          <w:ilvl w:val="1"/>
          <w:numId w:val="482"/>
        </w:numPr>
        <w:rPr>
          <w:rFonts w:ascii="Arial" w:cs="Arial" w:eastAsia="Arial" w:hAnsi="Arial"/>
          <w:sz w:val="20"/>
          <w:szCs w:val="20"/>
          <w:color w:val="auto"/>
        </w:rPr>
      </w:pPr>
      <w:r>
        <w:rPr>
          <w:rFonts w:ascii="Arial" w:cs="Arial" w:eastAsia="Arial" w:hAnsi="Arial"/>
          <w:sz w:val="20"/>
          <w:szCs w:val="20"/>
          <w:u w:val="single" w:color="auto"/>
          <w:color w:val="auto"/>
        </w:rPr>
        <w:t>Required Consents</w:t>
      </w:r>
      <w:r>
        <w:rPr>
          <w:rFonts w:ascii="Arial" w:cs="Arial" w:eastAsia="Arial" w:hAnsi="Arial"/>
          <w:sz w:val="20"/>
          <w:szCs w:val="20"/>
          <w:color w:val="auto"/>
        </w:rPr>
        <w:t>. No consent shall be required for any assignment except to the extent required by paragraph (b)(i)(B) of this Section and, in addition: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122</w:t>
      </w:r>
    </w:p>
    <w:p>
      <w:pPr>
        <w:sectPr>
          <w:pgSz w:w="11900" w:h="16838" w:orient="portrait"/>
          <w:cols w:equalWidth="0" w:num="1">
            <w:col w:w="11240"/>
          </w:cols>
          <w:pgMar w:left="320" w:top="764" w:right="339" w:bottom="1440" w:gutter="0" w:footer="0" w:header="0"/>
        </w:sectPr>
      </w:pPr>
    </w:p>
    <w:bookmarkStart w:id="509" w:name="page510"/>
    <w:bookmarkEnd w:id="509"/>
    <w:p>
      <w:pPr>
        <w:jc w:val="both"/>
        <w:ind w:firstLine="2600"/>
        <w:spacing w:after="0" w:line="282" w:lineRule="auto"/>
        <w:tabs>
          <w:tab w:leader="none" w:pos="3198" w:val="left"/>
        </w:tabs>
        <w:numPr>
          <w:ilvl w:val="1"/>
          <w:numId w:val="483"/>
        </w:numPr>
        <w:rPr>
          <w:rFonts w:ascii="Arial" w:cs="Arial" w:eastAsia="Arial" w:hAnsi="Arial"/>
          <w:sz w:val="18"/>
          <w:szCs w:val="18"/>
          <w:color w:val="auto"/>
        </w:rPr>
      </w:pPr>
      <w:r>
        <w:rPr>
          <w:rFonts w:ascii="Arial" w:cs="Arial" w:eastAsia="Arial" w:hAnsi="Arial"/>
          <w:sz w:val="18"/>
          <w:szCs w:val="18"/>
          <w:color w:val="auto"/>
        </w:rPr>
        <w:t xml:space="preserve">the consent of the Borrower (such consent not to be unreasonably withheld or delayed) shall be required unless (x) an Event of Default has occurred and is continuing at the time of such assignment, or (y) such assignment is to a Lender, an Affiliate of a Lender or an Approved Fund;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Borrower shall be deemed to have consented to any such assignment unless it shall object thereto by written notice to the Administrative Agent within 5 Business Days after having received notice thereof;</w:t>
      </w:r>
    </w:p>
    <w:p>
      <w:pPr>
        <w:spacing w:after="0" w:line="107" w:lineRule="exact"/>
        <w:rPr>
          <w:rFonts w:ascii="Arial" w:cs="Arial" w:eastAsia="Arial" w:hAnsi="Arial"/>
          <w:sz w:val="18"/>
          <w:szCs w:val="18"/>
          <w:color w:val="auto"/>
        </w:rPr>
      </w:pPr>
    </w:p>
    <w:p>
      <w:pPr>
        <w:jc w:val="both"/>
        <w:ind w:firstLine="2600"/>
        <w:spacing w:after="0" w:line="250" w:lineRule="auto"/>
        <w:tabs>
          <w:tab w:leader="none" w:pos="3129" w:val="left"/>
        </w:tabs>
        <w:numPr>
          <w:ilvl w:val="1"/>
          <w:numId w:val="483"/>
        </w:numPr>
        <w:rPr>
          <w:rFonts w:ascii="Arial" w:cs="Arial" w:eastAsia="Arial" w:hAnsi="Arial"/>
          <w:sz w:val="20"/>
          <w:szCs w:val="20"/>
          <w:color w:val="auto"/>
        </w:rPr>
      </w:pPr>
      <w:r>
        <w:rPr>
          <w:rFonts w:ascii="Arial" w:cs="Arial" w:eastAsia="Arial" w:hAnsi="Arial"/>
          <w:sz w:val="20"/>
          <w:szCs w:val="20"/>
          <w:color w:val="auto"/>
        </w:rPr>
        <w:t>the consent of the Administrative Agent (such consent not to be unreasonably withheld or delayed) shall be required for assignments in respect of the Revolving Facility if such assignment is to a Person that is not a Lender with a Revolving Commitment; and</w:t>
      </w:r>
    </w:p>
    <w:p>
      <w:pPr>
        <w:spacing w:after="0" w:line="131" w:lineRule="exact"/>
        <w:rPr>
          <w:rFonts w:ascii="Arial" w:cs="Arial" w:eastAsia="Arial" w:hAnsi="Arial"/>
          <w:sz w:val="20"/>
          <w:szCs w:val="20"/>
          <w:color w:val="auto"/>
        </w:rPr>
      </w:pPr>
    </w:p>
    <w:p>
      <w:pPr>
        <w:ind w:firstLine="2600"/>
        <w:spacing w:after="0" w:line="260" w:lineRule="auto"/>
        <w:tabs>
          <w:tab w:leader="none" w:pos="3153" w:val="left"/>
        </w:tabs>
        <w:numPr>
          <w:ilvl w:val="1"/>
          <w:numId w:val="483"/>
        </w:numPr>
        <w:rPr>
          <w:rFonts w:ascii="Arial" w:cs="Arial" w:eastAsia="Arial" w:hAnsi="Arial"/>
          <w:sz w:val="20"/>
          <w:szCs w:val="20"/>
          <w:color w:val="auto"/>
        </w:rPr>
      </w:pPr>
      <w:r>
        <w:rPr>
          <w:rFonts w:ascii="Arial" w:cs="Arial" w:eastAsia="Arial" w:hAnsi="Arial"/>
          <w:sz w:val="20"/>
          <w:szCs w:val="20"/>
          <w:color w:val="auto"/>
        </w:rPr>
        <w:t>the consent of the Issuing Lender and the Swingline Lender (such consent not to be unreasonably withheld or delayed) shall be required for any assignment in respect of the Revolving Facility.</w:t>
      </w:r>
    </w:p>
    <w:p>
      <w:pPr>
        <w:spacing w:after="0" w:line="122" w:lineRule="exact"/>
        <w:rPr>
          <w:rFonts w:ascii="Arial" w:cs="Arial" w:eastAsia="Arial" w:hAnsi="Arial"/>
          <w:sz w:val="20"/>
          <w:szCs w:val="20"/>
          <w:color w:val="auto"/>
        </w:rPr>
      </w:pPr>
    </w:p>
    <w:p>
      <w:pPr>
        <w:jc w:val="both"/>
        <w:ind w:firstLine="1952"/>
        <w:spacing w:after="0" w:line="282" w:lineRule="auto"/>
        <w:tabs>
          <w:tab w:leader="none" w:pos="2468" w:val="left"/>
        </w:tabs>
        <w:numPr>
          <w:ilvl w:val="0"/>
          <w:numId w:val="484"/>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of $3,500;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Administrative Agent may, in its sole discretion, elect to waive such processing and recordation fee in the case of any assignment</w:t>
      </w:r>
      <w:r>
        <w:rPr>
          <w:rFonts w:ascii="Arial" w:cs="Arial" w:eastAsia="Arial" w:hAnsi="Arial"/>
          <w:sz w:val="18"/>
          <w:szCs w:val="18"/>
          <w:b w:val="1"/>
          <w:bCs w:val="1"/>
          <w:color w:val="auto"/>
        </w:rPr>
        <w:t>.</w:t>
      </w:r>
      <w:r>
        <w:rPr>
          <w:rFonts w:ascii="Arial" w:cs="Arial" w:eastAsia="Arial" w:hAnsi="Arial"/>
          <w:sz w:val="18"/>
          <w:szCs w:val="18"/>
          <w:color w:val="auto"/>
        </w:rPr>
        <w:t xml:space="preserve"> The assignee, if it is not a Lender, shall deliver to the Administrative Agent any such administrative questionnaire as the Administrative Agent may request.</w:t>
      </w:r>
    </w:p>
    <w:p>
      <w:pPr>
        <w:spacing w:after="0" w:line="107" w:lineRule="exact"/>
        <w:rPr>
          <w:rFonts w:ascii="Arial" w:cs="Arial" w:eastAsia="Arial" w:hAnsi="Arial"/>
          <w:sz w:val="18"/>
          <w:szCs w:val="18"/>
          <w:color w:val="auto"/>
        </w:rPr>
      </w:pPr>
    </w:p>
    <w:p>
      <w:pPr>
        <w:jc w:val="both"/>
        <w:ind w:firstLine="1952"/>
        <w:spacing w:after="0" w:line="250" w:lineRule="auto"/>
        <w:tabs>
          <w:tab w:leader="none" w:pos="2480" w:val="left"/>
        </w:tabs>
        <w:numPr>
          <w:ilvl w:val="0"/>
          <w:numId w:val="484"/>
        </w:numPr>
        <w:rPr>
          <w:rFonts w:ascii="Arial" w:cs="Arial" w:eastAsia="Arial" w:hAnsi="Arial"/>
          <w:sz w:val="20"/>
          <w:szCs w:val="20"/>
          <w:color w:val="auto"/>
        </w:rPr>
      </w:pPr>
      <w:r>
        <w:rPr>
          <w:rFonts w:ascii="Arial" w:cs="Arial" w:eastAsia="Arial" w:hAnsi="Arial"/>
          <w:sz w:val="20"/>
          <w:szCs w:val="20"/>
          <w:u w:val="single" w:color="auto"/>
          <w:color w:val="auto"/>
        </w:rPr>
        <w:t>No Assignment to Certain Persons</w:t>
      </w:r>
      <w:r>
        <w:rPr>
          <w:rFonts w:ascii="Arial" w:cs="Arial" w:eastAsia="Arial" w:hAnsi="Arial"/>
          <w:sz w:val="20"/>
          <w:szCs w:val="20"/>
          <w:color w:val="auto"/>
        </w:rPr>
        <w:t>. No such assignment shall be made to (A) the Borrower or any of the Borrower’s Affiliates or Subsidiaries or (B) to any Defaulting Lender or any of its Subsidiaries, or any Person who, upon becoming a Lender hereunder, would constitute any of the foregoing Persons described in this clause (B).</w:t>
      </w:r>
    </w:p>
    <w:p>
      <w:pPr>
        <w:spacing w:after="0" w:line="131" w:lineRule="exact"/>
        <w:rPr>
          <w:rFonts w:ascii="Arial" w:cs="Arial" w:eastAsia="Arial" w:hAnsi="Arial"/>
          <w:sz w:val="20"/>
          <w:szCs w:val="20"/>
          <w:color w:val="auto"/>
        </w:rPr>
      </w:pPr>
    </w:p>
    <w:p>
      <w:pPr>
        <w:ind w:firstLine="1952"/>
        <w:spacing w:after="0" w:line="287" w:lineRule="auto"/>
        <w:tabs>
          <w:tab w:leader="none" w:pos="2535" w:val="left"/>
        </w:tabs>
        <w:numPr>
          <w:ilvl w:val="0"/>
          <w:numId w:val="484"/>
        </w:numPr>
        <w:rPr>
          <w:rFonts w:ascii="Arial" w:cs="Arial" w:eastAsia="Arial" w:hAnsi="Arial"/>
          <w:sz w:val="19"/>
          <w:szCs w:val="19"/>
          <w:color w:val="auto"/>
        </w:rPr>
      </w:pPr>
      <w:r>
        <w:rPr>
          <w:rFonts w:ascii="Arial" w:cs="Arial" w:eastAsia="Arial" w:hAnsi="Arial"/>
          <w:sz w:val="19"/>
          <w:szCs w:val="19"/>
          <w:u w:val="single" w:color="auto"/>
          <w:color w:val="auto"/>
        </w:rPr>
        <w:t>No Assignment to Natural Persons</w:t>
      </w:r>
      <w:r>
        <w:rPr>
          <w:rFonts w:ascii="Arial" w:cs="Arial" w:eastAsia="Arial" w:hAnsi="Arial"/>
          <w:sz w:val="19"/>
          <w:szCs w:val="19"/>
          <w:color w:val="auto"/>
        </w:rPr>
        <w:t>. No such assignment shall be made to a natural Person (or a holding company, investment vehicle or trust established for, or owned and operated for the primary benefit of, a natural Person).</w:t>
      </w:r>
    </w:p>
    <w:p>
      <w:pPr>
        <w:spacing w:after="0" w:line="98" w:lineRule="exact"/>
        <w:rPr>
          <w:rFonts w:ascii="Arial" w:cs="Arial" w:eastAsia="Arial" w:hAnsi="Arial"/>
          <w:sz w:val="19"/>
          <w:szCs w:val="19"/>
          <w:color w:val="auto"/>
        </w:rPr>
      </w:pPr>
    </w:p>
    <w:p>
      <w:pPr>
        <w:jc w:val="both"/>
        <w:ind w:firstLine="1952"/>
        <w:spacing w:after="0" w:line="270" w:lineRule="auto"/>
        <w:tabs>
          <w:tab w:leader="none" w:pos="2509" w:val="left"/>
        </w:tabs>
        <w:numPr>
          <w:ilvl w:val="0"/>
          <w:numId w:val="484"/>
        </w:numPr>
        <w:rPr>
          <w:rFonts w:ascii="Arial" w:cs="Arial" w:eastAsia="Arial" w:hAnsi="Arial"/>
          <w:sz w:val="18"/>
          <w:szCs w:val="18"/>
          <w:color w:val="auto"/>
        </w:rPr>
      </w:pPr>
      <w:r>
        <w:rPr>
          <w:rFonts w:ascii="Arial" w:cs="Arial" w:eastAsia="Arial" w:hAnsi="Arial"/>
          <w:sz w:val="18"/>
          <w:szCs w:val="18"/>
          <w:u w:val="single" w:color="auto"/>
          <w:color w:val="auto"/>
        </w:rPr>
        <w:t>Certain Additional Payments</w:t>
      </w:r>
      <w:r>
        <w:rPr>
          <w:rFonts w:ascii="Arial" w:cs="Arial" w:eastAsia="Arial" w:hAnsi="Arial"/>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Issuing Lender, the Swingline Lender and each other Lender hereunder (and interest accrued thereon), and (y) acquire (and fund as appropriate) its full pro rata share of all Loans and participations in Letters of Credit and Swingline Loans in accordance with its Revolving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2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xml:space="preserve">Subject to acceptance and recording thereof by the Administrative Agent pursuant to paragraph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8"/>
          <w:szCs w:val="18"/>
          <w:u w:val="single" w:color="auto"/>
          <w:color w:val="auto"/>
        </w:rPr>
        <w:t>Sections 2.19</w:t>
      </w:r>
      <w:r>
        <w:rPr>
          <w:rFonts w:ascii="Arial" w:cs="Arial" w:eastAsia="Arial" w:hAnsi="Arial"/>
          <w:sz w:val="18"/>
          <w:szCs w:val="18"/>
          <w:color w:val="auto"/>
        </w:rPr>
        <w:t xml:space="preserve">, </w:t>
      </w:r>
      <w:r>
        <w:rPr>
          <w:rFonts w:ascii="Arial" w:cs="Arial" w:eastAsia="Arial" w:hAnsi="Arial"/>
          <w:sz w:val="18"/>
          <w:szCs w:val="18"/>
          <w:u w:val="single" w:color="auto"/>
          <w:color w:val="auto"/>
        </w:rPr>
        <w:t>2.20</w:t>
      </w:r>
      <w:r>
        <w:rPr>
          <w:rFonts w:ascii="Arial" w:cs="Arial" w:eastAsia="Arial" w:hAnsi="Arial"/>
          <w:sz w:val="18"/>
          <w:szCs w:val="18"/>
          <w:color w:val="auto"/>
        </w:rPr>
        <w:t xml:space="preserve">, </w:t>
      </w:r>
      <w:r>
        <w:rPr>
          <w:rFonts w:ascii="Arial" w:cs="Arial" w:eastAsia="Arial" w:hAnsi="Arial"/>
          <w:sz w:val="18"/>
          <w:szCs w:val="18"/>
          <w:u w:val="single" w:color="auto"/>
          <w:color w:val="auto"/>
        </w:rPr>
        <w:t>2.21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10.5</w:t>
      </w:r>
      <w:r>
        <w:rPr>
          <w:rFonts w:ascii="Arial" w:cs="Arial" w:eastAsia="Arial" w:hAnsi="Arial"/>
          <w:sz w:val="18"/>
          <w:szCs w:val="18"/>
          <w:color w:val="auto"/>
        </w:rPr>
        <w:t xml:space="preserve"> with respect to facts and circumstances occurring prior to the effective date of such</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123</w:t>
      </w:r>
    </w:p>
    <w:p>
      <w:pPr>
        <w:sectPr>
          <w:pgSz w:w="11900" w:h="16838" w:orient="portrait"/>
          <w:cols w:equalWidth="0" w:num="1">
            <w:col w:w="11240"/>
          </w:cols>
          <w:pgMar w:left="320" w:top="770" w:right="339" w:bottom="1440" w:gutter="0" w:footer="0" w:header="0"/>
        </w:sectPr>
      </w:pPr>
    </w:p>
    <w:bookmarkStart w:id="510" w:name="page511"/>
    <w:bookmarkEnd w:id="510"/>
    <w:p>
      <w:pPr>
        <w:jc w:val="both"/>
        <w:spacing w:after="0" w:line="244" w:lineRule="auto"/>
        <w:rPr>
          <w:sz w:val="20"/>
          <w:szCs w:val="20"/>
          <w:color w:val="auto"/>
        </w:rPr>
      </w:pPr>
      <w:r>
        <w:rPr>
          <w:rFonts w:ascii="Arial" w:cs="Arial" w:eastAsia="Arial" w:hAnsi="Arial"/>
          <w:sz w:val="20"/>
          <w:szCs w:val="20"/>
          <w:color w:val="auto"/>
        </w:rPr>
        <w:t xml:space="preserve">assignment; </w:t>
      </w:r>
      <w:r>
        <w:rPr>
          <w:rFonts w:ascii="Arial" w:cs="Arial" w:eastAsia="Arial" w:hAnsi="Arial"/>
          <w:sz w:val="20"/>
          <w:szCs w:val="20"/>
          <w:u w:val="single" w:color="auto"/>
          <w:color w:val="auto"/>
        </w:rPr>
        <w:t>provided</w:t>
      </w:r>
      <w:r>
        <w:rPr>
          <w:rFonts w:ascii="Arial" w:cs="Arial" w:eastAsia="Arial" w:hAnsi="Arial"/>
          <w:sz w:val="20"/>
          <w:szCs w:val="20"/>
          <w:color w:val="auto"/>
        </w:rPr>
        <w:t>,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w:t>
      </w:r>
    </w:p>
    <w:p>
      <w:pPr>
        <w:spacing w:after="0" w:line="140" w:lineRule="exact"/>
        <w:rPr>
          <w:sz w:val="20"/>
          <w:szCs w:val="20"/>
          <w:color w:val="auto"/>
        </w:rPr>
      </w:pPr>
    </w:p>
    <w:p>
      <w:pPr>
        <w:jc w:val="both"/>
        <w:ind w:firstLine="1304"/>
        <w:spacing w:after="0" w:line="257" w:lineRule="auto"/>
        <w:tabs>
          <w:tab w:leader="none" w:pos="1821" w:val="left"/>
        </w:tabs>
        <w:numPr>
          <w:ilvl w:val="1"/>
          <w:numId w:val="485"/>
        </w:numPr>
        <w:rPr>
          <w:rFonts w:ascii="Arial" w:cs="Arial" w:eastAsia="Arial" w:hAnsi="Arial"/>
          <w:sz w:val="19"/>
          <w:szCs w:val="19"/>
          <w:color w:val="auto"/>
        </w:rPr>
      </w:pPr>
      <w:r>
        <w:rPr>
          <w:rFonts w:ascii="Arial" w:cs="Arial" w:eastAsia="Arial" w:hAnsi="Arial"/>
          <w:sz w:val="19"/>
          <w:szCs w:val="19"/>
          <w:u w:val="single" w:color="auto"/>
          <w:color w:val="auto"/>
        </w:rPr>
        <w:t>Register</w:t>
      </w:r>
      <w:r>
        <w:rPr>
          <w:rFonts w:ascii="Arial" w:cs="Arial" w:eastAsia="Arial" w:hAnsi="Arial"/>
          <w:sz w:val="19"/>
          <w:szCs w:val="19"/>
          <w:color w:val="auto"/>
        </w:rPr>
        <w:t>. The Administrative Agent, acting solely for this purpose as a non-fiduciary agent of the Borrower, shall maintain at one of its offices in California a copy of each Assignment and Assumption delivered to it and a register for the recordation of the names and addresses of the Lenders, and the Commitments of, and principal amounts (and stated interest) of the Loans owing to, each Lender pursuant to the terms hereof from time to time (the “</w:t>
      </w:r>
      <w:r>
        <w:rPr>
          <w:rFonts w:ascii="Arial" w:cs="Arial" w:eastAsia="Arial" w:hAnsi="Arial"/>
          <w:sz w:val="19"/>
          <w:szCs w:val="19"/>
          <w:b w:val="1"/>
          <w:bCs w:val="1"/>
          <w:i w:val="1"/>
          <w:iCs w:val="1"/>
          <w:color w:val="auto"/>
        </w:rPr>
        <w:t>Register</w:t>
      </w:r>
      <w:r>
        <w:rPr>
          <w:rFonts w:ascii="Arial" w:cs="Arial" w:eastAsia="Arial" w:hAnsi="Arial"/>
          <w:sz w:val="19"/>
          <w:szCs w:val="19"/>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130" w:lineRule="exact"/>
        <w:rPr>
          <w:rFonts w:ascii="Arial" w:cs="Arial" w:eastAsia="Arial" w:hAnsi="Arial"/>
          <w:sz w:val="19"/>
          <w:szCs w:val="19"/>
          <w:color w:val="auto"/>
        </w:rPr>
      </w:pPr>
    </w:p>
    <w:p>
      <w:pPr>
        <w:jc w:val="both"/>
        <w:ind w:firstLine="1304"/>
        <w:spacing w:after="0" w:line="269" w:lineRule="auto"/>
        <w:tabs>
          <w:tab w:leader="none" w:pos="1778" w:val="left"/>
        </w:tabs>
        <w:numPr>
          <w:ilvl w:val="1"/>
          <w:numId w:val="485"/>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Any Lender may at any time, without the consent of, or notice to, the Borrower or the Administrative Agent, sell participations to any Person (other than a natural Person, a holding company, investment vehicle or trust established for, or owned and operated for the primary benefit of, a natural Person, or the Borrower or any of the Borrower’s Affiliates or Subsidiaries) (each, a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xml:space="preserve">”) in all or a portion of such Lender’s rights and/or obligations under this Agreement (including all or a portion of its Commitment and/or the Loans owing to it);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 such Lender’s obligations under this Agreement shall remain unchanged,</w:t>
      </w:r>
    </w:p>
    <w:p>
      <w:pPr>
        <w:spacing w:after="0" w:line="3" w:lineRule="exact"/>
        <w:rPr>
          <w:rFonts w:ascii="Arial" w:cs="Arial" w:eastAsia="Arial" w:hAnsi="Arial"/>
          <w:sz w:val="18"/>
          <w:szCs w:val="18"/>
          <w:color w:val="auto"/>
        </w:rPr>
      </w:pPr>
    </w:p>
    <w:p>
      <w:pPr>
        <w:jc w:val="both"/>
        <w:ind w:firstLine="8"/>
        <w:spacing w:after="0" w:line="276" w:lineRule="auto"/>
        <w:tabs>
          <w:tab w:leader="none" w:pos="294" w:val="left"/>
        </w:tabs>
        <w:numPr>
          <w:ilvl w:val="0"/>
          <w:numId w:val="486"/>
        </w:numPr>
        <w:rPr>
          <w:rFonts w:ascii="Arial" w:cs="Arial" w:eastAsia="Arial" w:hAnsi="Arial"/>
          <w:sz w:val="18"/>
          <w:szCs w:val="18"/>
          <w:color w:val="auto"/>
        </w:rPr>
      </w:pPr>
      <w:r>
        <w:rPr>
          <w:rFonts w:ascii="Arial" w:cs="Arial" w:eastAsia="Arial" w:hAnsi="Arial"/>
          <w:sz w:val="18"/>
          <w:szCs w:val="18"/>
          <w:color w:val="auto"/>
        </w:rPr>
        <w:t xml:space="preserve">such Lender shall remain solely responsible to the other parties hereto for the performance of such obligations, and (iii) the Borrower, the Administrative Agent, the Issuing Lender and the other Lenders shall continue to deal solely and directly with such Lender in connection with such Lender’s rights and obligations under this Agreement. For the avoidance of doubt, each Lender shall be responsible for the indemnities under </w:t>
      </w:r>
      <w:r>
        <w:rPr>
          <w:rFonts w:ascii="Arial" w:cs="Arial" w:eastAsia="Arial" w:hAnsi="Arial"/>
          <w:sz w:val="18"/>
          <w:szCs w:val="18"/>
          <w:u w:val="single" w:color="auto"/>
          <w:color w:val="auto"/>
        </w:rPr>
        <w:t>Sections 2.20(e)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9.7</w:t>
      </w:r>
      <w:r>
        <w:rPr>
          <w:rFonts w:ascii="Arial" w:cs="Arial" w:eastAsia="Arial" w:hAnsi="Arial"/>
          <w:sz w:val="18"/>
          <w:szCs w:val="18"/>
          <w:color w:val="auto"/>
        </w:rPr>
        <w:t xml:space="preserve"> with respect to any payments made by such Lender to its Participant(s).</w:t>
      </w:r>
    </w:p>
    <w:p>
      <w:pPr>
        <w:spacing w:after="0" w:line="11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such agreement or instrument may provide that such Lender will not, without the consent of the Participant, agree to any amendment, modification or waiver which affects such Participant and for which the consent of such Lender is required (as described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The Borrower agrees that each Participant shall be entitled to the benefits of </w:t>
      </w:r>
      <w:r>
        <w:rPr>
          <w:rFonts w:ascii="Arial" w:cs="Arial" w:eastAsia="Arial" w:hAnsi="Arial"/>
          <w:sz w:val="18"/>
          <w:szCs w:val="18"/>
          <w:u w:val="single" w:color="auto"/>
          <w:color w:val="auto"/>
        </w:rPr>
        <w:t>Sections 2.19</w:t>
      </w:r>
      <w:r>
        <w:rPr>
          <w:rFonts w:ascii="Arial" w:cs="Arial" w:eastAsia="Arial" w:hAnsi="Arial"/>
          <w:sz w:val="18"/>
          <w:szCs w:val="18"/>
          <w:color w:val="auto"/>
        </w:rPr>
        <w:t xml:space="preserve">, </w:t>
      </w:r>
      <w:r>
        <w:rPr>
          <w:rFonts w:ascii="Arial" w:cs="Arial" w:eastAsia="Arial" w:hAnsi="Arial"/>
          <w:sz w:val="18"/>
          <w:szCs w:val="18"/>
          <w:u w:val="single" w:color="auto"/>
          <w:color w:val="auto"/>
        </w:rPr>
        <w:t>2.20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2.21</w:t>
      </w:r>
      <w:r>
        <w:rPr>
          <w:rFonts w:ascii="Arial" w:cs="Arial" w:eastAsia="Arial" w:hAnsi="Arial"/>
          <w:sz w:val="18"/>
          <w:szCs w:val="18"/>
          <w:color w:val="auto"/>
        </w:rPr>
        <w:t xml:space="preserve"> (subject to the requirements and limitations therein, including the requirements under </w:t>
      </w:r>
      <w:r>
        <w:rPr>
          <w:rFonts w:ascii="Arial" w:cs="Arial" w:eastAsia="Arial" w:hAnsi="Arial"/>
          <w:sz w:val="18"/>
          <w:szCs w:val="18"/>
          <w:u w:val="single" w:color="auto"/>
          <w:color w:val="auto"/>
        </w:rPr>
        <w:t>Section 2.20(f)</w:t>
      </w:r>
      <w:r>
        <w:rPr>
          <w:rFonts w:ascii="Arial" w:cs="Arial" w:eastAsia="Arial" w:hAnsi="Arial"/>
          <w:sz w:val="18"/>
          <w:szCs w:val="18"/>
          <w:color w:val="auto"/>
        </w:rPr>
        <w:t xml:space="preserve"> (it being understood that the documentation required under </w:t>
      </w:r>
      <w:r>
        <w:rPr>
          <w:rFonts w:ascii="Arial" w:cs="Arial" w:eastAsia="Arial" w:hAnsi="Arial"/>
          <w:sz w:val="18"/>
          <w:szCs w:val="18"/>
          <w:u w:val="single" w:color="auto"/>
          <w:color w:val="auto"/>
        </w:rPr>
        <w:t>Section 2.20(f)</w:t>
      </w:r>
      <w:r>
        <w:rPr>
          <w:rFonts w:ascii="Arial" w:cs="Arial" w:eastAsia="Arial" w:hAnsi="Arial"/>
          <w:sz w:val="18"/>
          <w:szCs w:val="18"/>
          <w:color w:val="auto"/>
        </w:rPr>
        <w:t xml:space="preserve"> shall be delivered by such Participant to the Lender granting such participation)) to the same extent as if it were a Lender and had acquired its interest by assignment pursuant to </w:t>
      </w:r>
      <w:r>
        <w:rPr>
          <w:rFonts w:ascii="Arial" w:cs="Arial" w:eastAsia="Arial" w:hAnsi="Arial"/>
          <w:sz w:val="18"/>
          <w:szCs w:val="18"/>
          <w:u w:val="single" w:color="auto"/>
          <w:color w:val="auto"/>
        </w:rPr>
        <w:t>Section 10.6(b)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such Participant (A) agrees to be subject to the provisions of </w:t>
      </w:r>
      <w:r>
        <w:rPr>
          <w:rFonts w:ascii="Arial" w:cs="Arial" w:eastAsia="Arial" w:hAnsi="Arial"/>
          <w:sz w:val="18"/>
          <w:szCs w:val="18"/>
          <w:u w:val="single" w:color="auto"/>
          <w:color w:val="auto"/>
        </w:rPr>
        <w:t>Sections 2.23</w:t>
      </w:r>
      <w:r>
        <w:rPr>
          <w:rFonts w:ascii="Arial" w:cs="Arial" w:eastAsia="Arial" w:hAnsi="Arial"/>
          <w:sz w:val="18"/>
          <w:szCs w:val="18"/>
          <w:color w:val="auto"/>
        </w:rPr>
        <w:t xml:space="preserve"> as if it were an assignee under </w:t>
      </w:r>
      <w:r>
        <w:rPr>
          <w:rFonts w:ascii="Arial" w:cs="Arial" w:eastAsia="Arial" w:hAnsi="Arial"/>
          <w:sz w:val="18"/>
          <w:szCs w:val="18"/>
          <w:u w:val="single" w:color="auto"/>
          <w:color w:val="auto"/>
        </w:rPr>
        <w:t>Section 10.6(b)</w:t>
      </w:r>
      <w:r>
        <w:rPr>
          <w:rFonts w:ascii="Arial" w:cs="Arial" w:eastAsia="Arial" w:hAnsi="Arial"/>
          <w:sz w:val="18"/>
          <w:szCs w:val="18"/>
          <w:color w:val="auto"/>
        </w:rPr>
        <w:t xml:space="preserve">; and (B) shall not be entitled to receive any greater payment under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2.19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2.20</w:t>
      </w:r>
      <w:r>
        <w:rPr>
          <w:rFonts w:ascii="Arial" w:cs="Arial" w:eastAsia="Arial" w:hAnsi="Arial"/>
          <w:sz w:val="18"/>
          <w:szCs w:val="18"/>
          <w:color w:val="auto"/>
        </w:rPr>
        <w:t xml:space="preserve">, with respect to any participation, than its participating Lender would have been entitled to receive, except to the extent such entitlement to receive a greater payment results from a change in any Requirement of Law that occurs after the Participant acquired the applicable participation. Each Lender that sells a participation agrees, at the Borrower’s request and expense, to use reasonable efforts to cooperate with the Borrower to effectuate the provisions of </w:t>
      </w:r>
      <w:r>
        <w:rPr>
          <w:rFonts w:ascii="Arial" w:cs="Arial" w:eastAsia="Arial" w:hAnsi="Arial"/>
          <w:sz w:val="18"/>
          <w:szCs w:val="18"/>
          <w:u w:val="single" w:color="auto"/>
          <w:color w:val="auto"/>
        </w:rPr>
        <w:t>Section 2.23</w:t>
      </w:r>
      <w:r>
        <w:rPr>
          <w:rFonts w:ascii="Arial" w:cs="Arial" w:eastAsia="Arial" w:hAnsi="Arial"/>
          <w:sz w:val="18"/>
          <w:szCs w:val="18"/>
          <w:color w:val="auto"/>
        </w:rPr>
        <w:t xml:space="preserve"> with respect to any Participant. To the extent permitted by law, each Participant also shall be entitled to the benefits of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as though it were a Lender;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such Participant agrees to be subject to </w:t>
      </w:r>
      <w:r>
        <w:rPr>
          <w:rFonts w:ascii="Arial" w:cs="Arial" w:eastAsia="Arial" w:hAnsi="Arial"/>
          <w:sz w:val="18"/>
          <w:szCs w:val="18"/>
          <w:u w:val="single" w:color="auto"/>
          <w:color w:val="auto"/>
        </w:rPr>
        <w:t>Section 2.18(k)</w:t>
      </w:r>
      <w:r>
        <w:rPr>
          <w:rFonts w:ascii="Arial" w:cs="Arial" w:eastAsia="Arial" w:hAnsi="Arial"/>
          <w:sz w:val="18"/>
          <w:szCs w:val="18"/>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8"/>
          <w:szCs w:val="18"/>
          <w:b w:val="1"/>
          <w:bCs w:val="1"/>
          <w:i w:val="1"/>
          <w:iCs w:val="1"/>
          <w:color w:val="auto"/>
        </w:rPr>
        <w:t>Participant Register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no Lender shall have any obligation to disclose all or any portion of the Participant Register (including the identity of any Participant or any information relating to a Participant’s interest in any Commitments,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124</w:t>
      </w:r>
    </w:p>
    <w:p>
      <w:pPr>
        <w:sectPr>
          <w:pgSz w:w="11900" w:h="16838" w:orient="portrait"/>
          <w:cols w:equalWidth="0" w:num="1">
            <w:col w:w="11240"/>
          </w:cols>
          <w:pgMar w:left="320" w:top="770" w:right="339" w:bottom="1440" w:gutter="0" w:footer="0" w:header="0"/>
        </w:sectPr>
      </w:pPr>
    </w:p>
    <w:bookmarkStart w:id="511" w:name="page512"/>
    <w:bookmarkEnd w:id="511"/>
    <w:p>
      <w:pPr>
        <w:jc w:val="both"/>
        <w:spacing w:after="0" w:line="259" w:lineRule="auto"/>
        <w:rPr>
          <w:sz w:val="20"/>
          <w:szCs w:val="20"/>
          <w:color w:val="auto"/>
        </w:rPr>
      </w:pPr>
      <w:r>
        <w:rPr>
          <w:rFonts w:ascii="Arial" w:cs="Arial" w:eastAsia="Arial" w:hAnsi="Arial"/>
          <w:sz w:val="19"/>
          <w:szCs w:val="19"/>
          <w:color w:val="auto"/>
        </w:rPr>
        <w:t>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24" w:lineRule="exact"/>
        <w:rPr>
          <w:sz w:val="20"/>
          <w:szCs w:val="20"/>
          <w:color w:val="auto"/>
        </w:rPr>
      </w:pPr>
    </w:p>
    <w:p>
      <w:pPr>
        <w:jc w:val="both"/>
        <w:ind w:firstLine="1304"/>
        <w:spacing w:after="0" w:line="246" w:lineRule="auto"/>
        <w:tabs>
          <w:tab w:leader="none" w:pos="1713" w:val="left"/>
        </w:tabs>
        <w:numPr>
          <w:ilvl w:val="0"/>
          <w:numId w:val="487"/>
        </w:numPr>
        <w:rPr>
          <w:rFonts w:ascii="Arial" w:cs="Arial" w:eastAsia="Arial" w:hAnsi="Arial"/>
          <w:sz w:val="20"/>
          <w:szCs w:val="20"/>
          <w:color w:val="auto"/>
        </w:rPr>
      </w:pPr>
      <w:r>
        <w:rPr>
          <w:rFonts w:ascii="Arial" w:cs="Arial" w:eastAsia="Arial" w:hAnsi="Arial"/>
          <w:sz w:val="20"/>
          <w:szCs w:val="20"/>
          <w:u w:val="single" w:color="auto"/>
          <w:color w:val="auto"/>
        </w:rPr>
        <w:t>Certain Pledges</w:t>
      </w:r>
      <w:r>
        <w:rPr>
          <w:rFonts w:ascii="Arial" w:cs="Arial" w:eastAsia="Arial" w:hAnsi="Arial"/>
          <w:sz w:val="20"/>
          <w:szCs w:val="20"/>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no such pledge or assignment shall release such Lender from any of its obligations hereunder or substitute any such pledgee or assignee for such Lender as a party hereto.</w:t>
      </w:r>
    </w:p>
    <w:p>
      <w:pPr>
        <w:spacing w:after="0" w:line="137" w:lineRule="exact"/>
        <w:rPr>
          <w:rFonts w:ascii="Arial" w:cs="Arial" w:eastAsia="Arial" w:hAnsi="Arial"/>
          <w:sz w:val="20"/>
          <w:szCs w:val="20"/>
          <w:color w:val="auto"/>
        </w:rPr>
      </w:pPr>
    </w:p>
    <w:p>
      <w:pPr>
        <w:ind w:right="20" w:firstLine="1304"/>
        <w:spacing w:after="0" w:line="260" w:lineRule="auto"/>
        <w:tabs>
          <w:tab w:leader="none" w:pos="1705" w:val="left"/>
        </w:tabs>
        <w:numPr>
          <w:ilvl w:val="0"/>
          <w:numId w:val="487"/>
        </w:numPr>
        <w:rPr>
          <w:rFonts w:ascii="Arial" w:cs="Arial" w:eastAsia="Arial" w:hAnsi="Arial"/>
          <w:sz w:val="20"/>
          <w:szCs w:val="20"/>
          <w:color w:val="auto"/>
        </w:rPr>
      </w:pPr>
      <w:r>
        <w:rPr>
          <w:rFonts w:ascii="Arial" w:cs="Arial" w:eastAsia="Arial" w:hAnsi="Arial"/>
          <w:sz w:val="20"/>
          <w:szCs w:val="20"/>
          <w:u w:val="single" w:color="auto"/>
          <w:color w:val="auto"/>
        </w:rPr>
        <w:t>Notes</w:t>
      </w:r>
      <w:r>
        <w:rPr>
          <w:rFonts w:ascii="Arial" w:cs="Arial" w:eastAsia="Arial" w:hAnsi="Arial"/>
          <w:sz w:val="20"/>
          <w:szCs w:val="20"/>
          <w:color w:val="auto"/>
        </w:rPr>
        <w:t xml:space="preserve">. The Borrower, upon receipt by the Borrower of written notice from the relevant Lender, agrees to issue Notes to any Lender requiring Notes to facilitate transactions of the type described in </w:t>
      </w:r>
      <w:r>
        <w:rPr>
          <w:rFonts w:ascii="Arial" w:cs="Arial" w:eastAsia="Arial" w:hAnsi="Arial"/>
          <w:sz w:val="20"/>
          <w:szCs w:val="20"/>
          <w:u w:val="single" w:color="auto"/>
          <w:color w:val="auto"/>
        </w:rPr>
        <w:t>Section 10.6</w:t>
      </w:r>
      <w:r>
        <w:rPr>
          <w:rFonts w:ascii="Arial" w:cs="Arial" w:eastAsia="Arial" w:hAnsi="Arial"/>
          <w:sz w:val="20"/>
          <w:szCs w:val="20"/>
          <w:color w:val="auto"/>
        </w:rPr>
        <w:t>.</w:t>
      </w:r>
    </w:p>
    <w:p>
      <w:pPr>
        <w:spacing w:after="0" w:line="122" w:lineRule="exact"/>
        <w:rPr>
          <w:rFonts w:ascii="Arial" w:cs="Arial" w:eastAsia="Arial" w:hAnsi="Arial"/>
          <w:sz w:val="20"/>
          <w:szCs w:val="20"/>
          <w:color w:val="auto"/>
        </w:rPr>
      </w:pPr>
    </w:p>
    <w:p>
      <w:pPr>
        <w:jc w:val="both"/>
        <w:ind w:firstLine="1304"/>
        <w:spacing w:after="0" w:line="274" w:lineRule="auto"/>
        <w:tabs>
          <w:tab w:leader="none" w:pos="1738" w:val="left"/>
        </w:tabs>
        <w:numPr>
          <w:ilvl w:val="0"/>
          <w:numId w:val="48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Lenders</w:t>
      </w:r>
      <w:r>
        <w:rPr>
          <w:rFonts w:ascii="Arial" w:cs="Arial" w:eastAsia="Arial" w:hAnsi="Arial"/>
          <w:sz w:val="18"/>
          <w:szCs w:val="18"/>
          <w:color w:val="auto"/>
        </w:rPr>
        <w:t xml:space="preserve">. Each Lender, upon execution and delivery hereof or upon succeeding to an interest in the Commitments or Loans, as the case may be, represents and warrants as of the Closing Date or as of the effective date of the applicable Assignment and Assumption that (i) it is an Eligible Assignee; (ii) it has experience and expertise in the making of or investing in commitments, loans or investments such as the Commitments and Loans; and (iii) it will make or invest in its Commitments and Loans for its own account in the ordinary course of its business and without a view to distribution of such Commitments and Loans within the meaning of the Securities Act or the Exchange Act, or other federal securities laws (it being understood that, subject to the provisions of this </w:t>
      </w:r>
      <w:r>
        <w:rPr>
          <w:rFonts w:ascii="Arial" w:cs="Arial" w:eastAsia="Arial" w:hAnsi="Arial"/>
          <w:sz w:val="18"/>
          <w:szCs w:val="18"/>
          <w:u w:val="single" w:color="auto"/>
          <w:color w:val="auto"/>
        </w:rPr>
        <w:t>Section 10.6</w:t>
      </w:r>
      <w:r>
        <w:rPr>
          <w:rFonts w:ascii="Arial" w:cs="Arial" w:eastAsia="Arial" w:hAnsi="Arial"/>
          <w:sz w:val="18"/>
          <w:szCs w:val="18"/>
          <w:color w:val="auto"/>
        </w:rPr>
        <w:t>, the disposition of such Commitments and Loans or any interests therein shall at all times remain within its exclusive control).</w:t>
      </w:r>
    </w:p>
    <w:p>
      <w:pPr>
        <w:spacing w:after="0" w:line="108"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10.7</w:t>
      </w:r>
      <w:r>
        <w:rPr>
          <w:sz w:val="20"/>
          <w:szCs w:val="20"/>
          <w:color w:val="auto"/>
        </w:rPr>
        <w:tab/>
      </w:r>
      <w:r>
        <w:rPr>
          <w:rFonts w:ascii="Arial" w:cs="Arial" w:eastAsia="Arial" w:hAnsi="Arial"/>
          <w:sz w:val="16"/>
          <w:szCs w:val="16"/>
          <w:b w:val="1"/>
          <w:bCs w:val="1"/>
          <w:color w:val="auto"/>
        </w:rPr>
        <w:t>Adjustments; Set-off</w:t>
      </w:r>
      <w:r>
        <w:rPr>
          <w:rFonts w:ascii="Arial" w:cs="Arial" w:eastAsia="Arial" w:hAnsi="Arial"/>
          <w:sz w:val="16"/>
          <w:szCs w:val="16"/>
          <w:color w:val="auto"/>
        </w:rPr>
        <w:t>.</w:t>
      </w:r>
    </w:p>
    <w:p>
      <w:pPr>
        <w:spacing w:after="0" w:line="168" w:lineRule="exact"/>
        <w:rPr>
          <w:sz w:val="20"/>
          <w:szCs w:val="20"/>
          <w:color w:val="auto"/>
        </w:rPr>
      </w:pPr>
    </w:p>
    <w:p>
      <w:pPr>
        <w:jc w:val="both"/>
        <w:ind w:firstLine="1304"/>
        <w:spacing w:after="0" w:line="255" w:lineRule="auto"/>
        <w:tabs>
          <w:tab w:leader="none" w:pos="1720" w:val="left"/>
        </w:tabs>
        <w:numPr>
          <w:ilvl w:val="0"/>
          <w:numId w:val="488"/>
        </w:numPr>
        <w:rPr>
          <w:rFonts w:ascii="Arial" w:cs="Arial" w:eastAsia="Arial" w:hAnsi="Arial"/>
          <w:sz w:val="19"/>
          <w:szCs w:val="19"/>
          <w:color w:val="auto"/>
        </w:rPr>
      </w:pPr>
      <w:r>
        <w:rPr>
          <w:rFonts w:ascii="Arial" w:cs="Arial" w:eastAsia="Arial" w:hAnsi="Arial"/>
          <w:sz w:val="19"/>
          <w:szCs w:val="19"/>
          <w:color w:val="auto"/>
        </w:rPr>
        <w:t>Except to the extent that this Agreement expressly provides for payments to be allocated to a particular Lender or to the Lenders under a particular Facility, if any Lender (a “</w:t>
      </w:r>
      <w:r>
        <w:rPr>
          <w:rFonts w:ascii="Arial" w:cs="Arial" w:eastAsia="Arial" w:hAnsi="Arial"/>
          <w:sz w:val="19"/>
          <w:szCs w:val="19"/>
          <w:b w:val="1"/>
          <w:bCs w:val="1"/>
          <w:i w:val="1"/>
          <w:iCs w:val="1"/>
          <w:color w:val="auto"/>
        </w:rPr>
        <w:t>Benefitted Lender</w:t>
      </w:r>
      <w:r>
        <w:rPr>
          <w:rFonts w:ascii="Arial" w:cs="Arial" w:eastAsia="Arial" w:hAnsi="Arial"/>
          <w:sz w:val="19"/>
          <w:szCs w:val="19"/>
          <w:color w:val="auto"/>
        </w:rPr>
        <w:t xml:space="preserve">”) shall receive any payment of all or part of the Obligations owing to it, or receive any collateral in respect thereof (whether voluntarily or involuntarily, by setoff, pursuant to events or proceedings of the nature referred to in </w:t>
      </w:r>
      <w:r>
        <w:rPr>
          <w:rFonts w:ascii="Arial" w:cs="Arial" w:eastAsia="Arial" w:hAnsi="Arial"/>
          <w:sz w:val="19"/>
          <w:szCs w:val="19"/>
          <w:u w:val="single" w:color="auto"/>
          <w:color w:val="auto"/>
        </w:rPr>
        <w:t>Section 8.1(f)</w:t>
      </w:r>
      <w:r>
        <w:rPr>
          <w:rFonts w:ascii="Arial" w:cs="Arial" w:eastAsia="Arial" w:hAnsi="Arial"/>
          <w:sz w:val="19"/>
          <w:szCs w:val="19"/>
          <w:color w:val="auto"/>
        </w:rPr>
        <w:t xml:space="preserve">, or otherwise), in a greater proportion than any such payment to or collateral received by any other Lender, if any, in respect of the Obligations owing to such other Lender, such Benefitted Lender shall purchase for cash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if all or any portion of such excess payment or benefits is thereafter recovered from such Benefitted Lender, such purchase shall be rescinded, and the purchase price and benefits returned, to the extent of such recovery, but without interest.</w:t>
      </w:r>
    </w:p>
    <w:p>
      <w:pPr>
        <w:spacing w:after="0" w:line="135" w:lineRule="exact"/>
        <w:rPr>
          <w:rFonts w:ascii="Arial" w:cs="Arial" w:eastAsia="Arial" w:hAnsi="Arial"/>
          <w:sz w:val="19"/>
          <w:szCs w:val="19"/>
          <w:color w:val="auto"/>
        </w:rPr>
      </w:pPr>
    </w:p>
    <w:p>
      <w:pPr>
        <w:jc w:val="both"/>
        <w:ind w:firstLine="1304"/>
        <w:spacing w:after="0" w:line="257" w:lineRule="auto"/>
        <w:tabs>
          <w:tab w:leader="none" w:pos="1741" w:val="left"/>
        </w:tabs>
        <w:numPr>
          <w:ilvl w:val="0"/>
          <w:numId w:val="488"/>
        </w:numPr>
        <w:rPr>
          <w:rFonts w:ascii="Arial" w:cs="Arial" w:eastAsia="Arial" w:hAnsi="Arial"/>
          <w:sz w:val="19"/>
          <w:szCs w:val="19"/>
          <w:color w:val="auto"/>
        </w:rPr>
      </w:pPr>
      <w:r>
        <w:rPr>
          <w:rFonts w:ascii="Arial" w:cs="Arial" w:eastAsia="Arial" w:hAnsi="Arial"/>
          <w:sz w:val="19"/>
          <w:szCs w:val="19"/>
          <w:color w:val="auto"/>
        </w:rPr>
        <w:t>Upon (i) the occurrence and during the continuance of any Event of Default and (ii) obtaining the prior written consent of the Administrative Agent, each Lender and each of its Affiliates is hereby authorized at any time and from time to time, without prior notice to the Borrower or any other Loan Party, any such notice being expressly waived by the Borrower and each Loan Party, to the fullest extent permitted by applicable law, to set off and apply any and all deposits (general or special, time or demand, provisional or final), in any currency, at any time held or owing, and any other credits, indebtedness, claims or obligations, in any currency, in each case whether direct or indirect, absolute or contingent, matured or unmatured, at any time held or owing by such Lender, its Affiliates or any branch or agency thereof to or for the credit or the account of the Borrower or any other Loan Party, as the case may be, against any and all of the obligations of the Borrower or such other Loan Party now or hereafter</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125</w:t>
      </w:r>
    </w:p>
    <w:p>
      <w:pPr>
        <w:sectPr>
          <w:pgSz w:w="11900" w:h="16838" w:orient="portrait"/>
          <w:cols w:equalWidth="0" w:num="1">
            <w:col w:w="11240"/>
          </w:cols>
          <w:pgMar w:left="320" w:top="770" w:right="339" w:bottom="1440" w:gutter="0" w:footer="0" w:header="0"/>
        </w:sectPr>
      </w:pPr>
    </w:p>
    <w:bookmarkStart w:id="512" w:name="page513"/>
    <w:bookmarkEnd w:id="512"/>
    <w:p>
      <w:pPr>
        <w:jc w:val="both"/>
        <w:spacing w:after="0" w:line="270" w:lineRule="auto"/>
        <w:rPr>
          <w:sz w:val="20"/>
          <w:szCs w:val="20"/>
          <w:color w:val="auto"/>
        </w:rPr>
      </w:pPr>
      <w:r>
        <w:rPr>
          <w:rFonts w:ascii="Arial" w:cs="Arial" w:eastAsia="Arial" w:hAnsi="Arial"/>
          <w:sz w:val="18"/>
          <w:szCs w:val="18"/>
          <w:color w:val="auto"/>
        </w:rPr>
        <w:t xml:space="preserve">existing under this Agreement or any other Loan Document to such Lender or its Affiliates, irrespective of whether or not such Lender or Affiliate shall have made any demand under this Agreement or any other Loan Document and although such obligations of the Borrower or such other Loan Party may be contingent or unmatured or are owed to a branch, office or Affiliate of such Lender different from the branch, office or Affiliate holding such deposit or obligated on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any Defaulting Lender or any of its Affiliates shall exercise any such right of setoff, (x) all amounts so set off shall be paid over immediately to the Administrative Agent for further application in accordance with the provisions of </w:t>
      </w:r>
      <w:r>
        <w:rPr>
          <w:rFonts w:ascii="Arial" w:cs="Arial" w:eastAsia="Arial" w:hAnsi="Arial"/>
          <w:sz w:val="18"/>
          <w:szCs w:val="18"/>
          <w:u w:val="single" w:color="auto"/>
          <w:color w:val="auto"/>
        </w:rPr>
        <w:t>Section 2.23</w:t>
      </w:r>
      <w:r>
        <w:rPr>
          <w:rFonts w:ascii="Arial" w:cs="Arial" w:eastAsia="Arial" w:hAnsi="Arial"/>
          <w:sz w:val="18"/>
          <w:szCs w:val="18"/>
          <w:color w:val="auto"/>
        </w:rPr>
        <w:t xml:space="preserve"> and, pending such payment, shall be segregated by such Defaulting Lender or Affiliate thereof from its other funds and deemed held in trust for the benefit of the Administrative Agent and the Lenders, and (y) the Defaulting Lender shall provide promptly to the Administrative Agent a statement describing in reasonable detail the Obligations owing to such Defaulting Lender or Affiliate thereof as to which it exercised such right of setoff. Each Lender agrees to notify the Borrower and the Administrative Agent promptly after any such setoff and application made by such Lender or any of its Affiliates;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failure to give such notice shall not affect the validity of such setoff and application. The rights of each Lender and its Affiliates under this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are in addition to other rights and remedies (including other rights of set-off) which such Lender or its Affiliates may have.</w:t>
      </w:r>
    </w:p>
    <w:p>
      <w:pPr>
        <w:spacing w:after="0" w:line="1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b w:val="1"/>
          <w:bCs w:val="1"/>
          <w:color w:val="auto"/>
        </w:rPr>
        <w:t>10.8 Payments Set Aside</w:t>
      </w:r>
      <w:r>
        <w:rPr>
          <w:rFonts w:ascii="Arial" w:cs="Arial" w:eastAsia="Arial" w:hAnsi="Arial"/>
          <w:sz w:val="18"/>
          <w:szCs w:val="18"/>
          <w:color w:val="auto"/>
        </w:rPr>
        <w:t>. To the extent that any payment by or on behalf of the Borrower is made to the Administrative Agent or</w:t>
      </w:r>
      <w:r>
        <w:rPr>
          <w:rFonts w:ascii="Arial" w:cs="Arial" w:eastAsia="Arial" w:hAnsi="Arial"/>
          <w:sz w:val="18"/>
          <w:szCs w:val="18"/>
          <w:b w:val="1"/>
          <w:bCs w:val="1"/>
          <w:color w:val="auto"/>
        </w:rPr>
        <w:t xml:space="preserve"> </w:t>
      </w:r>
      <w:r>
        <w:rPr>
          <w:rFonts w:ascii="Arial" w:cs="Arial" w:eastAsia="Arial" w:hAnsi="Arial"/>
          <w:sz w:val="18"/>
          <w:szCs w:val="18"/>
          <w:color w:val="auto"/>
        </w:rPr>
        <w:t>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Insolvency Proceeding or otherwise, then (a) to the extent of such recovery, the obligation or part thereof originally intended to be satisfied shall be revived and continued in full force and effect as if such payment had not been made or such setoff had not occurred, and</w:t>
      </w:r>
    </w:p>
    <w:p>
      <w:pPr>
        <w:spacing w:after="0" w:line="2" w:lineRule="exact"/>
        <w:rPr>
          <w:sz w:val="20"/>
          <w:szCs w:val="20"/>
          <w:color w:val="auto"/>
        </w:rPr>
      </w:pPr>
    </w:p>
    <w:p>
      <w:pPr>
        <w:jc w:val="both"/>
        <w:ind w:firstLine="8"/>
        <w:spacing w:after="0" w:line="241" w:lineRule="auto"/>
        <w:tabs>
          <w:tab w:leader="none" w:pos="281" w:val="left"/>
        </w:tabs>
        <w:numPr>
          <w:ilvl w:val="0"/>
          <w:numId w:val="489"/>
        </w:numPr>
        <w:rPr>
          <w:rFonts w:ascii="Arial" w:cs="Arial" w:eastAsia="Arial" w:hAnsi="Arial"/>
          <w:sz w:val="20"/>
          <w:szCs w:val="20"/>
          <w:color w:val="auto"/>
        </w:rPr>
      </w:pPr>
      <w:r>
        <w:rPr>
          <w:rFonts w:ascii="Arial" w:cs="Arial" w:eastAsia="Arial" w:hAnsi="Arial"/>
          <w:sz w:val="20"/>
          <w:szCs w:val="20"/>
          <w:color w:val="auto"/>
        </w:rPr>
        <w:t xml:space="preserve">each Lender severally agrees to pay to the Administrative Agent upon demand its applicable share (without duplication) of any amount so recovered from or repaid by the Administrative Agent,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interest thereon from the date of such demand to the date such payment is made at a rate per annum equal to the Federal Funds Effective Rate from time to time in effect. The obligations of the Lenders under clause (b) of the preceding sentence shall survive the Discharge of Obligations.</w:t>
      </w:r>
    </w:p>
    <w:p>
      <w:pPr>
        <w:spacing w:after="0" w:line="13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b w:val="1"/>
          <w:bCs w:val="1"/>
          <w:color w:val="auto"/>
        </w:rPr>
        <w:t>10.9 Interest Rate Limitation</w:t>
      </w:r>
      <w:r>
        <w:rPr>
          <w:rFonts w:ascii="Arial" w:cs="Arial" w:eastAsia="Arial" w:hAnsi="Arial"/>
          <w:sz w:val="19"/>
          <w:szCs w:val="19"/>
          <w:color w:val="auto"/>
        </w:rPr>
        <w:t>. Notwithstanding anything to the contrary contained in any Loan Document, the interest paid or</w:t>
      </w:r>
      <w:r>
        <w:rPr>
          <w:rFonts w:ascii="Arial" w:cs="Arial" w:eastAsia="Arial" w:hAnsi="Arial"/>
          <w:sz w:val="19"/>
          <w:szCs w:val="19"/>
          <w:b w:val="1"/>
          <w:bCs w:val="1"/>
          <w:color w:val="auto"/>
        </w:rPr>
        <w:t xml:space="preserve"> </w:t>
      </w:r>
      <w:r>
        <w:rPr>
          <w:rFonts w:ascii="Arial" w:cs="Arial" w:eastAsia="Arial" w:hAnsi="Arial"/>
          <w:sz w:val="19"/>
          <w:szCs w:val="19"/>
          <w:color w:val="auto"/>
        </w:rPr>
        <w:t>agreed to be paid under the Loan Documents shall not exceed the maximum rate of non-usurious interest permitted by applicable law (the “</w:t>
      </w:r>
      <w:r>
        <w:rPr>
          <w:rFonts w:ascii="Arial" w:cs="Arial" w:eastAsia="Arial" w:hAnsi="Arial"/>
          <w:sz w:val="19"/>
          <w:szCs w:val="19"/>
          <w:b w:val="1"/>
          <w:bCs w:val="1"/>
          <w:i w:val="1"/>
          <w:iCs w:val="1"/>
          <w:color w:val="auto"/>
        </w:rPr>
        <w:t>Maximum Rate</w:t>
      </w:r>
      <w:r>
        <w:rPr>
          <w:rFonts w:ascii="Arial" w:cs="Arial" w:eastAsia="Arial" w:hAnsi="Arial"/>
          <w:sz w:val="19"/>
          <w:szCs w:val="19"/>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1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10.10</w:t>
      </w:r>
      <w:r>
        <w:rPr>
          <w:sz w:val="20"/>
          <w:szCs w:val="20"/>
          <w:color w:val="auto"/>
        </w:rPr>
        <w:tab/>
      </w:r>
      <w:r>
        <w:rPr>
          <w:rFonts w:ascii="Arial" w:cs="Arial" w:eastAsia="Arial" w:hAnsi="Arial"/>
          <w:sz w:val="16"/>
          <w:szCs w:val="16"/>
          <w:b w:val="1"/>
          <w:bCs w:val="1"/>
          <w:color w:val="auto"/>
        </w:rPr>
        <w:t>Counterparts; Electronic Execution of Assignments</w:t>
      </w:r>
      <w:r>
        <w:rPr>
          <w:rFonts w:ascii="Arial" w:cs="Arial" w:eastAsia="Arial" w:hAnsi="Arial"/>
          <w:sz w:val="16"/>
          <w:szCs w:val="16"/>
          <w:color w:val="auto"/>
        </w:rPr>
        <w:t>.</w:t>
      </w:r>
    </w:p>
    <w:p>
      <w:pPr>
        <w:spacing w:after="0" w:line="168" w:lineRule="exact"/>
        <w:rPr>
          <w:sz w:val="20"/>
          <w:szCs w:val="20"/>
          <w:color w:val="auto"/>
        </w:rPr>
      </w:pPr>
    </w:p>
    <w:p>
      <w:pPr>
        <w:jc w:val="both"/>
        <w:ind w:firstLine="1304"/>
        <w:spacing w:after="0" w:line="244" w:lineRule="auto"/>
        <w:tabs>
          <w:tab w:leader="none" w:pos="1867" w:val="left"/>
        </w:tabs>
        <w:numPr>
          <w:ilvl w:val="0"/>
          <w:numId w:val="490"/>
        </w:numPr>
        <w:rPr>
          <w:rFonts w:ascii="Arial" w:cs="Arial" w:eastAsia="Arial" w:hAnsi="Arial"/>
          <w:sz w:val="20"/>
          <w:szCs w:val="20"/>
          <w:color w:val="auto"/>
        </w:rPr>
      </w:pPr>
      <w:r>
        <w:rPr>
          <w:rFonts w:ascii="Arial" w:cs="Arial" w:eastAsia="Arial" w:hAnsi="Arial"/>
          <w:sz w:val="20"/>
          <w:szCs w:val="20"/>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mail transmission shall be effective as delivery of an original executed counterpart hereof. A set of the copies of this Agreement signed by all the parties shall be lodged with the Borrower and the Administrative Agent.</w:t>
      </w:r>
    </w:p>
    <w:p>
      <w:pPr>
        <w:spacing w:after="0" w:line="140" w:lineRule="exact"/>
        <w:rPr>
          <w:rFonts w:ascii="Arial" w:cs="Arial" w:eastAsia="Arial" w:hAnsi="Arial"/>
          <w:sz w:val="20"/>
          <w:szCs w:val="20"/>
          <w:color w:val="auto"/>
        </w:rPr>
      </w:pPr>
    </w:p>
    <w:p>
      <w:pPr>
        <w:jc w:val="both"/>
        <w:ind w:firstLine="1304"/>
        <w:spacing w:after="0" w:line="250" w:lineRule="auto"/>
        <w:tabs>
          <w:tab w:leader="none" w:pos="1778" w:val="left"/>
        </w:tabs>
        <w:numPr>
          <w:ilvl w:val="0"/>
          <w:numId w:val="490"/>
        </w:numPr>
        <w:rPr>
          <w:rFonts w:ascii="Arial" w:cs="Arial" w:eastAsia="Arial" w:hAnsi="Arial"/>
          <w:sz w:val="20"/>
          <w:szCs w:val="20"/>
          <w:color w:val="auto"/>
        </w:rPr>
      </w:pPr>
      <w:r>
        <w:rPr>
          <w:rFonts w:ascii="Arial" w:cs="Arial" w:eastAsia="Arial" w:hAnsi="Arial"/>
          <w:sz w:val="20"/>
          <w:szCs w:val="20"/>
          <w:color w:val="auto"/>
        </w:rPr>
        <w:t>The words “execution,” “signed,” “signature,” and words of like import in any Assignment and Assumption shall be deemed to include electronic signatures or the keeping of records in electronic form, each of which shall be of the same legal effect, validity or enforceability as a manually</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126</w:t>
      </w:r>
    </w:p>
    <w:p>
      <w:pPr>
        <w:sectPr>
          <w:pgSz w:w="11900" w:h="16838" w:orient="portrait"/>
          <w:cols w:equalWidth="0" w:num="1">
            <w:col w:w="11240"/>
          </w:cols>
          <w:pgMar w:left="320" w:top="770" w:right="339" w:bottom="1440" w:gutter="0" w:footer="0" w:header="0"/>
        </w:sectPr>
      </w:pPr>
    </w:p>
    <w:bookmarkStart w:id="513" w:name="page514"/>
    <w:bookmarkEnd w:id="513"/>
    <w:p>
      <w:pPr>
        <w:jc w:val="both"/>
        <w:spacing w:after="0" w:line="250" w:lineRule="auto"/>
        <w:rPr>
          <w:sz w:val="20"/>
          <w:szCs w:val="20"/>
          <w:color w:val="auto"/>
        </w:rPr>
      </w:pPr>
      <w:r>
        <w:rPr>
          <w:rFonts w:ascii="Arial" w:cs="Arial" w:eastAsia="Arial" w:hAnsi="Arial"/>
          <w:sz w:val="20"/>
          <w:szCs w:val="20"/>
          <w:color w:val="auto"/>
        </w:rPr>
        <w:t>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2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color w:val="auto"/>
        </w:rPr>
        <w:t>10.11 Severability</w:t>
      </w:r>
      <w:r>
        <w:rPr>
          <w:rFonts w:ascii="Arial" w:cs="Arial" w:eastAsia="Arial" w:hAnsi="Arial"/>
          <w:sz w:val="20"/>
          <w:szCs w:val="20"/>
          <w:color w:val="auto"/>
        </w:rPr>
        <w:t>. Any provision of this Agreement that is prohibited or unenforceable in any jurisdiction shall, as to such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Without limiting the foregoing provisions of this </w:t>
      </w:r>
      <w:r>
        <w:rPr>
          <w:rFonts w:ascii="Arial" w:cs="Arial" w:eastAsia="Arial" w:hAnsi="Arial"/>
          <w:sz w:val="20"/>
          <w:szCs w:val="20"/>
          <w:u w:val="single" w:color="auto"/>
          <w:color w:val="auto"/>
        </w:rPr>
        <w:t>Section 10.11</w:t>
      </w:r>
      <w:r>
        <w:rPr>
          <w:rFonts w:ascii="Arial" w:cs="Arial" w:eastAsia="Arial" w:hAnsi="Arial"/>
          <w:sz w:val="20"/>
          <w:szCs w:val="20"/>
          <w:color w:val="auto"/>
        </w:rPr>
        <w:t>, if and to the extent that the enforceability of any provisions in this Agreement relating to Defaulting Lenders shall be limited under or in connection with any Insolvency Proceeding, as determined in good faith by the Administrative Agent or the Issuing Lender, as applicable, then such provisions shall be deemed to be in effect only to the extent not so limited.</w:t>
      </w:r>
    </w:p>
    <w:p>
      <w:pPr>
        <w:spacing w:after="0" w:line="13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10.12 Integration</w:t>
      </w:r>
      <w:r>
        <w:rPr>
          <w:rFonts w:ascii="Arial" w:cs="Arial" w:eastAsia="Arial" w:hAnsi="Arial"/>
          <w:sz w:val="20"/>
          <w:szCs w:val="20"/>
          <w:color w:val="auto"/>
        </w:rPr>
        <w:t>. This Agreement and the other Loan Documents represent the entire agreement of the Borrower, the other Loan</w:t>
      </w:r>
      <w:r>
        <w:rPr>
          <w:rFonts w:ascii="Arial" w:cs="Arial" w:eastAsia="Arial" w:hAnsi="Arial"/>
          <w:sz w:val="20"/>
          <w:szCs w:val="20"/>
          <w:b w:val="1"/>
          <w:bCs w:val="1"/>
          <w:color w:val="auto"/>
        </w:rPr>
        <w:t xml:space="preserve"> </w:t>
      </w:r>
      <w:r>
        <w:rPr>
          <w:rFonts w:ascii="Arial" w:cs="Arial" w:eastAsia="Arial" w:hAnsi="Arial"/>
          <w:sz w:val="20"/>
          <w:szCs w:val="20"/>
          <w:color w:val="auto"/>
        </w:rPr>
        <w:t>Parties, the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or in the other Loan Documents.</w:t>
      </w:r>
    </w:p>
    <w:p>
      <w:pPr>
        <w:spacing w:after="0" w:line="129"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20"/>
          <w:szCs w:val="20"/>
          <w:b w:val="1"/>
          <w:bCs w:val="1"/>
          <w:color w:val="auto"/>
        </w:rPr>
        <w:t>10.13</w:t>
      </w:r>
      <w:r>
        <w:rPr>
          <w:sz w:val="20"/>
          <w:szCs w:val="20"/>
          <w:color w:val="auto"/>
        </w:rPr>
        <w:tab/>
      </w:r>
      <w:r>
        <w:rPr>
          <w:rFonts w:ascii="Arial" w:cs="Arial" w:eastAsia="Arial" w:hAnsi="Arial"/>
          <w:sz w:val="20"/>
          <w:szCs w:val="20"/>
          <w:b w:val="1"/>
          <w:bCs w:val="1"/>
          <w:color w:val="auto"/>
        </w:rPr>
        <w:t>GOVERNING  LAW</w:t>
      </w:r>
      <w:r>
        <w:rPr>
          <w:rFonts w:ascii="Arial" w:cs="Arial" w:eastAsia="Arial" w:hAnsi="Arial"/>
          <w:sz w:val="20"/>
          <w:szCs w:val="20"/>
          <w:color w:val="auto"/>
        </w:rPr>
        <w:t>.</w:t>
      </w:r>
      <w:r>
        <w:rPr>
          <w:rFonts w:ascii="Arial" w:cs="Arial" w:eastAsia="Arial" w:hAnsi="Arial"/>
          <w:sz w:val="20"/>
          <w:szCs w:val="20"/>
          <w:b w:val="1"/>
          <w:bCs w:val="1"/>
          <w:color w:val="auto"/>
        </w:rPr>
        <w:t xml:space="preserve">  THIS  AGREEMENT,  THE  OTHER  LOAN  DOCUMENTS,  AND  ANY  CLAIM,</w:t>
      </w:r>
    </w:p>
    <w:p>
      <w:pPr>
        <w:spacing w:after="0" w:line="2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b w:val="1"/>
          <w:bCs w:val="1"/>
          <w:color w:val="auto"/>
        </w:rPr>
        <w:t xml:space="preserve">CONTROVERSY, DISPUTE, CAUSE OF ACTION, OR PROCEEDING (WHETHER BASED IN CONTRACT, TORT, OR OTHERWISE) BASED UPON, ARISING OUT OF, CONNECTED WITH, OR RELATING TO THIS AGREEMENT OR ANY OTHER LOAN DOCUMENT (EXCEPT, AS TO ANY OTHER LOAN DOCUMENT, AS EXPRESSLY SET FORTH THEREIN) AND THE TRANSACTIONS CONTEMPLATED HEREBY AND THEREBY, AND THE RIGHTS AND OBLIGATIONS OF THE PARTIES HERETO AND THERETO, SHALL BE GOVERNED BY, AND CONSTRUED AND INTERPRETED IN ACCORDANCE WITH, THE LAWS OF THE STATE OF NEW YORK. </w:t>
      </w:r>
      <w:r>
        <w:rPr>
          <w:rFonts w:ascii="Arial" w:cs="Arial" w:eastAsia="Arial" w:hAnsi="Arial"/>
          <w:sz w:val="19"/>
          <w:szCs w:val="19"/>
          <w:color w:val="auto"/>
        </w:rPr>
        <w:t>This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10.13</w:t>
      </w:r>
      <w:r>
        <w:rPr>
          <w:rFonts w:ascii="Arial" w:cs="Arial" w:eastAsia="Arial" w:hAnsi="Arial"/>
          <w:sz w:val="19"/>
          <w:szCs w:val="19"/>
          <w:b w:val="1"/>
          <w:bCs w:val="1"/>
          <w:color w:val="auto"/>
        </w:rPr>
        <w:t xml:space="preserve"> </w:t>
      </w:r>
      <w:r>
        <w:rPr>
          <w:rFonts w:ascii="Arial" w:cs="Arial" w:eastAsia="Arial" w:hAnsi="Arial"/>
          <w:sz w:val="19"/>
          <w:szCs w:val="19"/>
          <w:color w:val="auto"/>
        </w:rPr>
        <w:t>shall survive the Discharge of Obligations.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127</w:t>
      </w:r>
    </w:p>
    <w:p>
      <w:pPr>
        <w:sectPr>
          <w:pgSz w:w="11900" w:h="16838" w:orient="portrait"/>
          <w:cols w:equalWidth="0" w:num="1">
            <w:col w:w="11240"/>
          </w:cols>
          <w:pgMar w:left="320" w:top="770" w:right="339" w:bottom="1440" w:gutter="0" w:footer="0" w:header="0"/>
        </w:sectPr>
      </w:pPr>
    </w:p>
    <w:bookmarkStart w:id="514" w:name="page515"/>
    <w:bookmarkEnd w:id="514"/>
    <w:p>
      <w:pPr>
        <w:ind w:left="660"/>
        <w:spacing w:after="0"/>
        <w:tabs>
          <w:tab w:leader="none" w:pos="1280" w:val="left"/>
        </w:tabs>
        <w:rPr>
          <w:sz w:val="20"/>
          <w:szCs w:val="20"/>
          <w:color w:val="auto"/>
        </w:rPr>
      </w:pPr>
      <w:r>
        <w:rPr>
          <w:rFonts w:ascii="Arial" w:cs="Arial" w:eastAsia="Arial" w:hAnsi="Arial"/>
          <w:sz w:val="20"/>
          <w:szCs w:val="20"/>
          <w:b w:val="1"/>
          <w:bCs w:val="1"/>
          <w:color w:val="auto"/>
        </w:rPr>
        <w:t>10.14</w:t>
      </w:r>
      <w:r>
        <w:rPr>
          <w:sz w:val="20"/>
          <w:szCs w:val="20"/>
          <w:color w:val="auto"/>
        </w:rPr>
        <w:tab/>
      </w:r>
      <w:r>
        <w:rPr>
          <w:rFonts w:ascii="Arial" w:cs="Arial" w:eastAsia="Arial" w:hAnsi="Arial"/>
          <w:sz w:val="16"/>
          <w:szCs w:val="16"/>
          <w:b w:val="1"/>
          <w:bCs w:val="1"/>
          <w:color w:val="auto"/>
        </w:rPr>
        <w:t>Submission to Jurisdiction; Waivers</w:t>
      </w:r>
      <w:r>
        <w:rPr>
          <w:rFonts w:ascii="Arial" w:cs="Arial" w:eastAsia="Arial" w:hAnsi="Arial"/>
          <w:sz w:val="16"/>
          <w:szCs w:val="16"/>
          <w:color w:val="auto"/>
        </w:rPr>
        <w:t>. Each party hereto hereby irrevocably and unconditionally:</w:t>
      </w:r>
    </w:p>
    <w:p>
      <w:pPr>
        <w:spacing w:after="0" w:line="168" w:lineRule="exact"/>
        <w:rPr>
          <w:sz w:val="20"/>
          <w:szCs w:val="20"/>
          <w:color w:val="auto"/>
        </w:rPr>
      </w:pPr>
    </w:p>
    <w:p>
      <w:pPr>
        <w:jc w:val="both"/>
        <w:ind w:firstLine="1304"/>
        <w:spacing w:after="0" w:line="269" w:lineRule="auto"/>
        <w:tabs>
          <w:tab w:leader="none" w:pos="1719" w:val="left"/>
        </w:tabs>
        <w:numPr>
          <w:ilvl w:val="0"/>
          <w:numId w:val="491"/>
        </w:numPr>
        <w:rPr>
          <w:rFonts w:ascii="Arial" w:cs="Arial" w:eastAsia="Arial" w:hAnsi="Arial"/>
          <w:sz w:val="18"/>
          <w:szCs w:val="18"/>
          <w:color w:val="auto"/>
        </w:rPr>
      </w:pPr>
      <w:r>
        <w:rPr>
          <w:rFonts w:ascii="Arial" w:cs="Arial" w:eastAsia="Arial" w:hAnsi="Arial"/>
          <w:sz w:val="18"/>
          <w:szCs w:val="18"/>
          <w:color w:val="auto"/>
        </w:rPr>
        <w:t xml:space="preserve">agrees that all disputes, controversies, claims, actions and other proceedings involving, directly or indirectly, any matter in any way arising out of, related to, or connected with, this Agreement, any other Loan Document, any contemplated transactions related hereto or thereto, or the relationship between any Loan Party, on the one hand, and the Administrative Agent or any Lender or any other Secured Party, on the other hand, and any and all other claims of the Borrower or any other Group Member against the Administrative Agent or any Lender or any other Secured Party of any kind, shall be brought only in a state court located in the Borough of Manhattan, or, to the extent permitted by law, in a federal court sitting in the Borough of Manhattan;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nothing in this Agreement shall be deemed to operate to preclude the Administrative Agent or any Lender or any other Secured Party from bringing suit or taking other legal action in any other jurisdiction to realize on the Collateral or any other security for the Obligations, or to enforce a judgment or other court order in favor of Administrative Agent or such Lender or any other Secured Party, to the extent permitted by law. The Borrower, on behalf of itself and each other Loan Party (i) expressly submits and consents in advance to such jurisdiction in any action or suit commenced in any such court and to the selection of any referee referred to below, (ii) hereby waives any objection that it may have based upon lack of personal jurisdiction, improper venue, or forum non conveniens and hereby consents to the granting of such legal or equitable relief as is deemed appropriate by such court, and (iii) agrees that it shall not file any motion or other application seeking to change the venue of any such suit or other action. The Borrower, on behalf of itself and each other Loan Party, hereby waives personal service of any summons, complaints, and other process issued in any such action or suit and agrees that service of any such summons, complaints, and other process may be made by registered or certified mail addressed to the Borrower at the address set forth in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of this Agreement and that service so made shall be deemed completed upon the earlier to occur of the Borrower’s actual receipt thereof or 3 days after deposit in the U.S. mails, proper postage prepaid;</w:t>
      </w:r>
    </w:p>
    <w:p>
      <w:pPr>
        <w:spacing w:after="0" w:line="113" w:lineRule="exact"/>
        <w:rPr>
          <w:rFonts w:ascii="Arial" w:cs="Arial" w:eastAsia="Arial" w:hAnsi="Arial"/>
          <w:sz w:val="18"/>
          <w:szCs w:val="18"/>
          <w:color w:val="auto"/>
        </w:rPr>
      </w:pPr>
    </w:p>
    <w:p>
      <w:pPr>
        <w:jc w:val="both"/>
        <w:ind w:firstLine="1304"/>
        <w:spacing w:after="0" w:line="244" w:lineRule="auto"/>
        <w:tabs>
          <w:tab w:leader="none" w:pos="1805" w:val="left"/>
        </w:tabs>
        <w:numPr>
          <w:ilvl w:val="0"/>
          <w:numId w:val="491"/>
        </w:numPr>
        <w:rPr>
          <w:rFonts w:ascii="Arial" w:cs="Arial" w:eastAsia="Arial" w:hAnsi="Arial"/>
          <w:sz w:val="20"/>
          <w:szCs w:val="20"/>
          <w:color w:val="auto"/>
        </w:rPr>
      </w:pPr>
      <w:r>
        <w:rPr>
          <w:rFonts w:ascii="Arial" w:cs="Arial" w:eastAsia="Arial" w:hAnsi="Arial"/>
          <w:sz w:val="20"/>
          <w:szCs w:val="20"/>
          <w:b w:val="1"/>
          <w:bCs w:val="1"/>
          <w:color w:val="auto"/>
        </w:rPr>
        <w:t>WAIVES, TO THE EXTENT PERMITTED BY APPLICABLE LAW, ITS RIGHT TO A JURY TRIAL OF ANY CLAIM, CAUSE OF ACTION, OR PROCEEDING (WHETHER BASED IN CONTRACT, TORT, OR OTHERWISE) BASED UPON, ARISING OUT OF, CONNECTED WITH, OR RELATING TO THIS AGREEMENT, ANY OTHER LOAN DOCUMENT, OR ANY TRANSACTION CONTEMPLATED HEREBY AND THEREBY, AMONG ANY OF THE PARTIES HERETO AND THERETO. THIS WAIVER IS A MATERIAL INDUCEMENT FOR THE PARTIES HERETO TO ENTER INTO THIS AGREEMENT AND THE OTHER LOAN DOCUMENTS. THE BORROWER HAS REVIEWED THIS WAIVER WITH ITS COUNSEL; and</w:t>
      </w:r>
    </w:p>
    <w:p>
      <w:pPr>
        <w:spacing w:after="0" w:line="137" w:lineRule="exact"/>
        <w:rPr>
          <w:rFonts w:ascii="Arial" w:cs="Arial" w:eastAsia="Arial" w:hAnsi="Arial"/>
          <w:sz w:val="20"/>
          <w:szCs w:val="20"/>
          <w:color w:val="auto"/>
        </w:rPr>
      </w:pPr>
    </w:p>
    <w:p>
      <w:pPr>
        <w:jc w:val="both"/>
        <w:ind w:firstLine="1304"/>
        <w:spacing w:after="0" w:line="269" w:lineRule="auto"/>
        <w:tabs>
          <w:tab w:leader="none" w:pos="1753" w:val="left"/>
        </w:tabs>
        <w:numPr>
          <w:ilvl w:val="0"/>
          <w:numId w:val="491"/>
        </w:numPr>
        <w:rPr>
          <w:rFonts w:ascii="Arial" w:cs="Arial" w:eastAsia="Arial" w:hAnsi="Arial"/>
          <w:sz w:val="19"/>
          <w:szCs w:val="19"/>
          <w:color w:val="auto"/>
        </w:rPr>
      </w:pPr>
      <w:r>
        <w:rPr>
          <w:rFonts w:ascii="Arial" w:cs="Arial" w:eastAsia="Arial" w:hAnsi="Arial"/>
          <w:sz w:val="19"/>
          <w:szCs w:val="19"/>
          <w:color w:val="auto"/>
        </w:rPr>
        <w:t>waives, to the maximum extent not prohibited by law, any right it may have to claim or recover in any legal action or proceeding referred to in this Section any special, exemplary, punitive or consequential damages; provided that nothing herein shall limit the right of any Indemnitee to be indemnified as provided in this Agreement and the other Loan Documents.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10.14</w:t>
      </w:r>
      <w:r>
        <w:rPr>
          <w:rFonts w:ascii="Arial" w:cs="Arial" w:eastAsia="Arial" w:hAnsi="Arial"/>
          <w:sz w:val="20"/>
          <w:szCs w:val="20"/>
          <w:color w:val="auto"/>
        </w:rPr>
        <w:t xml:space="preserve"> shall survive the Discharge of Obligations.</w:t>
      </w:r>
    </w:p>
    <w:p>
      <w:pPr>
        <w:spacing w:after="0" w:line="15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b w:val="1"/>
          <w:bCs w:val="1"/>
          <w:color w:val="auto"/>
        </w:rPr>
        <w:t>10.15</w:t>
      </w:r>
      <w:r>
        <w:rPr>
          <w:sz w:val="20"/>
          <w:szCs w:val="20"/>
          <w:color w:val="auto"/>
        </w:rPr>
        <w:tab/>
      </w:r>
      <w:r>
        <w:rPr>
          <w:rFonts w:ascii="Arial" w:cs="Arial" w:eastAsia="Arial" w:hAnsi="Arial"/>
          <w:sz w:val="16"/>
          <w:szCs w:val="16"/>
          <w:b w:val="1"/>
          <w:bCs w:val="1"/>
          <w:color w:val="auto"/>
        </w:rPr>
        <w:t>Acknowledgements</w:t>
      </w:r>
      <w:r>
        <w:rPr>
          <w:rFonts w:ascii="Arial" w:cs="Arial" w:eastAsia="Arial" w:hAnsi="Arial"/>
          <w:sz w:val="16"/>
          <w:szCs w:val="16"/>
          <w:color w:val="auto"/>
        </w:rPr>
        <w:t>. The Borrower hereby acknowledges that:</w:t>
      </w:r>
    </w:p>
    <w:p>
      <w:pPr>
        <w:spacing w:after="0" w:line="168" w:lineRule="exact"/>
        <w:rPr>
          <w:sz w:val="20"/>
          <w:szCs w:val="20"/>
          <w:color w:val="auto"/>
        </w:rPr>
      </w:pPr>
    </w:p>
    <w:p>
      <w:pPr>
        <w:ind w:left="1860" w:hanging="556"/>
        <w:spacing w:after="0"/>
        <w:tabs>
          <w:tab w:leader="none" w:pos="1860" w:val="left"/>
        </w:tabs>
        <w:numPr>
          <w:ilvl w:val="0"/>
          <w:numId w:val="492"/>
        </w:numPr>
        <w:rPr>
          <w:rFonts w:ascii="Arial" w:cs="Arial" w:eastAsia="Arial" w:hAnsi="Arial"/>
          <w:sz w:val="19"/>
          <w:szCs w:val="19"/>
          <w:color w:val="auto"/>
        </w:rPr>
      </w:pPr>
      <w:r>
        <w:rPr>
          <w:rFonts w:ascii="Arial" w:cs="Arial" w:eastAsia="Arial" w:hAnsi="Arial"/>
          <w:sz w:val="19"/>
          <w:szCs w:val="19"/>
          <w:color w:val="auto"/>
        </w:rPr>
        <w:t>it has been advised by counsel in the negotiation, execution and delivery of this Agreement and the other Loan</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Documents;</w:t>
      </w:r>
    </w:p>
    <w:p>
      <w:pPr>
        <w:spacing w:after="0" w:line="146" w:lineRule="exact"/>
        <w:rPr>
          <w:sz w:val="20"/>
          <w:szCs w:val="20"/>
          <w:color w:val="auto"/>
        </w:rPr>
      </w:pPr>
    </w:p>
    <w:p>
      <w:pPr>
        <w:jc w:val="both"/>
        <w:ind w:firstLine="1304"/>
        <w:spacing w:after="0" w:line="243" w:lineRule="auto"/>
        <w:tabs>
          <w:tab w:leader="none" w:pos="1762" w:val="left"/>
        </w:tabs>
        <w:numPr>
          <w:ilvl w:val="0"/>
          <w:numId w:val="493"/>
        </w:numPr>
        <w:rPr>
          <w:rFonts w:ascii="Arial" w:cs="Arial" w:eastAsia="Arial" w:hAnsi="Arial"/>
          <w:sz w:val="20"/>
          <w:szCs w:val="20"/>
          <w:color w:val="auto"/>
        </w:rPr>
      </w:pPr>
      <w:r>
        <w:rPr>
          <w:rFonts w:ascii="Arial" w:cs="Arial" w:eastAsia="Arial" w:hAnsi="Arial"/>
          <w:sz w:val="20"/>
          <w:szCs w:val="20"/>
          <w:color w:val="auto"/>
        </w:rPr>
        <w:t>in connection with all aspects of each transaction contemplated hereby (including in connection with any amendment, waiver or other modification hereof or of any other Loan Document), the Borrower, on behalf of each Group Member, acknowledges and agrees that: (i) (A) the arranging and other services regarding this Agreement provided by the Administrative Agent and any Affiliate thereof, and the Lenders and any Affiliate thereof are arm’s-length commercial transactions between the Borrower, each other Loan Party and their respective Affiliates, on the one hand, and the Administrative Agent, the Lenders and their respective applicable Affiliates (collectively, solely for purposes of this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128</w:t>
      </w:r>
    </w:p>
    <w:p>
      <w:pPr>
        <w:sectPr>
          <w:pgSz w:w="11900" w:h="16838" w:orient="portrait"/>
          <w:cols w:equalWidth="0" w:num="1">
            <w:col w:w="11240"/>
          </w:cols>
          <w:pgMar w:left="320" w:top="764" w:right="339" w:bottom="1440" w:gutter="0" w:footer="0" w:header="0"/>
        </w:sectPr>
      </w:pPr>
    </w:p>
    <w:bookmarkStart w:id="515" w:name="page516"/>
    <w:bookmarkEnd w:id="515"/>
    <w:p>
      <w:pPr>
        <w:jc w:val="both"/>
        <w:spacing w:after="0" w:line="269" w:lineRule="auto"/>
        <w:rPr>
          <w:sz w:val="20"/>
          <w:szCs w:val="20"/>
          <w:color w:val="auto"/>
        </w:rPr>
      </w:pPr>
      <w:r>
        <w:rPr>
          <w:rFonts w:ascii="Arial" w:cs="Arial" w:eastAsia="Arial" w:hAnsi="Arial"/>
          <w:sz w:val="18"/>
          <w:szCs w:val="18"/>
          <w:u w:val="single" w:color="auto"/>
          <w:color w:val="auto"/>
        </w:rPr>
        <w:t>Section 10.15</w:t>
      </w:r>
      <w:r>
        <w:rPr>
          <w:rFonts w:ascii="Arial" w:cs="Arial" w:eastAsia="Arial" w:hAnsi="Arial"/>
          <w:sz w:val="18"/>
          <w:szCs w:val="18"/>
          <w:color w:val="auto"/>
        </w:rPr>
        <w:t>, the “</w:t>
      </w:r>
      <w:r>
        <w:rPr>
          <w:rFonts w:ascii="Arial" w:cs="Arial" w:eastAsia="Arial" w:hAnsi="Arial"/>
          <w:sz w:val="18"/>
          <w:szCs w:val="18"/>
          <w:u w:val="single" w:color="auto"/>
          <w:color w:val="auto"/>
        </w:rPr>
        <w:t>Lenders</w:t>
      </w:r>
      <w:r>
        <w:rPr>
          <w:rFonts w:ascii="Arial" w:cs="Arial" w:eastAsia="Arial" w:hAnsi="Arial"/>
          <w:sz w:val="18"/>
          <w:szCs w:val="18"/>
          <w:color w:val="auto"/>
        </w:rPr>
        <w:t>”), on the other hand, (B) each of the Borrower and the other Loan Parties has consulted its own legal, accounting, regulatory and tax advisors to the extent it has deemed appropriate, and (C) the Borrower and each other Loan Party is capable of evaluating, and understands and accepts, the terms, risks and conditions of the transactions contemplated hereby and by the other Loan Documents; (ii) (A) the Administrative Agent, its Affiliates, each Lender and their Affiliates is and has been acting solely as a principal and, except as expressly agreed in writing by the relevant parties, has not been, is not, and will not be acting as an advisor, agent or fiduciary for Borrower, any other Loan Party or any of their respective Affiliates, or any other Person and (B) neither the Administrative Agent, its Affiliates, any Lender nor any of their Affiliates has any obligation to the Borrower, any other Loan Party or any of their respective Affiliates with respect to the transactions contemplated hereby except those obligations expressly set forth herein and in the other Loan Documents; and (iii) the Administrative Agent, its Affiliates, the Lenders and their Affiliates may be engaged in a broad range of transactions that involve interests that differ from those of the Borrower, the other Loan Parties and their respective Affiliates, and neither the Administrative Agent, its Affiliates, any Lender nor any of their Affiliates has any obligation to disclose any of such interests to the Borrower, any other Loan Party or any of their respective Affiliates. To the fullest extent permitted by law, each of the Borrower and each other Loan Party hereby waives and releases any claims that it may have against the Administrative Agent, its Affiliates, each Lender and any of their Affiliates with respect to any breach or alleged breach of agency or fiduciary duty in connection with any aspect of any transactions contemplated hereby; and</w:t>
      </w:r>
    </w:p>
    <w:p>
      <w:pPr>
        <w:spacing w:after="0" w:line="127" w:lineRule="exact"/>
        <w:rPr>
          <w:sz w:val="20"/>
          <w:szCs w:val="20"/>
          <w:color w:val="auto"/>
        </w:rPr>
      </w:pPr>
    </w:p>
    <w:p>
      <w:pPr>
        <w:ind w:right="20" w:firstLine="1304"/>
        <w:spacing w:after="0" w:line="260" w:lineRule="auto"/>
        <w:tabs>
          <w:tab w:leader="none" w:pos="1793" w:val="left"/>
        </w:tabs>
        <w:numPr>
          <w:ilvl w:val="0"/>
          <w:numId w:val="494"/>
        </w:numPr>
        <w:rPr>
          <w:rFonts w:ascii="Arial" w:cs="Arial" w:eastAsia="Arial" w:hAnsi="Arial"/>
          <w:sz w:val="20"/>
          <w:szCs w:val="20"/>
          <w:color w:val="auto"/>
        </w:rPr>
      </w:pPr>
      <w:r>
        <w:rPr>
          <w:rFonts w:ascii="Arial" w:cs="Arial" w:eastAsia="Arial" w:hAnsi="Arial"/>
          <w:sz w:val="20"/>
          <w:szCs w:val="20"/>
          <w:color w:val="auto"/>
        </w:rPr>
        <w:t>no joint venture is created hereby or by the other Loan Documents or otherwise exists by virtue of the transactions contemplated hereby among the Lenders or among the Group Members and the Lenders.</w:t>
      </w:r>
    </w:p>
    <w:p>
      <w:pPr>
        <w:spacing w:after="0" w:line="11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10.16</w:t>
      </w:r>
      <w:r>
        <w:rPr>
          <w:sz w:val="20"/>
          <w:szCs w:val="20"/>
          <w:color w:val="auto"/>
        </w:rPr>
        <w:tab/>
      </w:r>
      <w:r>
        <w:rPr>
          <w:rFonts w:ascii="Arial" w:cs="Arial" w:eastAsia="Arial" w:hAnsi="Arial"/>
          <w:sz w:val="16"/>
          <w:szCs w:val="16"/>
          <w:b w:val="1"/>
          <w:bCs w:val="1"/>
          <w:color w:val="auto"/>
        </w:rPr>
        <w:t>Releases of Guarantees and Liens</w:t>
      </w:r>
      <w:r>
        <w:rPr>
          <w:rFonts w:ascii="Arial" w:cs="Arial" w:eastAsia="Arial" w:hAnsi="Arial"/>
          <w:sz w:val="16"/>
          <w:szCs w:val="16"/>
          <w:color w:val="auto"/>
        </w:rPr>
        <w:t>.</w:t>
      </w:r>
    </w:p>
    <w:p>
      <w:pPr>
        <w:spacing w:after="0" w:line="168" w:lineRule="exact"/>
        <w:rPr>
          <w:sz w:val="20"/>
          <w:szCs w:val="20"/>
          <w:color w:val="auto"/>
        </w:rPr>
      </w:pPr>
    </w:p>
    <w:p>
      <w:pPr>
        <w:jc w:val="both"/>
        <w:ind w:firstLine="1304"/>
        <w:spacing w:after="0" w:line="260" w:lineRule="auto"/>
        <w:tabs>
          <w:tab w:leader="none" w:pos="1724" w:val="left"/>
        </w:tabs>
        <w:numPr>
          <w:ilvl w:val="0"/>
          <w:numId w:val="495"/>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herein or in any other Loan Document, the Administrative Agent is hereby irrevocably authorized by each Lender (without requirement of notice to or consent of any Lender except as expressly required by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to take any action requested by the Borrower having the effect of releasing any Collateral or guarantee obligations (1) to the extent necessary to permit consummation of any transaction not prohibited by any Loan Document or that has been consented to in accordance with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or (2) under the circumstances described in </w:t>
      </w:r>
      <w:r>
        <w:rPr>
          <w:rFonts w:ascii="Arial" w:cs="Arial" w:eastAsia="Arial" w:hAnsi="Arial"/>
          <w:sz w:val="19"/>
          <w:szCs w:val="19"/>
          <w:u w:val="single" w:color="auto"/>
          <w:color w:val="auto"/>
        </w:rPr>
        <w:t>Section 10.16(b)</w:t>
      </w:r>
      <w:r>
        <w:rPr>
          <w:rFonts w:ascii="Arial" w:cs="Arial" w:eastAsia="Arial" w:hAnsi="Arial"/>
          <w:sz w:val="19"/>
          <w:szCs w:val="19"/>
          <w:color w:val="auto"/>
        </w:rPr>
        <w:t xml:space="preserve"> below.</w:t>
      </w:r>
    </w:p>
    <w:p>
      <w:pPr>
        <w:spacing w:after="0" w:line="126" w:lineRule="exact"/>
        <w:rPr>
          <w:rFonts w:ascii="Arial" w:cs="Arial" w:eastAsia="Arial" w:hAnsi="Arial"/>
          <w:sz w:val="19"/>
          <w:szCs w:val="19"/>
          <w:color w:val="auto"/>
        </w:rPr>
      </w:pPr>
    </w:p>
    <w:p>
      <w:pPr>
        <w:jc w:val="both"/>
        <w:ind w:firstLine="1304"/>
        <w:spacing w:after="0" w:line="257" w:lineRule="auto"/>
        <w:tabs>
          <w:tab w:leader="none" w:pos="1892" w:val="left"/>
        </w:tabs>
        <w:numPr>
          <w:ilvl w:val="0"/>
          <w:numId w:val="495"/>
        </w:numPr>
        <w:rPr>
          <w:rFonts w:ascii="Arial" w:cs="Arial" w:eastAsia="Arial" w:hAnsi="Arial"/>
          <w:sz w:val="19"/>
          <w:szCs w:val="19"/>
          <w:color w:val="auto"/>
        </w:rPr>
      </w:pPr>
      <w:r>
        <w:rPr>
          <w:rFonts w:ascii="Arial" w:cs="Arial" w:eastAsia="Arial" w:hAnsi="Arial"/>
          <w:sz w:val="19"/>
          <w:szCs w:val="19"/>
          <w:color w:val="auto"/>
        </w:rPr>
        <w:t>Upon the Discharge of Obligations, the Collateral (other than any cash collateral securing any Specified Swap Agreements, any Cash Management Services or outstanding Letters of Credit) shall be released from the Liens created by the Security Documents and Cash Management Agreements (other than any Cash Management Agreements used to Cash Collateralize any Obligations arising in connection with Cash Management Agreements), and all obligations (other than those expressly stated to survive such termination) of the Administrative Agent and each Loan Party under the Security Documents and Cash Management Agreements (other than any Cash Management Agreements used to Cash Collateralize any Obligations arising in connection with Cash Management Agreements) shall terminate, all without delivery of any instrument or performance of any act by any Person.</w:t>
      </w:r>
    </w:p>
    <w:p>
      <w:pPr>
        <w:spacing w:after="0" w:line="1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b w:val="1"/>
          <w:bCs w:val="1"/>
          <w:color w:val="auto"/>
        </w:rPr>
        <w:t>10.17 Treatment of Certain Information; Confidentiality</w:t>
      </w:r>
      <w:r>
        <w:rPr>
          <w:rFonts w:ascii="Arial" w:cs="Arial" w:eastAsia="Arial" w:hAnsi="Arial"/>
          <w:sz w:val="18"/>
          <w:szCs w:val="18"/>
          <w:color w:val="auto"/>
        </w:rPr>
        <w:t>. Each of the Administrative Agent and each Lender agrees to maintain</w:t>
      </w:r>
      <w:r>
        <w:rPr>
          <w:rFonts w:ascii="Arial" w:cs="Arial" w:eastAsia="Arial" w:hAnsi="Arial"/>
          <w:sz w:val="18"/>
          <w:szCs w:val="18"/>
          <w:b w:val="1"/>
          <w:bCs w:val="1"/>
          <w:color w:val="auto"/>
        </w:rPr>
        <w:t xml:space="preserve"> </w:t>
      </w:r>
      <w:r>
        <w:rPr>
          <w:rFonts w:ascii="Arial" w:cs="Arial" w:eastAsia="Arial" w:hAnsi="Arial"/>
          <w:sz w:val="18"/>
          <w:szCs w:val="18"/>
          <w:color w:val="auto"/>
        </w:rPr>
        <w:t>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129</w:t>
      </w:r>
    </w:p>
    <w:p>
      <w:pPr>
        <w:sectPr>
          <w:pgSz w:w="11900" w:h="16838" w:orient="portrait"/>
          <w:cols w:equalWidth="0" w:num="1">
            <w:col w:w="11240"/>
          </w:cols>
          <w:pgMar w:left="320" w:top="770" w:right="339" w:bottom="1440" w:gutter="0" w:footer="0" w:header="0"/>
        </w:sectPr>
      </w:pPr>
    </w:p>
    <w:bookmarkStart w:id="516" w:name="page517"/>
    <w:bookmarkEnd w:id="516"/>
    <w:p>
      <w:pPr>
        <w:jc w:val="both"/>
        <w:spacing w:after="0" w:line="270" w:lineRule="auto"/>
        <w:rPr>
          <w:sz w:val="20"/>
          <w:szCs w:val="20"/>
          <w:color w:val="auto"/>
        </w:rPr>
      </w:pPr>
      <w:r>
        <w:rPr>
          <w:rFonts w:ascii="Arial" w:cs="Arial" w:eastAsia="Arial" w:hAnsi="Arial"/>
          <w:sz w:val="18"/>
          <w:szCs w:val="18"/>
          <w:color w:val="auto"/>
        </w:rPr>
        <w:t>assignee of or Participant in, any of its rights and obligations under this Agreement, or (ii) 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the Group Members or the Facilities or (ii) the CUSIP Service Bureau or any similar agency in connection with the issuance and monitoring of CUSIP numbers with respect to the Facilities; (h) with the consent of the Borrower; or (i) to the extent such Information (x) becomes publicly available other than as a result of a breach of this Section, or (y) becomes available to the Administrative Agent, any Lender or any of their respective Affiliates on a non-confidential basis from a source other than the Borrower. In addition, the Administrative Agent, the Lenders, and any of their respective Related Parties, may (A) disclose the existence of this Agreement and information about this Agreement to market data collectors, similar service providers to the lending industry and service providers to the Administrative Agent or the Lenders in connection with the administration of this Agreement, the other Loan Documents, and the Commitments; and (B) use any information (not constituting Information subject to the foregoing confidentiality restrictions) related to the syndication and arrangement of the credit facilities contemplated by this Agreement in connection with marketing, press releases, or other transactional announcements or updates provided to investor or trade publications, including the placement of “tombstone” advertisements in publications of its choice at its own expense.</w:t>
      </w:r>
    </w:p>
    <w:p>
      <w:pPr>
        <w:spacing w:after="0" w:line="11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Notwithstanding anything herein to the contrary, any party to this Agreement (and any employee, representative, or other agent of any party to this Agreement) may disclose to any and all persons, without limitation of any kind, the tax treatment and tax structure of the transactions contemplated by this Agreement and all materials of any kind (including opinions or other tax analyses) that are provided to it relating to such tax treatment and tax structure. However, any such information relating to the tax treatment or tax structure is required to be kept confidential to the extent necessary to comply with any applicable federal or state securities laws, rules, and regulations.</w:t>
      </w:r>
    </w:p>
    <w:p>
      <w:pPr>
        <w:spacing w:after="0" w:line="11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For purposes of this Section, “</w:t>
      </w:r>
      <w:r>
        <w:rPr>
          <w:rFonts w:ascii="Arial" w:cs="Arial" w:eastAsia="Arial" w:hAnsi="Arial"/>
          <w:sz w:val="20"/>
          <w:szCs w:val="20"/>
          <w:b w:val="1"/>
          <w:bCs w:val="1"/>
          <w:i w:val="1"/>
          <w:iCs w:val="1"/>
          <w:color w:val="auto"/>
        </w:rPr>
        <w:t>Information</w:t>
      </w:r>
      <w:r>
        <w:rPr>
          <w:rFonts w:ascii="Arial" w:cs="Arial" w:eastAsia="Arial" w:hAnsi="Arial"/>
          <w:sz w:val="20"/>
          <w:szCs w:val="20"/>
          <w:color w:val="auto"/>
        </w:rPr>
        <w:t xml:space="preserve">” means all information received from the Group Members relating to the Group Members or any of their respective businesses, other than any such information that is available to the Administrative Agent or any Lender on a non-confidential basis prior to disclosure by the Group Members;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case of information received from the Group Members after the Original Closing Date,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b w:val="1"/>
          <w:bCs w:val="1"/>
          <w:color w:val="auto"/>
        </w:rPr>
        <w:t>10.18 Automatic Debits</w:t>
      </w:r>
      <w:r>
        <w:rPr>
          <w:rFonts w:ascii="Arial" w:cs="Arial" w:eastAsia="Arial" w:hAnsi="Arial"/>
          <w:sz w:val="19"/>
          <w:szCs w:val="19"/>
          <w:color w:val="auto"/>
        </w:rPr>
        <w:t>. With respect to any principal, interest, fee, or any other cost or expense (including attorney costs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Administrative Agent or any Lender payable by the Borrower hereunder) due and payable to the Administrative Agent or any Lender under the Loan Documents, the Borrower hereby irrevocably authorizes the Administrative Agent to debit any deposit account of the Borrower maintained with the Administrative Agent in an amount such that the aggregate amount debited from all such deposit accounts does not exceed such principal, interest, fee or other cost or expense. If there are insufficient funds in such deposit accounts to cover the amount then due, such debits will be reversed (in whole or in part, in the Administrative Agent’s sole discretion) and such amount not debited shall be deemed to be unpaid. No such debit under this </w:t>
      </w:r>
      <w:r>
        <w:rPr>
          <w:rFonts w:ascii="Arial" w:cs="Arial" w:eastAsia="Arial" w:hAnsi="Arial"/>
          <w:sz w:val="19"/>
          <w:szCs w:val="19"/>
          <w:u w:val="single" w:color="auto"/>
          <w:color w:val="auto"/>
        </w:rPr>
        <w:t>Section 10.18</w:t>
      </w:r>
      <w:r>
        <w:rPr>
          <w:rFonts w:ascii="Arial" w:cs="Arial" w:eastAsia="Arial" w:hAnsi="Arial"/>
          <w:sz w:val="19"/>
          <w:szCs w:val="19"/>
          <w:color w:val="auto"/>
        </w:rPr>
        <w:t xml:space="preserve"> shall be deemed a set-off.</w:t>
      </w:r>
    </w:p>
    <w:p>
      <w:pPr>
        <w:spacing w:after="0" w:line="11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b w:val="1"/>
          <w:bCs w:val="1"/>
          <w:color w:val="auto"/>
        </w:rPr>
        <w:t>10.19 Judgment Currency</w:t>
      </w:r>
      <w:r>
        <w:rPr>
          <w:rFonts w:ascii="Arial" w:cs="Arial" w:eastAsia="Arial" w:hAnsi="Arial"/>
          <w:sz w:val="18"/>
          <w:szCs w:val="18"/>
          <w:color w:val="auto"/>
        </w:rPr>
        <w:t>. If, for the purposes of obtaining judgment in any court, it is necessary to convert a sum due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and each other Loan Party in respect of any such sum due from it to the Administrative Agent or any Lender hereunder or under any other Loan Document shall, notwithstanding any judgment in a currency (the “</w:t>
      </w:r>
      <w:r>
        <w:rPr>
          <w:rFonts w:ascii="Arial" w:cs="Arial" w:eastAsia="Arial" w:hAnsi="Arial"/>
          <w:sz w:val="18"/>
          <w:szCs w:val="18"/>
          <w:b w:val="1"/>
          <w:bCs w:val="1"/>
          <w:i w:val="1"/>
          <w:iCs w:val="1"/>
          <w:color w:val="auto"/>
        </w:rPr>
        <w:t>Judgment Currency</w:t>
      </w:r>
      <w:r>
        <w:rPr>
          <w:rFonts w:ascii="Arial" w:cs="Arial" w:eastAsia="Arial" w:hAnsi="Arial"/>
          <w:sz w:val="18"/>
          <w:szCs w:val="18"/>
          <w:color w:val="auto"/>
        </w:rPr>
        <w:t>”) other than that in which such sum is denominated in accordance with the applicable provisions of this Agreement (the “</w:t>
      </w:r>
      <w:r>
        <w:rPr>
          <w:rFonts w:ascii="Arial" w:cs="Arial" w:eastAsia="Arial" w:hAnsi="Arial"/>
          <w:sz w:val="18"/>
          <w:szCs w:val="18"/>
          <w:b w:val="1"/>
          <w:bCs w:val="1"/>
          <w:i w:val="1"/>
          <w:iCs w:val="1"/>
          <w:color w:val="auto"/>
        </w:rPr>
        <w:t>Agreement Currency</w:t>
      </w:r>
      <w:r>
        <w:rPr>
          <w:rFonts w:ascii="Arial" w:cs="Arial" w:eastAsia="Arial" w:hAnsi="Arial"/>
          <w:sz w:val="18"/>
          <w:szCs w:val="18"/>
          <w:color w:val="auto"/>
        </w:rPr>
        <w:t>”), be discharged only to the extent that on the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130</w:t>
      </w:r>
    </w:p>
    <w:p>
      <w:pPr>
        <w:sectPr>
          <w:pgSz w:w="11900" w:h="16838" w:orient="portrait"/>
          <w:cols w:equalWidth="0" w:num="1">
            <w:col w:w="11240"/>
          </w:cols>
          <w:pgMar w:left="320" w:top="770" w:right="339" w:bottom="1440" w:gutter="0" w:footer="0" w:header="0"/>
        </w:sectPr>
      </w:pPr>
    </w:p>
    <w:bookmarkStart w:id="517" w:name="page518"/>
    <w:bookmarkEnd w:id="517"/>
    <w:p>
      <w:pPr>
        <w:jc w:val="both"/>
        <w:spacing w:after="0" w:line="256" w:lineRule="auto"/>
        <w:rPr>
          <w:sz w:val="20"/>
          <w:szCs w:val="20"/>
          <w:color w:val="auto"/>
        </w:rPr>
      </w:pPr>
      <w:r>
        <w:rPr>
          <w:rFonts w:ascii="Arial" w:cs="Arial" w:eastAsia="Arial" w:hAnsi="Arial"/>
          <w:sz w:val="19"/>
          <w:szCs w:val="19"/>
          <w:color w:val="auto"/>
        </w:rPr>
        <w:t>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the Borrower or any other Loan Party in the Agreement Currency, the Borrower and each other Loan Party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the Borrower or other Loan Party, as applicable (or to any other Person who may be entitled thereto under applicable law).</w:t>
      </w:r>
    </w:p>
    <w:p>
      <w:pPr>
        <w:spacing w:after="0" w:line="12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b w:val="1"/>
          <w:bCs w:val="1"/>
          <w:color w:val="auto"/>
        </w:rPr>
        <w:t>10.20 Patriot Act; Other Regulations</w:t>
      </w:r>
      <w:r>
        <w:rPr>
          <w:rFonts w:ascii="Arial" w:cs="Arial" w:eastAsia="Arial" w:hAnsi="Arial"/>
          <w:sz w:val="18"/>
          <w:szCs w:val="18"/>
          <w:color w:val="auto"/>
        </w:rPr>
        <w:t>. Each Lender and the Administrative Agent (for itself and not on behalf of any other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hereby notifies the Borrower and each other Loan Party that, pursuant to the requirements of “know your customer” and anti-money laundering rules and regulations, including the Patriot Act and the Beneficial Ownership Regulation, it is required to obtain, verify and record information that identifies each Loan Party and certain related parties thereto, which information includes the names and addresses and other information that will allow such Lender or the Administrative Agent, as applicable, to identify each Loan Party and certain of their beneficial owners and other officers in accordance with the Patriot Act and the Beneficial Ownership Regulation. The Borrower and each other Loan Party will, and will cause each of their respective Subsidiaries to, to the extent commercially reasonable or required by any Requirement of Law, provide, furnish or deliver such information and documents and take such actions as are reasonably requested by the Administrative Agent or any Lender to assist the Administrative Agent and the Lenders in maintaining compliance with “know your customer” requirements under the PATRIOT Act, the Beneficial Ownership Regulation or other applicable anti-money laundering laws.</w:t>
      </w:r>
    </w:p>
    <w:p>
      <w:pPr>
        <w:spacing w:after="0" w:line="11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b w:val="1"/>
          <w:bCs w:val="1"/>
          <w:color w:val="auto"/>
        </w:rPr>
        <w:t>10.21</w:t>
      </w:r>
      <w:r>
        <w:rPr>
          <w:sz w:val="20"/>
          <w:szCs w:val="20"/>
          <w:color w:val="auto"/>
        </w:rPr>
        <w:tab/>
      </w:r>
      <w:r>
        <w:rPr>
          <w:rFonts w:ascii="Arial" w:cs="Arial" w:eastAsia="Arial" w:hAnsi="Arial"/>
          <w:sz w:val="18"/>
          <w:szCs w:val="18"/>
          <w:b w:val="1"/>
          <w:bCs w:val="1"/>
          <w:color w:val="auto"/>
        </w:rPr>
        <w:t>Acknowledgement and Consent to Bail-In of EEA Financial Institutions</w:t>
      </w:r>
      <w:r>
        <w:rPr>
          <w:rFonts w:ascii="Arial" w:cs="Arial" w:eastAsia="Arial" w:hAnsi="Arial"/>
          <w:sz w:val="18"/>
          <w:szCs w:val="18"/>
          <w:color w:val="auto"/>
        </w:rPr>
        <w:t>.</w:t>
      </w:r>
    </w:p>
    <w:p>
      <w:pPr>
        <w:spacing w:after="0" w:line="16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Notwithstanding anything to the contrary in this Agreement or in any other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131</w:t>
      </w:r>
    </w:p>
    <w:p>
      <w:pPr>
        <w:sectPr>
          <w:pgSz w:w="11900" w:h="16838" w:orient="portrait"/>
          <w:cols w:equalWidth="0" w:num="1">
            <w:col w:w="11240"/>
          </w:cols>
          <w:pgMar w:left="320" w:top="770" w:right="339" w:bottom="1440" w:gutter="0" w:footer="0" w:header="0"/>
        </w:sectPr>
      </w:pPr>
    </w:p>
    <w:bookmarkStart w:id="518" w:name="page519"/>
    <w:bookmarkEnd w:id="518"/>
    <w:p>
      <w:pPr>
        <w:ind w:right="20" w:firstLine="656"/>
        <w:spacing w:after="0" w:line="260" w:lineRule="auto"/>
        <w:tabs>
          <w:tab w:leader="none" w:pos="1068" w:val="left"/>
        </w:tabs>
        <w:numPr>
          <w:ilvl w:val="0"/>
          <w:numId w:val="496"/>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22" w:lineRule="exact"/>
        <w:rPr>
          <w:rFonts w:ascii="Arial" w:cs="Arial" w:eastAsia="Arial" w:hAnsi="Arial"/>
          <w:sz w:val="20"/>
          <w:szCs w:val="20"/>
          <w:color w:val="auto"/>
        </w:rPr>
      </w:pPr>
    </w:p>
    <w:p>
      <w:pPr>
        <w:ind w:left="1080" w:hanging="424"/>
        <w:spacing w:after="0"/>
        <w:tabs>
          <w:tab w:leader="none" w:pos="1080" w:val="left"/>
        </w:tabs>
        <w:numPr>
          <w:ilvl w:val="0"/>
          <w:numId w:val="496"/>
        </w:numPr>
        <w:rPr>
          <w:rFonts w:ascii="Arial" w:cs="Arial" w:eastAsia="Arial" w:hAnsi="Arial"/>
          <w:sz w:val="20"/>
          <w:szCs w:val="20"/>
          <w:color w:val="auto"/>
        </w:rPr>
      </w:pPr>
      <w:r>
        <w:rPr>
          <w:rFonts w:ascii="Arial" w:cs="Arial" w:eastAsia="Arial" w:hAnsi="Arial"/>
          <w:sz w:val="20"/>
          <w:szCs w:val="20"/>
          <w:color w:val="auto"/>
        </w:rPr>
        <w:t>the effects of any Bail-In Action on any liability, including, if applicable:</w:t>
      </w:r>
    </w:p>
    <w:p>
      <w:pPr>
        <w:spacing w:after="0" w:line="161" w:lineRule="exact"/>
        <w:rPr>
          <w:rFonts w:ascii="Arial" w:cs="Arial" w:eastAsia="Arial" w:hAnsi="Arial"/>
          <w:sz w:val="20"/>
          <w:szCs w:val="20"/>
          <w:color w:val="auto"/>
        </w:rPr>
      </w:pPr>
    </w:p>
    <w:p>
      <w:pPr>
        <w:ind w:left="1680" w:hanging="376"/>
        <w:spacing w:after="0"/>
        <w:tabs>
          <w:tab w:leader="none" w:pos="1680" w:val="left"/>
        </w:tabs>
        <w:numPr>
          <w:ilvl w:val="1"/>
          <w:numId w:val="496"/>
        </w:numPr>
        <w:rPr>
          <w:rFonts w:ascii="Arial" w:cs="Arial" w:eastAsia="Arial" w:hAnsi="Arial"/>
          <w:sz w:val="20"/>
          <w:szCs w:val="20"/>
          <w:color w:val="auto"/>
        </w:rPr>
      </w:pPr>
      <w:r>
        <w:rPr>
          <w:rFonts w:ascii="Arial" w:cs="Arial" w:eastAsia="Arial" w:hAnsi="Arial"/>
          <w:sz w:val="20"/>
          <w:szCs w:val="20"/>
          <w:color w:val="auto"/>
        </w:rPr>
        <w:t>a reduction in full or in part of cancellation of any such liability;</w:t>
      </w:r>
    </w:p>
    <w:p>
      <w:pPr>
        <w:spacing w:after="0" w:line="161" w:lineRule="exact"/>
        <w:rPr>
          <w:rFonts w:ascii="Arial" w:cs="Arial" w:eastAsia="Arial" w:hAnsi="Arial"/>
          <w:sz w:val="20"/>
          <w:szCs w:val="20"/>
          <w:color w:val="auto"/>
        </w:rPr>
      </w:pPr>
    </w:p>
    <w:p>
      <w:pPr>
        <w:ind w:left="1960" w:hanging="656"/>
        <w:spacing w:after="0" w:line="263" w:lineRule="auto"/>
        <w:tabs>
          <w:tab w:leader="none" w:pos="1869" w:val="left"/>
        </w:tabs>
        <w:numPr>
          <w:ilvl w:val="1"/>
          <w:numId w:val="496"/>
        </w:numPr>
        <w:rPr>
          <w:rFonts w:ascii="Arial" w:cs="Arial" w:eastAsia="Arial" w:hAnsi="Arial"/>
          <w:sz w:val="19"/>
          <w:szCs w:val="19"/>
          <w:color w:val="auto"/>
        </w:rPr>
      </w:pPr>
      <w:r>
        <w:rPr>
          <w:rFonts w:ascii="Arial" w:cs="Arial" w:eastAsia="Arial" w:hAnsi="Arial"/>
          <w:sz w:val="19"/>
          <w:szCs w:val="19"/>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22" w:lineRule="exact"/>
        <w:rPr>
          <w:rFonts w:ascii="Arial" w:cs="Arial" w:eastAsia="Arial" w:hAnsi="Arial"/>
          <w:sz w:val="19"/>
          <w:szCs w:val="19"/>
          <w:color w:val="auto"/>
        </w:rPr>
      </w:pPr>
    </w:p>
    <w:p>
      <w:pPr>
        <w:ind w:left="1960" w:right="20" w:hanging="656"/>
        <w:spacing w:after="0" w:line="260" w:lineRule="auto"/>
        <w:tabs>
          <w:tab w:leader="none" w:pos="1836" w:val="left"/>
        </w:tabs>
        <w:numPr>
          <w:ilvl w:val="1"/>
          <w:numId w:val="496"/>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the applicable Resolution Authority.</w:t>
      </w:r>
    </w:p>
    <w:p>
      <w:pPr>
        <w:spacing w:after="0" w:line="11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b w:val="1"/>
          <w:bCs w:val="1"/>
          <w:color w:val="auto"/>
        </w:rPr>
        <w:t>10.22</w:t>
      </w:r>
      <w:r>
        <w:rPr>
          <w:sz w:val="20"/>
          <w:szCs w:val="20"/>
          <w:color w:val="auto"/>
        </w:rPr>
        <w:tab/>
      </w:r>
      <w:r>
        <w:rPr>
          <w:rFonts w:ascii="Arial" w:cs="Arial" w:eastAsia="Arial" w:hAnsi="Arial"/>
          <w:sz w:val="16"/>
          <w:szCs w:val="16"/>
          <w:b w:val="1"/>
          <w:bCs w:val="1"/>
          <w:color w:val="auto"/>
        </w:rPr>
        <w:t>Amendment and Restatement of Existing Credit Agreement; Acknowledgment of Prior Obligations; No Novation</w:t>
      </w:r>
      <w:r>
        <w:rPr>
          <w:rFonts w:ascii="Arial" w:cs="Arial" w:eastAsia="Arial" w:hAnsi="Arial"/>
          <w:sz w:val="16"/>
          <w:szCs w:val="16"/>
          <w:color w:val="auto"/>
        </w:rPr>
        <w:t>.</w:t>
      </w:r>
    </w:p>
    <w:p>
      <w:pPr>
        <w:spacing w:after="0" w:line="168" w:lineRule="exact"/>
        <w:rPr>
          <w:sz w:val="20"/>
          <w:szCs w:val="20"/>
          <w:color w:val="auto"/>
        </w:rPr>
      </w:pPr>
    </w:p>
    <w:p>
      <w:pPr>
        <w:jc w:val="both"/>
        <w:ind w:firstLine="1304"/>
        <w:spacing w:after="0" w:line="272" w:lineRule="auto"/>
        <w:tabs>
          <w:tab w:leader="none" w:pos="1816" w:val="left"/>
        </w:tabs>
        <w:numPr>
          <w:ilvl w:val="1"/>
          <w:numId w:val="497"/>
        </w:numPr>
        <w:rPr>
          <w:rFonts w:ascii="Arial" w:cs="Arial" w:eastAsia="Arial" w:hAnsi="Arial"/>
          <w:sz w:val="18"/>
          <w:szCs w:val="18"/>
          <w:color w:val="auto"/>
        </w:rPr>
      </w:pPr>
      <w:r>
        <w:rPr>
          <w:rFonts w:ascii="Arial" w:cs="Arial" w:eastAsia="Arial" w:hAnsi="Arial"/>
          <w:sz w:val="18"/>
          <w:szCs w:val="18"/>
          <w:color w:val="auto"/>
        </w:rPr>
        <w:t xml:space="preserve">The parties to this Agreement agree that, upon (i) the execution and delivery by each of the parties hereto of this Agreement and (ii) satisfaction of the conditions set forth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the terms and provisions of the Existing Credit Agreement shall be and hereby are amended, superseded and restated in their entirety by the terms and provisions of this Agreement. Upon the effectiveness of this Agreement, (A) the Administrative Agent shall make such reallocations, sales, assignments or other relevant actions in respect of each Lender’s credit exposure under the Existing Credit Agreement as are necessary in order to ensure that each such Lender’s Aggregate Exposure and outstanding Loans hereunder reflects such Lender’s Aggregate Exposure Percentage of the outstanding Aggregate Exposure on the Closing Date, and (B) the Borrower hereby agrees to compensate each Lender for any and all losses, costs and expenses incurred by such Lender in connection with the sale and assignment of any Eurodollar Loans (including the “Eurodollar Loans” under the Existing Credit Agreement) and such reallocation described above, in each case on the terms and in the manner set forth in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hereof.</w:t>
      </w:r>
    </w:p>
    <w:p>
      <w:pPr>
        <w:spacing w:after="0" w:line="116" w:lineRule="exact"/>
        <w:rPr>
          <w:rFonts w:ascii="Arial" w:cs="Arial" w:eastAsia="Arial" w:hAnsi="Arial"/>
          <w:sz w:val="18"/>
          <w:szCs w:val="18"/>
          <w:color w:val="auto"/>
        </w:rPr>
      </w:pPr>
    </w:p>
    <w:p>
      <w:pPr>
        <w:jc w:val="both"/>
        <w:ind w:firstLine="1304"/>
        <w:spacing w:after="0" w:line="304" w:lineRule="auto"/>
        <w:tabs>
          <w:tab w:leader="none" w:pos="1740" w:val="left"/>
        </w:tabs>
        <w:numPr>
          <w:ilvl w:val="1"/>
          <w:numId w:val="497"/>
        </w:numPr>
        <w:rPr>
          <w:rFonts w:ascii="Arial" w:cs="Arial" w:eastAsia="Arial" w:hAnsi="Arial"/>
          <w:sz w:val="16"/>
          <w:szCs w:val="16"/>
          <w:color w:val="auto"/>
        </w:rPr>
      </w:pPr>
      <w:r>
        <w:rPr>
          <w:rFonts w:ascii="Arial" w:cs="Arial" w:eastAsia="Arial" w:hAnsi="Arial"/>
          <w:sz w:val="16"/>
          <w:szCs w:val="16"/>
          <w:color w:val="auto"/>
        </w:rPr>
        <w:t>Each of the Borrower, on behalf of itself and each other Loan Party, (i) acknowledges and agrees that the prior grant or grants of security interests in favor of any of the Administrative Agent or any other Secured Party (as defined in the Existing Credit Agreement) in its properties and assets, under each “Loan Document” as defined in the Existing Credit Agreement (the “</w:t>
      </w:r>
      <w:r>
        <w:rPr>
          <w:rFonts w:ascii="Arial" w:cs="Arial" w:eastAsia="Arial" w:hAnsi="Arial"/>
          <w:sz w:val="16"/>
          <w:szCs w:val="16"/>
          <w:b w:val="1"/>
          <w:bCs w:val="1"/>
          <w:i w:val="1"/>
          <w:iCs w:val="1"/>
          <w:color w:val="auto"/>
        </w:rPr>
        <w:t>Original Loan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Documents</w:t>
      </w:r>
      <w:r>
        <w:rPr>
          <w:rFonts w:ascii="Arial" w:cs="Arial" w:eastAsia="Arial" w:hAnsi="Arial"/>
          <w:sz w:val="16"/>
          <w:szCs w:val="16"/>
          <w:color w:val="auto"/>
        </w:rPr>
        <w:t>”) to which it is a party shall be in respect of the Obligations of such Person under this Agreement and the other Loan Documents;</w:t>
      </w:r>
    </w:p>
    <w:p>
      <w:pPr>
        <w:spacing w:after="0" w:line="1" w:lineRule="exact"/>
        <w:rPr>
          <w:rFonts w:ascii="Arial" w:cs="Arial" w:eastAsia="Arial" w:hAnsi="Arial"/>
          <w:sz w:val="16"/>
          <w:szCs w:val="16"/>
          <w:color w:val="auto"/>
        </w:rPr>
      </w:pPr>
    </w:p>
    <w:p>
      <w:pPr>
        <w:jc w:val="both"/>
        <w:ind w:firstLine="8"/>
        <w:spacing w:after="0" w:line="254" w:lineRule="auto"/>
        <w:tabs>
          <w:tab w:leader="none" w:pos="320" w:val="left"/>
        </w:tabs>
        <w:numPr>
          <w:ilvl w:val="0"/>
          <w:numId w:val="498"/>
        </w:numPr>
        <w:rPr>
          <w:rFonts w:ascii="Arial" w:cs="Arial" w:eastAsia="Arial" w:hAnsi="Arial"/>
          <w:sz w:val="19"/>
          <w:szCs w:val="19"/>
          <w:color w:val="auto"/>
        </w:rPr>
      </w:pPr>
      <w:r>
        <w:rPr>
          <w:rFonts w:ascii="Arial" w:cs="Arial" w:eastAsia="Arial" w:hAnsi="Arial"/>
          <w:sz w:val="19"/>
          <w:szCs w:val="19"/>
          <w:color w:val="auto"/>
        </w:rPr>
        <w:t>reaffirms (A) all of the Obligations (as defined in the Existing Credit Agreement) owing to the Administrative Agent and the other Secured Parties (as defined in the Existing Credit Agreement), and (B) all prior or concurrent grants of security interests in favor of any of the Administrative Agent or any other Secured Party (as defined in the Existing Credit Agreement) under each Original Loan Document and each Loan Document; and (iii) agrees that, except as expressly amended hereby or unless being amended and restated concurrently herewith, each of the Original Loan Documents to which it is a party (including, without limitation, the Guarantee and Collateral Agreement) is and shall remain in full force and effect. The Borrower hereby confirms and agrees that all outstanding principal, interest and fees and other “Obligations” (as defined in the Existing Credit Agreement) under the Existing Credit Agreement immediately prior to the Closing Date shall, to the extent not paid on the Closing Date, from and after the Closing Date, be, without duplication, Obligations pursuant to this Agreement and the other Loan Documents as in effect from time to time, shall accrue interest thereon as specified in this Agreement, and shall be secured by the Loan Documents.</w:t>
      </w:r>
    </w:p>
    <w:p>
      <w:pPr>
        <w:spacing w:after="0" w:line="128" w:lineRule="exact"/>
        <w:rPr>
          <w:rFonts w:ascii="Arial" w:cs="Arial" w:eastAsia="Arial" w:hAnsi="Arial"/>
          <w:sz w:val="19"/>
          <w:szCs w:val="19"/>
          <w:color w:val="auto"/>
        </w:rPr>
      </w:pPr>
    </w:p>
    <w:p>
      <w:pPr>
        <w:jc w:val="both"/>
        <w:ind w:firstLine="1304"/>
        <w:spacing w:after="0" w:line="291" w:lineRule="auto"/>
        <w:tabs>
          <w:tab w:leader="none" w:pos="1772" w:val="left"/>
        </w:tabs>
        <w:numPr>
          <w:ilvl w:val="1"/>
          <w:numId w:val="498"/>
        </w:numPr>
        <w:rPr>
          <w:rFonts w:ascii="Arial" w:cs="Arial" w:eastAsia="Arial" w:hAnsi="Arial"/>
          <w:sz w:val="18"/>
          <w:szCs w:val="18"/>
          <w:color w:val="auto"/>
        </w:rPr>
      </w:pPr>
      <w:r>
        <w:rPr>
          <w:rFonts w:ascii="Arial" w:cs="Arial" w:eastAsia="Arial" w:hAnsi="Arial"/>
          <w:sz w:val="18"/>
          <w:szCs w:val="18"/>
          <w:color w:val="auto"/>
        </w:rPr>
        <w:t>This Agreement does not extinguish the obligations for the payment of money outstanding under the Existing Credit Agreement or discharge or release the obligations or the Liens or priority of any Liens or any other security therefor. Nothing herein contained shall be construed as a substitution or novation of the obligations outstanding under the Existing Credit Agreement, the other</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132</w:t>
      </w:r>
    </w:p>
    <w:p>
      <w:pPr>
        <w:sectPr>
          <w:pgSz w:w="11900" w:h="16838" w:orient="portrait"/>
          <w:cols w:equalWidth="0" w:num="1">
            <w:col w:w="11240"/>
          </w:cols>
          <w:pgMar w:left="320" w:top="770" w:right="339" w:bottom="1440" w:gutter="0" w:footer="0" w:header="0"/>
        </w:sectPr>
      </w:pPr>
    </w:p>
    <w:bookmarkStart w:id="519" w:name="page520"/>
    <w:bookmarkEnd w:id="519"/>
    <w:p>
      <w:pPr>
        <w:jc w:val="both"/>
        <w:spacing w:after="0" w:line="270" w:lineRule="auto"/>
        <w:rPr>
          <w:sz w:val="20"/>
          <w:szCs w:val="20"/>
          <w:color w:val="auto"/>
        </w:rPr>
      </w:pPr>
      <w:r>
        <w:rPr>
          <w:rFonts w:ascii="Arial" w:cs="Arial" w:eastAsia="Arial" w:hAnsi="Arial"/>
          <w:sz w:val="18"/>
          <w:szCs w:val="18"/>
          <w:color w:val="auto"/>
        </w:rPr>
        <w:t>Original Loan Documents or instruments securing the same, which shall remain in full force and effect, except as modified hereby or by instruments executed concurrently herewith. Nothing expressed or implied in this Agreement shall be construed as a release or other discharge of the Borrower or any Guarantor from any of its obligations or liabilities under the Existing Credit Agreement or any of the security agreements, pledge agreements, mortgages, guaranties or other loan documents executed in connection therewith. The Borrower, on behalf of itself and each other Loan Party, hereby (i) confirms and agrees that each Original Loan Document to which it is a party that is not being amended and restated concurrently herewith is, and shall continue to be, in full force and effect and is hereby ratified and confirmed in all respects except that on and after the Closing Date, all references in any such Original Loan Document to “the Credit Agreement,” “thereto,” “thereof,” “thereunder” or words of like import referring to the Existing Credit Agreement shall mean the Existing Credit Agreement as amended and restated by this Agreement; and (ii) confirms and agrees that to the extent that any such Original Loan Document purports to assign or pledge to any Secured Party a security interest in or Lien on, any collateral as security for all or any portion of any of the Obligations of the Borrower or any other Loan Party, as the case may be, from time to time existing in respect of the Existing Credit Agreement or the Original Loan Document, such pledge or assignment or grant of the security interest or Lien is hereby ratified and confirmed in all respects with respect to this Agreement and the Loan Documents.</w:t>
      </w:r>
    </w:p>
    <w:p>
      <w:pPr>
        <w:spacing w:after="0" w:line="11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b w:val="1"/>
          <w:bCs w:val="1"/>
          <w:color w:val="auto"/>
        </w:rPr>
        <w:t>10.23 Acknowledgement Regarding Any Supported QFCs</w:t>
      </w:r>
      <w:r>
        <w:rPr>
          <w:rFonts w:ascii="Arial" w:cs="Arial" w:eastAsia="Arial" w:hAnsi="Arial"/>
          <w:sz w:val="18"/>
          <w:szCs w:val="18"/>
          <w:color w:val="auto"/>
        </w:rPr>
        <w:t>. To the extent that the Loan Documents provide support, through a</w:t>
      </w:r>
      <w:r>
        <w:rPr>
          <w:rFonts w:ascii="Arial" w:cs="Arial" w:eastAsia="Arial" w:hAnsi="Arial"/>
          <w:sz w:val="18"/>
          <w:szCs w:val="18"/>
          <w:b w:val="1"/>
          <w:bCs w:val="1"/>
          <w:color w:val="auto"/>
        </w:rPr>
        <w:t xml:space="preserve"> </w:t>
      </w:r>
      <w:r>
        <w:rPr>
          <w:rFonts w:ascii="Arial" w:cs="Arial" w:eastAsia="Arial" w:hAnsi="Arial"/>
          <w:sz w:val="18"/>
          <w:szCs w:val="18"/>
          <w:color w:val="auto"/>
        </w:rPr>
        <w:t>guarantee or otherwise, for Swap Agreements or any other agreement or instrument that is a QFC (such support, “</w:t>
      </w:r>
      <w:r>
        <w:rPr>
          <w:rFonts w:ascii="Arial" w:cs="Arial" w:eastAsia="Arial" w:hAnsi="Arial"/>
          <w:sz w:val="18"/>
          <w:szCs w:val="18"/>
          <w:b w:val="1"/>
          <w:bCs w:val="1"/>
          <w:i w:val="1"/>
          <w:iCs w:val="1"/>
          <w:color w:val="auto"/>
        </w:rPr>
        <w:t>QFC Credit Support</w:t>
      </w:r>
      <w:r>
        <w:rPr>
          <w:rFonts w:ascii="Arial" w:cs="Arial" w:eastAsia="Arial" w:hAnsi="Arial"/>
          <w:sz w:val="18"/>
          <w:szCs w:val="18"/>
          <w:color w:val="auto"/>
        </w:rPr>
        <w:t>” and each such QFC a “</w:t>
      </w:r>
      <w:r>
        <w:rPr>
          <w:rFonts w:ascii="Arial" w:cs="Arial" w:eastAsia="Arial" w:hAnsi="Arial"/>
          <w:sz w:val="18"/>
          <w:szCs w:val="18"/>
          <w:b w:val="1"/>
          <w:bCs w:val="1"/>
          <w:i w:val="1"/>
          <w:iCs w:val="1"/>
          <w:color w:val="auto"/>
        </w:rPr>
        <w:t>Supported 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b w:val="1"/>
          <w:bCs w:val="1"/>
          <w:i w:val="1"/>
          <w:iCs w:val="1"/>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14" w:lineRule="exact"/>
        <w:rPr>
          <w:sz w:val="20"/>
          <w:szCs w:val="20"/>
          <w:color w:val="auto"/>
        </w:rPr>
      </w:pPr>
    </w:p>
    <w:p>
      <w:pPr>
        <w:jc w:val="both"/>
        <w:ind w:firstLine="1304"/>
        <w:spacing w:after="0" w:line="271" w:lineRule="auto"/>
        <w:tabs>
          <w:tab w:leader="none" w:pos="1839" w:val="left"/>
        </w:tabs>
        <w:numPr>
          <w:ilvl w:val="0"/>
          <w:numId w:val="499"/>
        </w:numPr>
        <w:rPr>
          <w:rFonts w:ascii="Arial" w:cs="Arial" w:eastAsia="Arial" w:hAnsi="Arial"/>
          <w:sz w:val="18"/>
          <w:szCs w:val="18"/>
          <w:color w:val="auto"/>
        </w:rPr>
      </w:pPr>
      <w:r>
        <w:rPr>
          <w:rFonts w:ascii="Arial" w:cs="Arial" w:eastAsia="Arial" w:hAnsi="Arial"/>
          <w:sz w:val="18"/>
          <w:szCs w:val="18"/>
          <w:color w:val="auto"/>
        </w:rPr>
        <w:t>In the event a Covered Entity that is party to a Supported QFC (each, a “</w:t>
      </w:r>
      <w:r>
        <w:rPr>
          <w:rFonts w:ascii="Arial" w:cs="Arial" w:eastAsia="Arial" w:hAnsi="Arial"/>
          <w:sz w:val="18"/>
          <w:szCs w:val="18"/>
          <w:b w:val="1"/>
          <w:bCs w:val="1"/>
          <w:i w:val="1"/>
          <w:iCs w:val="1"/>
          <w:color w:val="auto"/>
        </w:rPr>
        <w:t>Covered Party</w:t>
      </w:r>
      <w:r>
        <w:rPr>
          <w:rFonts w:ascii="Arial" w:cs="Arial" w:eastAsia="Arial" w:hAnsi="Arial"/>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w:t>
      </w:r>
    </w:p>
    <w:p>
      <w:pPr>
        <w:spacing w:after="0" w:line="119" w:lineRule="exact"/>
        <w:rPr>
          <w:rFonts w:ascii="Arial" w:cs="Arial" w:eastAsia="Arial" w:hAnsi="Arial"/>
          <w:sz w:val="18"/>
          <w:szCs w:val="18"/>
          <w:color w:val="auto"/>
        </w:rPr>
      </w:pPr>
    </w:p>
    <w:p>
      <w:pPr>
        <w:ind w:left="1720" w:hanging="416"/>
        <w:spacing w:after="0"/>
        <w:tabs>
          <w:tab w:leader="none" w:pos="1720" w:val="left"/>
        </w:tabs>
        <w:numPr>
          <w:ilvl w:val="0"/>
          <w:numId w:val="499"/>
        </w:numPr>
        <w:rPr>
          <w:rFonts w:ascii="Arial" w:cs="Arial" w:eastAsia="Arial" w:hAnsi="Arial"/>
          <w:sz w:val="20"/>
          <w:szCs w:val="20"/>
          <w:color w:val="auto"/>
        </w:rPr>
      </w:pPr>
      <w:r>
        <w:rPr>
          <w:rFonts w:ascii="Arial" w:cs="Arial" w:eastAsia="Arial" w:hAnsi="Arial"/>
          <w:sz w:val="20"/>
          <w:szCs w:val="20"/>
          <w:color w:val="auto"/>
        </w:rPr>
        <w:t xml:space="preserve">As used in this </w:t>
      </w:r>
      <w:r>
        <w:rPr>
          <w:rFonts w:ascii="Arial" w:cs="Arial" w:eastAsia="Arial" w:hAnsi="Arial"/>
          <w:sz w:val="20"/>
          <w:szCs w:val="20"/>
          <w:u w:val="single" w:color="auto"/>
          <w:color w:val="auto"/>
        </w:rPr>
        <w:t>Section 10.23</w:t>
      </w:r>
      <w:r>
        <w:rPr>
          <w:rFonts w:ascii="Arial" w:cs="Arial" w:eastAsia="Arial" w:hAnsi="Arial"/>
          <w:sz w:val="20"/>
          <w:szCs w:val="20"/>
          <w:color w:val="auto"/>
        </w:rPr>
        <w:t>, the following terms have the following meanings: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133</w:t>
      </w:r>
    </w:p>
    <w:p>
      <w:pPr>
        <w:sectPr>
          <w:pgSz w:w="11900" w:h="16838" w:orient="portrait"/>
          <w:cols w:equalWidth="0" w:num="1">
            <w:col w:w="11240"/>
          </w:cols>
          <w:pgMar w:left="320" w:top="770" w:right="339" w:bottom="1440" w:gutter="0" w:footer="0" w:header="0"/>
        </w:sectPr>
      </w:pPr>
    </w:p>
    <w:bookmarkStart w:id="520" w:name="page521"/>
    <w:bookmarkEnd w:id="520"/>
    <w:p>
      <w:pPr>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BHC Act Affiliate</w:t>
      </w:r>
      <w:r>
        <w:rPr>
          <w:rFonts w:ascii="Arial" w:cs="Arial" w:eastAsia="Arial" w:hAnsi="Arial"/>
          <w:sz w:val="20"/>
          <w:szCs w:val="20"/>
          <w:color w:val="auto"/>
        </w:rPr>
        <w:t>” of a party means an “affiliate” (as such term is defined under, and interpreted in accordance with, 12 U.S.C. 1841(k)) of such party.</w:t>
      </w:r>
    </w:p>
    <w:p>
      <w:pPr>
        <w:spacing w:after="0" w:line="12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Covered Entity</w:t>
      </w:r>
      <w:r>
        <w:rPr>
          <w:rFonts w:ascii="Arial" w:cs="Arial" w:eastAsia="Arial" w:hAnsi="Arial"/>
          <w:sz w:val="20"/>
          <w:szCs w:val="20"/>
          <w:color w:val="auto"/>
        </w:rPr>
        <w:t>” means any of the following:</w:t>
      </w:r>
    </w:p>
    <w:p>
      <w:pPr>
        <w:spacing w:after="0" w:line="162" w:lineRule="exact"/>
        <w:rPr>
          <w:sz w:val="20"/>
          <w:szCs w:val="20"/>
          <w:color w:val="auto"/>
        </w:rPr>
      </w:pPr>
    </w:p>
    <w:p>
      <w:pPr>
        <w:ind w:left="2340" w:hanging="388"/>
        <w:spacing w:after="0"/>
        <w:tabs>
          <w:tab w:leader="none" w:pos="2340" w:val="left"/>
        </w:tabs>
        <w:numPr>
          <w:ilvl w:val="0"/>
          <w:numId w:val="500"/>
        </w:numPr>
        <w:rPr>
          <w:rFonts w:ascii="Arial" w:cs="Arial" w:eastAsia="Arial" w:hAnsi="Arial"/>
          <w:sz w:val="19"/>
          <w:szCs w:val="19"/>
          <w:color w:val="auto"/>
        </w:rPr>
      </w:pPr>
      <w:r>
        <w:rPr>
          <w:rFonts w:ascii="Arial" w:cs="Arial" w:eastAsia="Arial" w:hAnsi="Arial"/>
          <w:sz w:val="19"/>
          <w:szCs w:val="19"/>
          <w:color w:val="auto"/>
        </w:rPr>
        <w:t>a “covered entity” as that term is defined in, and interpreted in accordance with, 12 C.F.R. § 252.82(b)</w:t>
      </w:r>
    </w:p>
    <w:p>
      <w:pPr>
        <w:spacing w:after="0" w:line="173" w:lineRule="exact"/>
        <w:rPr>
          <w:rFonts w:ascii="Arial" w:cs="Arial" w:eastAsia="Arial" w:hAnsi="Arial"/>
          <w:sz w:val="19"/>
          <w:szCs w:val="19"/>
          <w:color w:val="auto"/>
        </w:rPr>
      </w:pPr>
    </w:p>
    <w:p>
      <w:pPr>
        <w:ind w:left="2400" w:hanging="448"/>
        <w:spacing w:after="0"/>
        <w:tabs>
          <w:tab w:leader="none" w:pos="2400" w:val="left"/>
        </w:tabs>
        <w:numPr>
          <w:ilvl w:val="0"/>
          <w:numId w:val="500"/>
        </w:numPr>
        <w:rPr>
          <w:rFonts w:ascii="Arial" w:cs="Arial" w:eastAsia="Arial" w:hAnsi="Arial"/>
          <w:sz w:val="19"/>
          <w:szCs w:val="19"/>
          <w:color w:val="auto"/>
        </w:rPr>
      </w:pPr>
      <w:r>
        <w:rPr>
          <w:rFonts w:ascii="Arial" w:cs="Arial" w:eastAsia="Arial" w:hAnsi="Arial"/>
          <w:sz w:val="19"/>
          <w:szCs w:val="19"/>
          <w:color w:val="auto"/>
        </w:rPr>
        <w:t>a “covered bank” as that term is defined in, and interpreted in accordance with, 12 C.F.R. § 47.3(b); or</w:t>
      </w:r>
    </w:p>
    <w:p>
      <w:pPr>
        <w:spacing w:after="0" w:line="173" w:lineRule="exact"/>
        <w:rPr>
          <w:rFonts w:ascii="Arial" w:cs="Arial" w:eastAsia="Arial" w:hAnsi="Arial"/>
          <w:sz w:val="19"/>
          <w:szCs w:val="19"/>
          <w:color w:val="auto"/>
        </w:rPr>
      </w:pPr>
    </w:p>
    <w:p>
      <w:pPr>
        <w:ind w:left="2440" w:hanging="488"/>
        <w:spacing w:after="0"/>
        <w:tabs>
          <w:tab w:leader="none" w:pos="2440" w:val="left"/>
        </w:tabs>
        <w:numPr>
          <w:ilvl w:val="0"/>
          <w:numId w:val="500"/>
        </w:numPr>
        <w:rPr>
          <w:rFonts w:ascii="Arial" w:cs="Arial" w:eastAsia="Arial" w:hAnsi="Arial"/>
          <w:sz w:val="20"/>
          <w:szCs w:val="20"/>
          <w:color w:val="auto"/>
        </w:rPr>
      </w:pPr>
      <w:r>
        <w:rPr>
          <w:rFonts w:ascii="Arial" w:cs="Arial" w:eastAsia="Arial" w:hAnsi="Arial"/>
          <w:sz w:val="20"/>
          <w:szCs w:val="20"/>
          <w:color w:val="auto"/>
        </w:rPr>
        <w:t>a “covered FSI” as that term is defined in, and interpreted in accordance with, 12 C.F.R. § 382.2(b).</w:t>
      </w:r>
    </w:p>
    <w:p>
      <w:pPr>
        <w:spacing w:after="0" w:line="162" w:lineRule="exact"/>
        <w:rPr>
          <w:sz w:val="20"/>
          <w:szCs w:val="20"/>
          <w:color w:val="auto"/>
        </w:rPr>
      </w:pPr>
    </w:p>
    <w:p>
      <w:pPr>
        <w:ind w:right="18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Default Right</w:t>
      </w:r>
      <w:r>
        <w:rPr>
          <w:rFonts w:ascii="Arial" w:cs="Arial" w:eastAsia="Arial" w:hAnsi="Arial"/>
          <w:sz w:val="20"/>
          <w:szCs w:val="20"/>
          <w:color w:val="auto"/>
        </w:rPr>
        <w:t>” has the meaning assigned to that term in, and shall be interpreted in accordance with, 12 C.F.R. §§ 252.81, 47.2 or 382.1, as applicable.</w:t>
      </w:r>
    </w:p>
    <w:p>
      <w:pPr>
        <w:spacing w:after="0" w:line="123" w:lineRule="exact"/>
        <w:rPr>
          <w:sz w:val="20"/>
          <w:szCs w:val="20"/>
          <w:color w:val="auto"/>
        </w:rPr>
      </w:pPr>
    </w:p>
    <w:p>
      <w:pPr>
        <w:ind w:right="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QFC</w:t>
      </w:r>
      <w:r>
        <w:rPr>
          <w:rFonts w:ascii="Arial" w:cs="Arial" w:eastAsia="Arial" w:hAnsi="Arial"/>
          <w:sz w:val="20"/>
          <w:szCs w:val="20"/>
          <w:color w:val="auto"/>
        </w:rPr>
        <w:t>” has the meaning assigned to the term “qualified financial contract” in, and shall be interpreted in accordance with, 12 U.S.C. 5390(c)(8)(D).</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left blank intentionally</w:t>
      </w:r>
      <w:r>
        <w:rPr>
          <w:rFonts w:ascii="Arial" w:cs="Arial" w:eastAsia="Arial" w:hAnsi="Arial"/>
          <w:sz w:val="20"/>
          <w:szCs w:val="20"/>
          <w:color w:val="auto"/>
        </w:rPr>
        <w:t>]</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134</w:t>
      </w:r>
    </w:p>
    <w:p>
      <w:pPr>
        <w:sectPr>
          <w:pgSz w:w="11900" w:h="16838" w:orient="portrait"/>
          <w:cols w:equalWidth="0" w:num="1">
            <w:col w:w="11240"/>
          </w:cols>
          <w:pgMar w:left="320" w:top="770" w:right="339" w:bottom="1440" w:gutter="0" w:footer="0" w:header="0"/>
        </w:sectPr>
      </w:pPr>
    </w:p>
    <w:bookmarkStart w:id="521" w:name="page522"/>
    <w:bookmarkEnd w:id="521"/>
    <w:p>
      <w:pPr>
        <w:ind w:firstLine="648"/>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hereto have caused this Agreement to be duly executed and delivered by their proper and</w:t>
      </w:r>
      <w:r>
        <w:rPr>
          <w:rFonts w:ascii="Arial" w:cs="Arial" w:eastAsia="Arial" w:hAnsi="Arial"/>
          <w:sz w:val="20"/>
          <w:szCs w:val="20"/>
          <w:b w:val="1"/>
          <w:bCs w:val="1"/>
          <w:color w:val="auto"/>
        </w:rPr>
        <w:t xml:space="preserve"> </w:t>
      </w:r>
      <w:r>
        <w:rPr>
          <w:rFonts w:ascii="Arial" w:cs="Arial" w:eastAsia="Arial" w:hAnsi="Arial"/>
          <w:sz w:val="20"/>
          <w:szCs w:val="20"/>
          <w:color w:val="auto"/>
        </w:rPr>
        <w:t>duly authorized officers as of the day and year first above written.</w:t>
      </w:r>
    </w:p>
    <w:p>
      <w:pPr>
        <w:spacing w:after="0" w:line="163" w:lineRule="exact"/>
        <w:rPr>
          <w:sz w:val="20"/>
          <w:szCs w:val="20"/>
          <w:color w:val="auto"/>
        </w:rPr>
      </w:pPr>
    </w:p>
    <w:p>
      <w:pPr>
        <w:jc w:val="center"/>
        <w:ind w:right="-299"/>
        <w:spacing w:after="0"/>
        <w:rPr>
          <w:sz w:val="20"/>
          <w:szCs w:val="20"/>
          <w:color w:val="auto"/>
        </w:rPr>
      </w:pPr>
      <w:r>
        <w:rPr>
          <w:rFonts w:ascii="Arial" w:cs="Arial" w:eastAsia="Arial" w:hAnsi="Arial"/>
          <w:sz w:val="20"/>
          <w:szCs w:val="20"/>
          <w:b w:val="1"/>
          <w:bCs w:val="1"/>
          <w:color w:val="auto"/>
        </w:rPr>
        <w:t>BORROWER:</w:t>
      </w:r>
    </w:p>
    <w:p>
      <w:pPr>
        <w:spacing w:after="0" w:line="310" w:lineRule="exact"/>
        <w:rPr>
          <w:sz w:val="20"/>
          <w:szCs w:val="20"/>
          <w:color w:val="auto"/>
        </w:rPr>
      </w:pPr>
    </w:p>
    <w:p>
      <w:pPr>
        <w:ind w:left="5120"/>
        <w:spacing w:after="0"/>
        <w:rPr>
          <w:sz w:val="20"/>
          <w:szCs w:val="20"/>
          <w:color w:val="auto"/>
        </w:rPr>
      </w:pPr>
      <w:r>
        <w:rPr>
          <w:rFonts w:ascii="Arial" w:cs="Arial" w:eastAsia="Arial" w:hAnsi="Arial"/>
          <w:sz w:val="20"/>
          <w:szCs w:val="20"/>
          <w:b w:val="1"/>
          <w:bCs w:val="1"/>
          <w:color w:val="auto"/>
        </w:rPr>
        <w:t>NERDWALLET, INC.</w:t>
      </w:r>
    </w:p>
    <w:p>
      <w:pPr>
        <w:spacing w:after="0" w:line="316" w:lineRule="exact"/>
        <w:rPr>
          <w:sz w:val="20"/>
          <w:szCs w:val="20"/>
          <w:color w:val="auto"/>
        </w:rPr>
      </w:pPr>
    </w:p>
    <w:tbl>
      <w:tblPr>
        <w:tblLayout w:type="fixed"/>
        <w:tblInd w:w="5120" w:type="dxa"/>
        <w:tblCellMar>
          <w:top w:w="0" w:type="dxa"/>
          <w:left w:w="0" w:type="dxa"/>
          <w:bottom w:w="0" w:type="dxa"/>
          <w:right w:w="0" w:type="dxa"/>
        </w:tblCellMar>
      </w:tblPr>
      <w:tr>
        <w:trPr>
          <w:trHeight w:val="250"/>
        </w:trPr>
        <w:tc>
          <w:tcPr>
            <w:tcW w:w="84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/s/Tim Chen</w:t>
            </w:r>
          </w:p>
        </w:tc>
      </w:tr>
      <w:tr>
        <w:trPr>
          <w:trHeight w:val="23"/>
        </w:trPr>
        <w:tc>
          <w:tcPr>
            <w:tcW w:w="84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497"/>
        </w:trPr>
        <w:tc>
          <w:tcPr>
            <w:tcW w:w="84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Tim Chen</w:t>
            </w:r>
          </w:p>
        </w:tc>
      </w:tr>
      <w:tr>
        <w:trPr>
          <w:trHeight w:val="23"/>
        </w:trPr>
        <w:tc>
          <w:tcPr>
            <w:tcW w:w="84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497"/>
        </w:trPr>
        <w:tc>
          <w:tcPr>
            <w:tcW w:w="84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Chief Executive Officer</w:t>
            </w:r>
          </w:p>
        </w:tc>
      </w:tr>
      <w:tr>
        <w:trPr>
          <w:trHeight w:val="23"/>
        </w:trPr>
        <w:tc>
          <w:tcPr>
            <w:tcW w:w="84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23" w:lineRule="exact"/>
        <w:rPr>
          <w:sz w:val="20"/>
          <w:szCs w:val="20"/>
          <w:color w:val="auto"/>
        </w:rPr>
      </w:pPr>
    </w:p>
    <w:p>
      <w:pPr>
        <w:ind w:left="5120"/>
        <w:spacing w:after="0"/>
        <w:rPr>
          <w:sz w:val="20"/>
          <w:szCs w:val="20"/>
          <w:color w:val="auto"/>
        </w:rPr>
      </w:pPr>
      <w:r>
        <w:rPr>
          <w:rFonts w:ascii="Arial" w:cs="Arial" w:eastAsia="Arial" w:hAnsi="Arial"/>
          <w:sz w:val="20"/>
          <w:szCs w:val="20"/>
          <w:b w:val="1"/>
          <w:bCs w:val="1"/>
          <w:color w:val="auto"/>
        </w:rPr>
        <w:t>NERDWALLET COMPARE, INC.</w:t>
      </w:r>
    </w:p>
    <w:p>
      <w:pPr>
        <w:spacing w:after="0" w:line="316" w:lineRule="exact"/>
        <w:rPr>
          <w:sz w:val="20"/>
          <w:szCs w:val="20"/>
          <w:color w:val="auto"/>
        </w:rPr>
      </w:pPr>
    </w:p>
    <w:tbl>
      <w:tblPr>
        <w:tblLayout w:type="fixed"/>
        <w:tblInd w:w="5120" w:type="dxa"/>
        <w:tblCellMar>
          <w:top w:w="0" w:type="dxa"/>
          <w:left w:w="0" w:type="dxa"/>
          <w:bottom w:w="0" w:type="dxa"/>
          <w:right w:w="0" w:type="dxa"/>
        </w:tblCellMar>
      </w:tblPr>
      <w:tr>
        <w:trPr>
          <w:trHeight w:val="250"/>
        </w:trPr>
        <w:tc>
          <w:tcPr>
            <w:tcW w:w="84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/s/Tim Chen</w:t>
            </w:r>
          </w:p>
        </w:tc>
      </w:tr>
      <w:tr>
        <w:trPr>
          <w:trHeight w:val="23"/>
        </w:trPr>
        <w:tc>
          <w:tcPr>
            <w:tcW w:w="84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497"/>
        </w:trPr>
        <w:tc>
          <w:tcPr>
            <w:tcW w:w="84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Tim Chen</w:t>
            </w:r>
          </w:p>
        </w:tc>
      </w:tr>
      <w:tr>
        <w:trPr>
          <w:trHeight w:val="23"/>
        </w:trPr>
        <w:tc>
          <w:tcPr>
            <w:tcW w:w="84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497"/>
        </w:trPr>
        <w:tc>
          <w:tcPr>
            <w:tcW w:w="84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Chief Executive Officer</w:t>
            </w:r>
          </w:p>
        </w:tc>
      </w:tr>
      <w:tr>
        <w:trPr>
          <w:trHeight w:val="23"/>
        </w:trPr>
        <w:tc>
          <w:tcPr>
            <w:tcW w:w="84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bl>
    <w:p>
      <w:pPr>
        <w:sectPr>
          <w:pgSz w:w="11900" w:h="16838" w:orient="portrait"/>
          <w:cols w:equalWidth="0" w:num="1">
            <w:col w:w="11240"/>
          </w:cols>
          <w:pgMar w:left="320" w:top="1412" w:right="339" w:bottom="1440" w:gutter="0" w:footer="0" w:header="0"/>
        </w:sectPr>
      </w:pPr>
    </w:p>
    <w:bookmarkStart w:id="522" w:name="page523"/>
    <w:bookmarkEnd w:id="522"/>
    <w:p>
      <w:pPr>
        <w:spacing w:after="0" w:line="27" w:lineRule="exact"/>
        <w:rPr>
          <w:sz w:val="20"/>
          <w:szCs w:val="20"/>
          <w:color w:val="auto"/>
        </w:rPr>
      </w:pPr>
    </w:p>
    <w:p>
      <w:pPr>
        <w:ind w:left="3480"/>
        <w:spacing w:after="0"/>
        <w:rPr>
          <w:sz w:val="20"/>
          <w:szCs w:val="20"/>
          <w:color w:val="auto"/>
        </w:rPr>
      </w:pPr>
      <w:r>
        <w:rPr>
          <w:rFonts w:ascii="Arial" w:cs="Arial" w:eastAsia="Arial" w:hAnsi="Arial"/>
          <w:sz w:val="20"/>
          <w:szCs w:val="20"/>
          <w:b w:val="1"/>
          <w:bCs w:val="1"/>
          <w:color w:val="auto"/>
        </w:rPr>
        <w:t>ADMINISTRATIVE AGENT:</w:t>
      </w:r>
    </w:p>
    <w:p>
      <w:pPr>
        <w:spacing w:after="0" w:line="310" w:lineRule="exact"/>
        <w:rPr>
          <w:sz w:val="20"/>
          <w:szCs w:val="20"/>
          <w:color w:val="auto"/>
        </w:rPr>
      </w:pPr>
    </w:p>
    <w:p>
      <w:pPr>
        <w:jc w:val="center"/>
        <w:ind w:right="-260"/>
        <w:spacing w:after="0"/>
        <w:rPr>
          <w:sz w:val="20"/>
          <w:szCs w:val="20"/>
          <w:color w:val="auto"/>
        </w:rPr>
      </w:pPr>
      <w:r>
        <w:rPr>
          <w:rFonts w:ascii="Arial" w:cs="Arial" w:eastAsia="Arial" w:hAnsi="Arial"/>
          <w:sz w:val="20"/>
          <w:szCs w:val="20"/>
          <w:b w:val="1"/>
          <w:bCs w:val="1"/>
          <w:color w:val="auto"/>
        </w:rPr>
        <w:t>SILICON VALLEY BANK</w:t>
      </w:r>
    </w:p>
    <w:p>
      <w:pPr>
        <w:spacing w:after="0" w:line="316" w:lineRule="exact"/>
        <w:rPr>
          <w:sz w:val="20"/>
          <w:szCs w:val="20"/>
          <w:color w:val="auto"/>
        </w:rPr>
      </w:pPr>
    </w:p>
    <w:tbl>
      <w:tblPr>
        <w:tblLayout w:type="fixed"/>
        <w:tblInd w:w="3480" w:type="dxa"/>
        <w:tblCellMar>
          <w:top w:w="0" w:type="dxa"/>
          <w:left w:w="0" w:type="dxa"/>
          <w:bottom w:w="0" w:type="dxa"/>
          <w:right w:w="0" w:type="dxa"/>
        </w:tblCellMar>
      </w:tblPr>
      <w:tr>
        <w:trPr>
          <w:trHeight w:val="250"/>
        </w:trPr>
        <w:tc>
          <w:tcPr>
            <w:tcW w:w="840" w:type="dxa"/>
            <w:vAlign w:val="bottom"/>
          </w:tcPr>
          <w:p>
            <w:pPr>
              <w:spacing w:after="0"/>
              <w:rPr>
                <w:sz w:val="20"/>
                <w:szCs w:val="20"/>
                <w:color w:val="auto"/>
              </w:rPr>
            </w:pPr>
            <w:r>
              <w:rPr>
                <w:rFonts w:ascii="Arial" w:cs="Arial" w:eastAsia="Arial" w:hAnsi="Arial"/>
                <w:sz w:val="20"/>
                <w:szCs w:val="20"/>
                <w:color w:val="auto"/>
              </w:rPr>
              <w:t>By:</w:t>
            </w:r>
          </w:p>
        </w:tc>
        <w:tc>
          <w:tcPr>
            <w:tcW w:w="4580" w:type="dxa"/>
            <w:vAlign w:val="bottom"/>
          </w:tcPr>
          <w:p>
            <w:pPr>
              <w:ind w:left="20"/>
              <w:spacing w:after="0"/>
              <w:rPr>
                <w:sz w:val="20"/>
                <w:szCs w:val="20"/>
                <w:color w:val="auto"/>
              </w:rPr>
            </w:pPr>
            <w:r>
              <w:rPr>
                <w:rFonts w:ascii="Arial" w:cs="Arial" w:eastAsia="Arial" w:hAnsi="Arial"/>
                <w:sz w:val="20"/>
                <w:szCs w:val="20"/>
                <w:color w:val="auto"/>
              </w:rPr>
              <w:t>/s/Alex Brotevant</w:t>
            </w:r>
          </w:p>
        </w:tc>
      </w:tr>
      <w:tr>
        <w:trPr>
          <w:trHeight w:val="23"/>
        </w:trPr>
        <w:tc>
          <w:tcPr>
            <w:tcW w:w="84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497"/>
        </w:trPr>
        <w:tc>
          <w:tcPr>
            <w:tcW w:w="840" w:type="dxa"/>
            <w:vAlign w:val="bottom"/>
          </w:tcPr>
          <w:p>
            <w:pPr>
              <w:spacing w:after="0"/>
              <w:rPr>
                <w:sz w:val="20"/>
                <w:szCs w:val="20"/>
                <w:color w:val="auto"/>
              </w:rPr>
            </w:pPr>
            <w:r>
              <w:rPr>
                <w:rFonts w:ascii="Arial" w:cs="Arial" w:eastAsia="Arial" w:hAnsi="Arial"/>
                <w:sz w:val="20"/>
                <w:szCs w:val="20"/>
                <w:color w:val="auto"/>
              </w:rPr>
              <w:t>Name:</w:t>
            </w:r>
          </w:p>
        </w:tc>
        <w:tc>
          <w:tcPr>
            <w:tcW w:w="4580" w:type="dxa"/>
            <w:vAlign w:val="bottom"/>
          </w:tcPr>
          <w:p>
            <w:pPr>
              <w:ind w:left="20"/>
              <w:spacing w:after="0"/>
              <w:rPr>
                <w:sz w:val="20"/>
                <w:szCs w:val="20"/>
                <w:color w:val="auto"/>
              </w:rPr>
            </w:pPr>
            <w:r>
              <w:rPr>
                <w:rFonts w:ascii="Arial" w:cs="Arial" w:eastAsia="Arial" w:hAnsi="Arial"/>
                <w:sz w:val="20"/>
                <w:szCs w:val="20"/>
                <w:color w:val="auto"/>
              </w:rPr>
              <w:t>Alex Grotevant</w:t>
            </w:r>
          </w:p>
        </w:tc>
      </w:tr>
      <w:tr>
        <w:trPr>
          <w:trHeight w:val="23"/>
        </w:trPr>
        <w:tc>
          <w:tcPr>
            <w:tcW w:w="84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497"/>
        </w:trPr>
        <w:tc>
          <w:tcPr>
            <w:tcW w:w="840" w:type="dxa"/>
            <w:vAlign w:val="bottom"/>
          </w:tcPr>
          <w:p>
            <w:pPr>
              <w:spacing w:after="0"/>
              <w:rPr>
                <w:sz w:val="20"/>
                <w:szCs w:val="20"/>
                <w:color w:val="auto"/>
              </w:rPr>
            </w:pPr>
            <w:r>
              <w:rPr>
                <w:rFonts w:ascii="Arial" w:cs="Arial" w:eastAsia="Arial" w:hAnsi="Arial"/>
                <w:sz w:val="20"/>
                <w:szCs w:val="20"/>
                <w:color w:val="auto"/>
              </w:rPr>
              <w:t>Title:</w:t>
            </w:r>
          </w:p>
        </w:tc>
        <w:tc>
          <w:tcPr>
            <w:tcW w:w="4580" w:type="dxa"/>
            <w:vAlign w:val="bottom"/>
          </w:tcPr>
          <w:p>
            <w:pPr>
              <w:ind w:left="20"/>
              <w:spacing w:after="0"/>
              <w:rPr>
                <w:sz w:val="20"/>
                <w:szCs w:val="20"/>
                <w:color w:val="auto"/>
              </w:rPr>
            </w:pPr>
            <w:r>
              <w:rPr>
                <w:rFonts w:ascii="Arial" w:cs="Arial" w:eastAsia="Arial" w:hAnsi="Arial"/>
                <w:sz w:val="20"/>
                <w:szCs w:val="20"/>
                <w:color w:val="auto"/>
              </w:rPr>
              <w:t>Vice President</w:t>
            </w:r>
          </w:p>
        </w:tc>
      </w:tr>
      <w:tr>
        <w:trPr>
          <w:trHeight w:val="23"/>
        </w:trPr>
        <w:tc>
          <w:tcPr>
            <w:tcW w:w="84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bl>
    <w:p>
      <w:pPr>
        <w:sectPr>
          <w:pgSz w:w="11900" w:h="16838" w:orient="portrait"/>
          <w:cols w:equalWidth="0" w:num="1">
            <w:col w:w="9019"/>
          </w:cols>
          <w:pgMar w:left="1440" w:top="1440" w:right="1440" w:bottom="1440" w:gutter="0" w:footer="0" w:header="0"/>
        </w:sectPr>
      </w:pPr>
    </w:p>
    <w:bookmarkStart w:id="523" w:name="page524"/>
    <w:bookmarkEnd w:id="523"/>
    <w:p>
      <w:pPr>
        <w:spacing w:after="0" w:line="27" w:lineRule="exact"/>
        <w:rPr>
          <w:sz w:val="20"/>
          <w:szCs w:val="20"/>
          <w:color w:val="auto"/>
        </w:rPr>
      </w:pPr>
    </w:p>
    <w:p>
      <w:pPr>
        <w:ind w:left="3480"/>
        <w:spacing w:after="0"/>
        <w:rPr>
          <w:sz w:val="20"/>
          <w:szCs w:val="20"/>
          <w:color w:val="auto"/>
        </w:rPr>
      </w:pPr>
      <w:r>
        <w:rPr>
          <w:rFonts w:ascii="Arial" w:cs="Arial" w:eastAsia="Arial" w:hAnsi="Arial"/>
          <w:sz w:val="20"/>
          <w:szCs w:val="20"/>
          <w:b w:val="1"/>
          <w:bCs w:val="1"/>
          <w:color w:val="auto"/>
        </w:rPr>
        <w:t>LENDERS:</w:t>
      </w:r>
    </w:p>
    <w:p>
      <w:pPr>
        <w:spacing w:after="0" w:line="310" w:lineRule="exact"/>
        <w:rPr>
          <w:sz w:val="20"/>
          <w:szCs w:val="20"/>
          <w:color w:val="auto"/>
        </w:rPr>
      </w:pPr>
    </w:p>
    <w:p>
      <w:pPr>
        <w:ind w:left="3480"/>
        <w:spacing w:after="0"/>
        <w:rPr>
          <w:sz w:val="20"/>
          <w:szCs w:val="20"/>
          <w:color w:val="auto"/>
        </w:rPr>
      </w:pPr>
      <w:r>
        <w:rPr>
          <w:rFonts w:ascii="Arial" w:cs="Arial" w:eastAsia="Arial" w:hAnsi="Arial"/>
          <w:sz w:val="20"/>
          <w:szCs w:val="20"/>
          <w:b w:val="1"/>
          <w:bCs w:val="1"/>
          <w:color w:val="auto"/>
        </w:rPr>
        <w:t>SILICON VALLEY BANK,</w:t>
      </w:r>
    </w:p>
    <w:p>
      <w:pPr>
        <w:spacing w:after="0" w:line="60" w:lineRule="exact"/>
        <w:rPr>
          <w:sz w:val="20"/>
          <w:szCs w:val="20"/>
          <w:color w:val="auto"/>
        </w:rPr>
      </w:pPr>
    </w:p>
    <w:p>
      <w:pPr>
        <w:ind w:left="3480"/>
        <w:spacing w:after="0"/>
        <w:rPr>
          <w:sz w:val="20"/>
          <w:szCs w:val="20"/>
          <w:color w:val="auto"/>
        </w:rPr>
      </w:pPr>
      <w:r>
        <w:rPr>
          <w:rFonts w:ascii="Arial" w:cs="Arial" w:eastAsia="Arial" w:hAnsi="Arial"/>
          <w:sz w:val="20"/>
          <w:szCs w:val="20"/>
          <w:color w:val="auto"/>
        </w:rPr>
        <w:t>as Issuing Lender, Swingline Lender and as a Lender</w:t>
      </w:r>
    </w:p>
    <w:p>
      <w:pPr>
        <w:spacing w:after="0" w:line="310" w:lineRule="exact"/>
        <w:rPr>
          <w:sz w:val="20"/>
          <w:szCs w:val="20"/>
          <w:color w:val="auto"/>
        </w:rPr>
      </w:pPr>
    </w:p>
    <w:tbl>
      <w:tblPr>
        <w:tblLayout w:type="fixed"/>
        <w:tblInd w:w="3480" w:type="dxa"/>
        <w:tblCellMar>
          <w:top w:w="0" w:type="dxa"/>
          <w:left w:w="0" w:type="dxa"/>
          <w:bottom w:w="0" w:type="dxa"/>
          <w:right w:w="0" w:type="dxa"/>
        </w:tblCellMar>
      </w:tblPr>
      <w:tr>
        <w:trPr>
          <w:trHeight w:val="250"/>
        </w:trPr>
        <w:tc>
          <w:tcPr>
            <w:tcW w:w="840" w:type="dxa"/>
            <w:vAlign w:val="bottom"/>
          </w:tcPr>
          <w:p>
            <w:pPr>
              <w:spacing w:after="0"/>
              <w:rPr>
                <w:sz w:val="20"/>
                <w:szCs w:val="20"/>
                <w:color w:val="auto"/>
              </w:rPr>
            </w:pPr>
            <w:r>
              <w:rPr>
                <w:rFonts w:ascii="Arial" w:cs="Arial" w:eastAsia="Arial" w:hAnsi="Arial"/>
                <w:sz w:val="20"/>
                <w:szCs w:val="20"/>
                <w:color w:val="auto"/>
              </w:rPr>
              <w:t>By:</w:t>
            </w:r>
          </w:p>
        </w:tc>
        <w:tc>
          <w:tcPr>
            <w:tcW w:w="4580" w:type="dxa"/>
            <w:vAlign w:val="bottom"/>
          </w:tcPr>
          <w:p>
            <w:pPr>
              <w:ind w:left="20"/>
              <w:spacing w:after="0"/>
              <w:rPr>
                <w:sz w:val="20"/>
                <w:szCs w:val="20"/>
                <w:color w:val="auto"/>
              </w:rPr>
            </w:pPr>
            <w:r>
              <w:rPr>
                <w:rFonts w:ascii="Arial" w:cs="Arial" w:eastAsia="Arial" w:hAnsi="Arial"/>
                <w:sz w:val="20"/>
                <w:szCs w:val="20"/>
                <w:color w:val="auto"/>
              </w:rPr>
              <w:t>/s/Alex Grotevant</w:t>
            </w:r>
          </w:p>
        </w:tc>
      </w:tr>
      <w:tr>
        <w:trPr>
          <w:trHeight w:val="23"/>
        </w:trPr>
        <w:tc>
          <w:tcPr>
            <w:tcW w:w="84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497"/>
        </w:trPr>
        <w:tc>
          <w:tcPr>
            <w:tcW w:w="840" w:type="dxa"/>
            <w:vAlign w:val="bottom"/>
          </w:tcPr>
          <w:p>
            <w:pPr>
              <w:spacing w:after="0"/>
              <w:rPr>
                <w:sz w:val="20"/>
                <w:szCs w:val="20"/>
                <w:color w:val="auto"/>
              </w:rPr>
            </w:pPr>
            <w:r>
              <w:rPr>
                <w:rFonts w:ascii="Arial" w:cs="Arial" w:eastAsia="Arial" w:hAnsi="Arial"/>
                <w:sz w:val="20"/>
                <w:szCs w:val="20"/>
                <w:color w:val="auto"/>
              </w:rPr>
              <w:t>Name:</w:t>
            </w:r>
          </w:p>
        </w:tc>
        <w:tc>
          <w:tcPr>
            <w:tcW w:w="4580" w:type="dxa"/>
            <w:vAlign w:val="bottom"/>
          </w:tcPr>
          <w:p>
            <w:pPr>
              <w:ind w:left="20"/>
              <w:spacing w:after="0"/>
              <w:rPr>
                <w:sz w:val="20"/>
                <w:szCs w:val="20"/>
                <w:color w:val="auto"/>
              </w:rPr>
            </w:pPr>
            <w:r>
              <w:rPr>
                <w:rFonts w:ascii="Arial" w:cs="Arial" w:eastAsia="Arial" w:hAnsi="Arial"/>
                <w:sz w:val="20"/>
                <w:szCs w:val="20"/>
                <w:color w:val="auto"/>
              </w:rPr>
              <w:t>Alex Grotevant</w:t>
            </w:r>
          </w:p>
        </w:tc>
      </w:tr>
      <w:tr>
        <w:trPr>
          <w:trHeight w:val="23"/>
        </w:trPr>
        <w:tc>
          <w:tcPr>
            <w:tcW w:w="84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497"/>
        </w:trPr>
        <w:tc>
          <w:tcPr>
            <w:tcW w:w="840" w:type="dxa"/>
            <w:vAlign w:val="bottom"/>
          </w:tcPr>
          <w:p>
            <w:pPr>
              <w:spacing w:after="0"/>
              <w:rPr>
                <w:sz w:val="20"/>
                <w:szCs w:val="20"/>
                <w:color w:val="auto"/>
              </w:rPr>
            </w:pPr>
            <w:r>
              <w:rPr>
                <w:rFonts w:ascii="Arial" w:cs="Arial" w:eastAsia="Arial" w:hAnsi="Arial"/>
                <w:sz w:val="20"/>
                <w:szCs w:val="20"/>
                <w:color w:val="auto"/>
              </w:rPr>
              <w:t>Title:</w:t>
            </w:r>
          </w:p>
        </w:tc>
        <w:tc>
          <w:tcPr>
            <w:tcW w:w="4580" w:type="dxa"/>
            <w:vAlign w:val="bottom"/>
          </w:tcPr>
          <w:p>
            <w:pPr>
              <w:ind w:left="20"/>
              <w:spacing w:after="0"/>
              <w:rPr>
                <w:sz w:val="20"/>
                <w:szCs w:val="20"/>
                <w:color w:val="auto"/>
              </w:rPr>
            </w:pPr>
            <w:r>
              <w:rPr>
                <w:rFonts w:ascii="Arial" w:cs="Arial" w:eastAsia="Arial" w:hAnsi="Arial"/>
                <w:sz w:val="20"/>
                <w:szCs w:val="20"/>
                <w:color w:val="auto"/>
              </w:rPr>
              <w:t>Vice President</w:t>
            </w:r>
          </w:p>
        </w:tc>
      </w:tr>
      <w:tr>
        <w:trPr>
          <w:trHeight w:val="23"/>
        </w:trPr>
        <w:tc>
          <w:tcPr>
            <w:tcW w:w="84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bl>
    <w:p>
      <w:pPr>
        <w:sectPr>
          <w:pgSz w:w="11900" w:h="16838" w:orient="portrait"/>
          <w:cols w:equalWidth="0" w:num="1">
            <w:col w:w="9019"/>
          </w:cols>
          <w:pgMar w:left="1440" w:top="1440" w:right="1440" w:bottom="1440" w:gutter="0" w:footer="0" w:header="0"/>
        </w:sectPr>
      </w:pPr>
    </w:p>
    <w:bookmarkStart w:id="524" w:name="page525"/>
    <w:bookmarkEnd w:id="524"/>
    <w:p>
      <w:pPr>
        <w:spacing w:after="0" w:line="27" w:lineRule="exact"/>
        <w:rPr>
          <w:sz w:val="20"/>
          <w:szCs w:val="20"/>
          <w:color w:val="auto"/>
        </w:rPr>
      </w:pPr>
    </w:p>
    <w:p>
      <w:pPr>
        <w:ind w:left="3500"/>
        <w:spacing w:after="0"/>
        <w:rPr>
          <w:sz w:val="20"/>
          <w:szCs w:val="20"/>
          <w:color w:val="auto"/>
        </w:rPr>
      </w:pPr>
      <w:r>
        <w:rPr>
          <w:rFonts w:ascii="Arial" w:cs="Arial" w:eastAsia="Arial" w:hAnsi="Arial"/>
          <w:sz w:val="20"/>
          <w:szCs w:val="20"/>
          <w:b w:val="1"/>
          <w:bCs w:val="1"/>
          <w:color w:val="auto"/>
        </w:rPr>
        <w:t>HSBC Bank USA, National Association,</w:t>
      </w:r>
    </w:p>
    <w:p>
      <w:pPr>
        <w:spacing w:after="0" w:line="60"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as a Lender</w:t>
      </w:r>
    </w:p>
    <w:p>
      <w:pPr>
        <w:spacing w:after="0" w:line="310" w:lineRule="exact"/>
        <w:rPr>
          <w:sz w:val="20"/>
          <w:szCs w:val="20"/>
          <w:color w:val="auto"/>
        </w:rPr>
      </w:pPr>
    </w:p>
    <w:tbl>
      <w:tblPr>
        <w:tblLayout w:type="fixed"/>
        <w:tblInd w:w="3500" w:type="dxa"/>
        <w:tblCellMar>
          <w:top w:w="0" w:type="dxa"/>
          <w:left w:w="0" w:type="dxa"/>
          <w:bottom w:w="0" w:type="dxa"/>
          <w:right w:w="0" w:type="dxa"/>
        </w:tblCellMar>
      </w:tblPr>
      <w:tr>
        <w:trPr>
          <w:trHeight w:val="250"/>
        </w:trPr>
        <w:tc>
          <w:tcPr>
            <w:tcW w:w="840" w:type="dxa"/>
            <w:vAlign w:val="bottom"/>
          </w:tcPr>
          <w:p>
            <w:pPr>
              <w:spacing w:after="0"/>
              <w:rPr>
                <w:sz w:val="20"/>
                <w:szCs w:val="20"/>
                <w:color w:val="auto"/>
              </w:rPr>
            </w:pPr>
            <w:r>
              <w:rPr>
                <w:rFonts w:ascii="Arial" w:cs="Arial" w:eastAsia="Arial" w:hAnsi="Arial"/>
                <w:sz w:val="20"/>
                <w:szCs w:val="20"/>
                <w:color w:val="auto"/>
              </w:rPr>
              <w:t>By:</w:t>
            </w:r>
          </w:p>
        </w:tc>
        <w:tc>
          <w:tcPr>
            <w:tcW w:w="4580" w:type="dxa"/>
            <w:vAlign w:val="bottom"/>
          </w:tcPr>
          <w:p>
            <w:pPr>
              <w:ind w:left="20"/>
              <w:spacing w:after="0"/>
              <w:rPr>
                <w:sz w:val="20"/>
                <w:szCs w:val="20"/>
                <w:color w:val="auto"/>
              </w:rPr>
            </w:pPr>
            <w:r>
              <w:rPr>
                <w:rFonts w:ascii="Arial" w:cs="Arial" w:eastAsia="Arial" w:hAnsi="Arial"/>
                <w:sz w:val="20"/>
                <w:szCs w:val="20"/>
                <w:color w:val="auto"/>
              </w:rPr>
              <w:t>/s/Stephanie Mercer</w:t>
            </w:r>
          </w:p>
        </w:tc>
      </w:tr>
      <w:tr>
        <w:trPr>
          <w:trHeight w:val="23"/>
        </w:trPr>
        <w:tc>
          <w:tcPr>
            <w:tcW w:w="84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497"/>
        </w:trPr>
        <w:tc>
          <w:tcPr>
            <w:tcW w:w="840" w:type="dxa"/>
            <w:vAlign w:val="bottom"/>
          </w:tcPr>
          <w:p>
            <w:pPr>
              <w:spacing w:after="0"/>
              <w:rPr>
                <w:sz w:val="20"/>
                <w:szCs w:val="20"/>
                <w:color w:val="auto"/>
              </w:rPr>
            </w:pPr>
            <w:r>
              <w:rPr>
                <w:rFonts w:ascii="Arial" w:cs="Arial" w:eastAsia="Arial" w:hAnsi="Arial"/>
                <w:sz w:val="20"/>
                <w:szCs w:val="20"/>
                <w:color w:val="auto"/>
              </w:rPr>
              <w:t>Name:</w:t>
            </w:r>
          </w:p>
        </w:tc>
        <w:tc>
          <w:tcPr>
            <w:tcW w:w="4580" w:type="dxa"/>
            <w:vAlign w:val="bottom"/>
          </w:tcPr>
          <w:p>
            <w:pPr>
              <w:ind w:left="20"/>
              <w:spacing w:after="0"/>
              <w:rPr>
                <w:sz w:val="20"/>
                <w:szCs w:val="20"/>
                <w:color w:val="auto"/>
              </w:rPr>
            </w:pPr>
            <w:r>
              <w:rPr>
                <w:rFonts w:ascii="Arial" w:cs="Arial" w:eastAsia="Arial" w:hAnsi="Arial"/>
                <w:sz w:val="20"/>
                <w:szCs w:val="20"/>
                <w:color w:val="auto"/>
              </w:rPr>
              <w:t>Stephanie Mercer</w:t>
            </w:r>
          </w:p>
        </w:tc>
      </w:tr>
      <w:tr>
        <w:trPr>
          <w:trHeight w:val="23"/>
        </w:trPr>
        <w:tc>
          <w:tcPr>
            <w:tcW w:w="84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497"/>
        </w:trPr>
        <w:tc>
          <w:tcPr>
            <w:tcW w:w="840" w:type="dxa"/>
            <w:vAlign w:val="bottom"/>
          </w:tcPr>
          <w:p>
            <w:pPr>
              <w:spacing w:after="0"/>
              <w:rPr>
                <w:sz w:val="20"/>
                <w:szCs w:val="20"/>
                <w:color w:val="auto"/>
              </w:rPr>
            </w:pPr>
            <w:r>
              <w:rPr>
                <w:rFonts w:ascii="Arial" w:cs="Arial" w:eastAsia="Arial" w:hAnsi="Arial"/>
                <w:sz w:val="20"/>
                <w:szCs w:val="20"/>
                <w:color w:val="auto"/>
              </w:rPr>
              <w:t>Title:</w:t>
            </w:r>
          </w:p>
        </w:tc>
        <w:tc>
          <w:tcPr>
            <w:tcW w:w="4580" w:type="dxa"/>
            <w:vAlign w:val="bottom"/>
          </w:tcPr>
          <w:p>
            <w:pPr>
              <w:ind w:left="20"/>
              <w:spacing w:after="0"/>
              <w:rPr>
                <w:sz w:val="20"/>
                <w:szCs w:val="20"/>
                <w:color w:val="auto"/>
              </w:rPr>
            </w:pPr>
            <w:r>
              <w:rPr>
                <w:rFonts w:ascii="Arial" w:cs="Arial" w:eastAsia="Arial" w:hAnsi="Arial"/>
                <w:sz w:val="20"/>
                <w:szCs w:val="20"/>
                <w:color w:val="auto"/>
              </w:rPr>
              <w:t>Vice President</w:t>
            </w:r>
          </w:p>
        </w:tc>
      </w:tr>
      <w:tr>
        <w:trPr>
          <w:trHeight w:val="23"/>
        </w:trPr>
        <w:tc>
          <w:tcPr>
            <w:tcW w:w="84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bl>
    <w:p>
      <w:pPr>
        <w:sectPr>
          <w:pgSz w:w="11900" w:h="16838" w:orient="portrait"/>
          <w:cols w:equalWidth="0" w:num="1">
            <w:col w:w="9019"/>
          </w:cols>
          <w:pgMar w:left="1440" w:top="1440" w:right="1440" w:bottom="1440" w:gutter="0" w:footer="0" w:header="0"/>
        </w:sectPr>
      </w:pPr>
    </w:p>
    <w:bookmarkStart w:id="525" w:name="page526"/>
    <w:bookmarkEnd w:id="525"/>
    <w:p>
      <w:pPr>
        <w:spacing w:after="0" w:line="27" w:lineRule="exact"/>
        <w:rPr>
          <w:sz w:val="20"/>
          <w:szCs w:val="20"/>
          <w:color w:val="auto"/>
        </w:rPr>
      </w:pPr>
    </w:p>
    <w:p>
      <w:pPr>
        <w:ind w:left="3500"/>
        <w:spacing w:after="0"/>
        <w:rPr>
          <w:sz w:val="20"/>
          <w:szCs w:val="20"/>
          <w:color w:val="auto"/>
        </w:rPr>
      </w:pPr>
      <w:r>
        <w:rPr>
          <w:rFonts w:ascii="Arial" w:cs="Arial" w:eastAsia="Arial" w:hAnsi="Arial"/>
          <w:sz w:val="20"/>
          <w:szCs w:val="20"/>
          <w:b w:val="1"/>
          <w:bCs w:val="1"/>
          <w:color w:val="auto"/>
        </w:rPr>
        <w:t>JPMorgan Chase Bank, N.A.,</w:t>
      </w:r>
    </w:p>
    <w:p>
      <w:pPr>
        <w:spacing w:after="0" w:line="60"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as a Lender</w:t>
      </w:r>
    </w:p>
    <w:p>
      <w:pPr>
        <w:spacing w:after="0" w:line="310" w:lineRule="exact"/>
        <w:rPr>
          <w:sz w:val="20"/>
          <w:szCs w:val="20"/>
          <w:color w:val="auto"/>
        </w:rPr>
      </w:pPr>
    </w:p>
    <w:tbl>
      <w:tblPr>
        <w:tblLayout w:type="fixed"/>
        <w:tblInd w:w="3500" w:type="dxa"/>
        <w:tblCellMar>
          <w:top w:w="0" w:type="dxa"/>
          <w:left w:w="0" w:type="dxa"/>
          <w:bottom w:w="0" w:type="dxa"/>
          <w:right w:w="0" w:type="dxa"/>
        </w:tblCellMar>
      </w:tblPr>
      <w:tr>
        <w:trPr>
          <w:trHeight w:val="250"/>
        </w:trPr>
        <w:tc>
          <w:tcPr>
            <w:tcW w:w="840" w:type="dxa"/>
            <w:vAlign w:val="bottom"/>
          </w:tcPr>
          <w:p>
            <w:pPr>
              <w:spacing w:after="0"/>
              <w:rPr>
                <w:sz w:val="20"/>
                <w:szCs w:val="20"/>
                <w:color w:val="auto"/>
              </w:rPr>
            </w:pPr>
            <w:r>
              <w:rPr>
                <w:rFonts w:ascii="Arial" w:cs="Arial" w:eastAsia="Arial" w:hAnsi="Arial"/>
                <w:sz w:val="20"/>
                <w:szCs w:val="20"/>
                <w:color w:val="auto"/>
              </w:rPr>
              <w:t>By:</w:t>
            </w:r>
          </w:p>
        </w:tc>
        <w:tc>
          <w:tcPr>
            <w:tcW w:w="4580" w:type="dxa"/>
            <w:vAlign w:val="bottom"/>
          </w:tcPr>
          <w:p>
            <w:pPr>
              <w:ind w:left="20"/>
              <w:spacing w:after="0"/>
              <w:rPr>
                <w:sz w:val="20"/>
                <w:szCs w:val="20"/>
                <w:color w:val="auto"/>
              </w:rPr>
            </w:pPr>
            <w:r>
              <w:rPr>
                <w:rFonts w:ascii="Arial" w:cs="Arial" w:eastAsia="Arial" w:hAnsi="Arial"/>
                <w:sz w:val="20"/>
                <w:szCs w:val="20"/>
                <w:color w:val="auto"/>
              </w:rPr>
              <w:t>/s/Daniel J. Maniaci</w:t>
            </w:r>
          </w:p>
        </w:tc>
      </w:tr>
      <w:tr>
        <w:trPr>
          <w:trHeight w:val="23"/>
        </w:trPr>
        <w:tc>
          <w:tcPr>
            <w:tcW w:w="84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497"/>
        </w:trPr>
        <w:tc>
          <w:tcPr>
            <w:tcW w:w="840" w:type="dxa"/>
            <w:vAlign w:val="bottom"/>
          </w:tcPr>
          <w:p>
            <w:pPr>
              <w:spacing w:after="0"/>
              <w:rPr>
                <w:sz w:val="20"/>
                <w:szCs w:val="20"/>
                <w:color w:val="auto"/>
              </w:rPr>
            </w:pPr>
            <w:r>
              <w:rPr>
                <w:rFonts w:ascii="Arial" w:cs="Arial" w:eastAsia="Arial" w:hAnsi="Arial"/>
                <w:sz w:val="20"/>
                <w:szCs w:val="20"/>
                <w:color w:val="auto"/>
              </w:rPr>
              <w:t>Name:</w:t>
            </w:r>
          </w:p>
        </w:tc>
        <w:tc>
          <w:tcPr>
            <w:tcW w:w="4580" w:type="dxa"/>
            <w:vAlign w:val="bottom"/>
          </w:tcPr>
          <w:p>
            <w:pPr>
              <w:ind w:left="20"/>
              <w:spacing w:after="0"/>
              <w:rPr>
                <w:sz w:val="20"/>
                <w:szCs w:val="20"/>
                <w:color w:val="auto"/>
              </w:rPr>
            </w:pPr>
            <w:r>
              <w:rPr>
                <w:rFonts w:ascii="Arial" w:cs="Arial" w:eastAsia="Arial" w:hAnsi="Arial"/>
                <w:sz w:val="20"/>
                <w:szCs w:val="20"/>
                <w:color w:val="auto"/>
              </w:rPr>
              <w:t>Daniel J. Maniaci</w:t>
            </w:r>
          </w:p>
        </w:tc>
      </w:tr>
      <w:tr>
        <w:trPr>
          <w:trHeight w:val="23"/>
        </w:trPr>
        <w:tc>
          <w:tcPr>
            <w:tcW w:w="84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497"/>
        </w:trPr>
        <w:tc>
          <w:tcPr>
            <w:tcW w:w="840" w:type="dxa"/>
            <w:vAlign w:val="bottom"/>
          </w:tcPr>
          <w:p>
            <w:pPr>
              <w:spacing w:after="0"/>
              <w:rPr>
                <w:sz w:val="20"/>
                <w:szCs w:val="20"/>
                <w:color w:val="auto"/>
              </w:rPr>
            </w:pPr>
            <w:r>
              <w:rPr>
                <w:rFonts w:ascii="Arial" w:cs="Arial" w:eastAsia="Arial" w:hAnsi="Arial"/>
                <w:sz w:val="20"/>
                <w:szCs w:val="20"/>
                <w:color w:val="auto"/>
              </w:rPr>
              <w:t>Title:</w:t>
            </w:r>
          </w:p>
        </w:tc>
        <w:tc>
          <w:tcPr>
            <w:tcW w:w="4580" w:type="dxa"/>
            <w:vAlign w:val="bottom"/>
          </w:tcPr>
          <w:p>
            <w:pPr>
              <w:ind w:left="20"/>
              <w:spacing w:after="0"/>
              <w:rPr>
                <w:sz w:val="20"/>
                <w:szCs w:val="20"/>
                <w:color w:val="auto"/>
              </w:rPr>
            </w:pPr>
            <w:r>
              <w:rPr>
                <w:rFonts w:ascii="Arial" w:cs="Arial" w:eastAsia="Arial" w:hAnsi="Arial"/>
                <w:sz w:val="20"/>
                <w:szCs w:val="20"/>
                <w:color w:val="auto"/>
              </w:rPr>
              <w:t>Vice President</w:t>
            </w:r>
          </w:p>
        </w:tc>
      </w:tr>
      <w:tr>
        <w:trPr>
          <w:trHeight w:val="23"/>
        </w:trPr>
        <w:tc>
          <w:tcPr>
            <w:tcW w:w="84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bl>
    <w:p>
      <w:pPr>
        <w:sectPr>
          <w:pgSz w:w="11900" w:h="16838" w:orient="portrait"/>
          <w:cols w:equalWidth="0" w:num="1">
            <w:col w:w="9019"/>
          </w:cols>
          <w:pgMar w:left="1440" w:top="1440" w:right="1440" w:bottom="1440" w:gutter="0" w:footer="0" w:header="0"/>
        </w:sectPr>
      </w:pPr>
    </w:p>
    <w:bookmarkStart w:id="526" w:name="page527"/>
    <w:bookmarkEnd w:id="526"/>
    <w:p>
      <w:pPr>
        <w:jc w:val="center"/>
        <w:ind w:right="-19"/>
        <w:spacing w:after="0"/>
        <w:rPr>
          <w:sz w:val="20"/>
          <w:szCs w:val="20"/>
          <w:color w:val="auto"/>
        </w:rPr>
      </w:pPr>
      <w:r>
        <w:rPr>
          <w:rFonts w:ascii="Arial" w:cs="Arial" w:eastAsia="Arial" w:hAnsi="Arial"/>
          <w:sz w:val="22"/>
          <w:szCs w:val="22"/>
          <w:b w:val="1"/>
          <w:bCs w:val="1"/>
          <w:color w:val="auto"/>
        </w:rPr>
        <w:t>CONSENT AND REAFFIRMATION</w:t>
      </w:r>
    </w:p>
    <w:p>
      <w:pPr>
        <w:spacing w:after="0" w:line="172"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The Guarantor hereby (i) acknowledges receipt of a copy of the foregoing Amended and Restated Credit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capitalized terms used but not otherwise defined herein shall have the meanings ascribed to such terms in the Agreement); (ii) consents to Borrower's execution and delivery of the Agreement; (iii) affirms that nothing contained in the Agreement shall modify in any respect whatsoever any Loan Document to which it is a party except as expressly set forth therein; and (iv) ratifies, affirms, acknowledges and agrees that each of the Loan Documents to which the Guarantor is a party represents the valid, enforceable and collectible obligations of the Guarantor. The Guarantor hereby agrees that the Agreement in no way acts as a release or relinquishment of the Liens and rights securing payments of the Obligations. The guarantee, Liens and rights securing payment of the Obligations (including as amended by the Agreement) are hereby ratified and confirmed by the Guarantor in all respects. Although the Guarantor has been informed of the matters set forth herein and has acknowledged and agreed to same, the Guarantor understands that neither the Administrative Agent nor any Lender has any obligation to inform the Guarantor of such matters in the future or to seek the Guarantor's acknowledgment or agreement to future amendments, waivers or consents, and nothing herein shall create such a duty.</w:t>
      </w:r>
    </w:p>
    <w:p>
      <w:pPr>
        <w:sectPr>
          <w:pgSz w:w="11900" w:h="16838" w:orient="portrait"/>
          <w:cols w:equalWidth="0" w:num="1">
            <w:col w:w="11240"/>
          </w:cols>
          <w:pgMar w:left="320" w:top="1421" w:right="339" w:bottom="1440" w:gutter="0" w:footer="0" w:header="0"/>
        </w:sectPr>
      </w:pPr>
    </w:p>
    <w:bookmarkStart w:id="527" w:name="page528"/>
    <w:bookmarkEnd w:id="527"/>
    <w:p>
      <w:pPr>
        <w:spacing w:after="0" w:line="27" w:lineRule="exact"/>
        <w:rPr>
          <w:sz w:val="20"/>
          <w:szCs w:val="20"/>
          <w:color w:val="auto"/>
        </w:rPr>
      </w:pPr>
    </w:p>
    <w:p>
      <w:pPr>
        <w:ind w:left="3480"/>
        <w:spacing w:after="0"/>
        <w:rPr>
          <w:sz w:val="20"/>
          <w:szCs w:val="20"/>
          <w:color w:val="auto"/>
        </w:rPr>
      </w:pPr>
      <w:r>
        <w:rPr>
          <w:rFonts w:ascii="Arial" w:cs="Arial" w:eastAsia="Arial" w:hAnsi="Arial"/>
          <w:sz w:val="20"/>
          <w:szCs w:val="20"/>
          <w:b w:val="1"/>
          <w:bCs w:val="1"/>
          <w:color w:val="auto"/>
        </w:rPr>
        <w:t>FUNDERA, INC.</w:t>
      </w:r>
    </w:p>
    <w:p>
      <w:pPr>
        <w:spacing w:after="0" w:line="330" w:lineRule="exact"/>
        <w:rPr>
          <w:sz w:val="20"/>
          <w:szCs w:val="20"/>
          <w:color w:val="auto"/>
        </w:rPr>
      </w:pPr>
    </w:p>
    <w:tbl>
      <w:tblPr>
        <w:tblLayout w:type="fixed"/>
        <w:tblInd w:w="3480" w:type="dxa"/>
        <w:tblCellMar>
          <w:top w:w="0" w:type="dxa"/>
          <w:left w:w="0" w:type="dxa"/>
          <w:bottom w:w="0" w:type="dxa"/>
          <w:right w:w="0" w:type="dxa"/>
        </w:tblCellMar>
      </w:tblPr>
      <w:tr>
        <w:trPr>
          <w:trHeight w:val="250"/>
        </w:trPr>
        <w:tc>
          <w:tcPr>
            <w:tcW w:w="840" w:type="dxa"/>
            <w:vAlign w:val="bottom"/>
          </w:tcPr>
          <w:p>
            <w:pPr>
              <w:spacing w:after="0"/>
              <w:rPr>
                <w:sz w:val="20"/>
                <w:szCs w:val="20"/>
                <w:color w:val="auto"/>
              </w:rPr>
            </w:pPr>
            <w:r>
              <w:rPr>
                <w:rFonts w:ascii="Arial" w:cs="Arial" w:eastAsia="Arial" w:hAnsi="Arial"/>
                <w:sz w:val="20"/>
                <w:szCs w:val="20"/>
                <w:color w:val="auto"/>
              </w:rPr>
              <w:t>By:</w:t>
            </w:r>
          </w:p>
        </w:tc>
        <w:tc>
          <w:tcPr>
            <w:tcW w:w="4580" w:type="dxa"/>
            <w:vAlign w:val="bottom"/>
          </w:tcPr>
          <w:p>
            <w:pPr>
              <w:ind w:left="20"/>
              <w:spacing w:after="0"/>
              <w:rPr>
                <w:sz w:val="20"/>
                <w:szCs w:val="20"/>
                <w:color w:val="auto"/>
              </w:rPr>
            </w:pPr>
            <w:r>
              <w:rPr>
                <w:rFonts w:ascii="Arial" w:cs="Arial" w:eastAsia="Arial" w:hAnsi="Arial"/>
                <w:sz w:val="20"/>
                <w:szCs w:val="20"/>
                <w:color w:val="auto"/>
              </w:rPr>
              <w:t>/s/Jared Hecht</w:t>
            </w:r>
          </w:p>
        </w:tc>
      </w:tr>
      <w:tr>
        <w:trPr>
          <w:trHeight w:val="23"/>
        </w:trPr>
        <w:tc>
          <w:tcPr>
            <w:tcW w:w="84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511"/>
        </w:trPr>
        <w:tc>
          <w:tcPr>
            <w:tcW w:w="840" w:type="dxa"/>
            <w:vAlign w:val="bottom"/>
          </w:tcPr>
          <w:p>
            <w:pPr>
              <w:spacing w:after="0"/>
              <w:rPr>
                <w:sz w:val="20"/>
                <w:szCs w:val="20"/>
                <w:color w:val="auto"/>
              </w:rPr>
            </w:pPr>
            <w:r>
              <w:rPr>
                <w:rFonts w:ascii="Arial" w:cs="Arial" w:eastAsia="Arial" w:hAnsi="Arial"/>
                <w:sz w:val="20"/>
                <w:szCs w:val="20"/>
                <w:color w:val="auto"/>
              </w:rPr>
              <w:t>Name:</w:t>
            </w:r>
          </w:p>
        </w:tc>
        <w:tc>
          <w:tcPr>
            <w:tcW w:w="4580" w:type="dxa"/>
            <w:vAlign w:val="bottom"/>
          </w:tcPr>
          <w:p>
            <w:pPr>
              <w:ind w:left="20"/>
              <w:spacing w:after="0"/>
              <w:rPr>
                <w:sz w:val="20"/>
                <w:szCs w:val="20"/>
                <w:color w:val="auto"/>
              </w:rPr>
            </w:pPr>
            <w:r>
              <w:rPr>
                <w:rFonts w:ascii="Arial" w:cs="Arial" w:eastAsia="Arial" w:hAnsi="Arial"/>
                <w:sz w:val="20"/>
                <w:szCs w:val="20"/>
                <w:color w:val="auto"/>
              </w:rPr>
              <w:t>Jared Hecht</w:t>
            </w:r>
          </w:p>
        </w:tc>
      </w:tr>
      <w:tr>
        <w:trPr>
          <w:trHeight w:val="23"/>
        </w:trPr>
        <w:tc>
          <w:tcPr>
            <w:tcW w:w="84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511"/>
        </w:trPr>
        <w:tc>
          <w:tcPr>
            <w:tcW w:w="840" w:type="dxa"/>
            <w:vAlign w:val="bottom"/>
          </w:tcPr>
          <w:p>
            <w:pPr>
              <w:spacing w:after="0"/>
              <w:rPr>
                <w:sz w:val="20"/>
                <w:szCs w:val="20"/>
                <w:color w:val="auto"/>
              </w:rPr>
            </w:pPr>
            <w:r>
              <w:rPr>
                <w:rFonts w:ascii="Arial" w:cs="Arial" w:eastAsia="Arial" w:hAnsi="Arial"/>
                <w:sz w:val="20"/>
                <w:szCs w:val="20"/>
                <w:color w:val="auto"/>
              </w:rPr>
              <w:t>Title:</w:t>
            </w:r>
          </w:p>
        </w:tc>
        <w:tc>
          <w:tcPr>
            <w:tcW w:w="4580" w:type="dxa"/>
            <w:vAlign w:val="bottom"/>
          </w:tcPr>
          <w:p>
            <w:pPr>
              <w:ind w:left="20"/>
              <w:spacing w:after="0"/>
              <w:rPr>
                <w:sz w:val="20"/>
                <w:szCs w:val="20"/>
                <w:color w:val="auto"/>
              </w:rPr>
            </w:pPr>
            <w:r>
              <w:rPr>
                <w:rFonts w:ascii="Arial" w:cs="Arial" w:eastAsia="Arial" w:hAnsi="Arial"/>
                <w:sz w:val="20"/>
                <w:szCs w:val="20"/>
                <w:color w:val="auto"/>
              </w:rPr>
              <w:t>Chief Executive Officer, Chief Financial</w:t>
            </w:r>
          </w:p>
        </w:tc>
      </w:tr>
      <w:tr>
        <w:trPr>
          <w:trHeight w:val="23"/>
        </w:trPr>
        <w:tc>
          <w:tcPr>
            <w:tcW w:w="84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54"/>
        </w:trPr>
        <w:tc>
          <w:tcPr>
            <w:tcW w:w="840" w:type="dxa"/>
            <w:vAlign w:val="bottom"/>
          </w:tcPr>
          <w:p>
            <w:pPr>
              <w:spacing w:after="0"/>
              <w:rPr>
                <w:sz w:val="22"/>
                <w:szCs w:val="22"/>
                <w:color w:val="auto"/>
              </w:rPr>
            </w:pPr>
          </w:p>
        </w:tc>
        <w:tc>
          <w:tcPr>
            <w:tcW w:w="4580" w:type="dxa"/>
            <w:vAlign w:val="bottom"/>
          </w:tcPr>
          <w:p>
            <w:pPr>
              <w:ind w:left="20"/>
              <w:spacing w:after="0"/>
              <w:rPr>
                <w:sz w:val="20"/>
                <w:szCs w:val="20"/>
                <w:color w:val="auto"/>
              </w:rPr>
            </w:pPr>
            <w:r>
              <w:rPr>
                <w:rFonts w:ascii="Arial" w:cs="Arial" w:eastAsia="Arial" w:hAnsi="Arial"/>
                <w:sz w:val="20"/>
                <w:szCs w:val="20"/>
                <w:color w:val="auto"/>
              </w:rPr>
              <w:t>Officer and Secretary</w:t>
            </w:r>
          </w:p>
        </w:tc>
      </w:tr>
      <w:tr>
        <w:trPr>
          <w:trHeight w:val="23"/>
        </w:trPr>
        <w:tc>
          <w:tcPr>
            <w:tcW w:w="84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bl>
    <w:p>
      <w:pPr>
        <w:sectPr>
          <w:pgSz w:w="11900" w:h="16838" w:orient="portrait"/>
          <w:cols w:equalWidth="0" w:num="1">
            <w:col w:w="9019"/>
          </w:cols>
          <w:pgMar w:left="1440" w:top="1440" w:right="1440" w:bottom="1440" w:gutter="0" w:footer="0" w:header="0"/>
        </w:sectPr>
      </w:pPr>
    </w:p>
    <w:bookmarkStart w:id="528" w:name="page529"/>
    <w:bookmarkEnd w:id="528"/>
    <w:p>
      <w:pPr>
        <w:ind w:left="4580"/>
        <w:spacing w:after="0"/>
        <w:rPr>
          <w:sz w:val="20"/>
          <w:szCs w:val="20"/>
          <w:color w:val="auto"/>
        </w:rPr>
      </w:pPr>
      <w:r>
        <w:rPr>
          <w:rFonts w:ascii="Arial" w:cs="Arial" w:eastAsia="Arial" w:hAnsi="Arial"/>
          <w:sz w:val="20"/>
          <w:szCs w:val="20"/>
          <w:b w:val="1"/>
          <w:bCs w:val="1"/>
          <w:color w:val="auto"/>
        </w:rPr>
        <w:t>SCHEDULE 1.1A</w:t>
      </w:r>
    </w:p>
    <w:p>
      <w:pPr>
        <w:spacing w:after="0" w:line="162" w:lineRule="exact"/>
        <w:rPr>
          <w:sz w:val="20"/>
          <w:szCs w:val="20"/>
          <w:color w:val="auto"/>
        </w:rPr>
      </w:pPr>
    </w:p>
    <w:p>
      <w:pPr>
        <w:ind w:left="4560"/>
        <w:spacing w:after="0"/>
        <w:rPr>
          <w:sz w:val="20"/>
          <w:szCs w:val="20"/>
          <w:color w:val="auto"/>
        </w:rPr>
      </w:pPr>
      <w:r>
        <w:rPr>
          <w:rFonts w:ascii="Arial" w:cs="Arial" w:eastAsia="Arial" w:hAnsi="Arial"/>
          <w:sz w:val="20"/>
          <w:szCs w:val="20"/>
          <w:b w:val="1"/>
          <w:bCs w:val="1"/>
          <w:color w:val="auto"/>
        </w:rPr>
        <w:t>COMMITMENTS</w:t>
      </w:r>
    </w:p>
    <w:p>
      <w:pPr>
        <w:spacing w:after="0" w:line="22" w:lineRule="exact"/>
        <w:rPr>
          <w:sz w:val="20"/>
          <w:szCs w:val="20"/>
          <w:color w:val="auto"/>
        </w:rPr>
      </w:pPr>
    </w:p>
    <w:p>
      <w:pPr>
        <w:ind w:left="3140"/>
        <w:spacing w:after="0"/>
        <w:rPr>
          <w:sz w:val="20"/>
          <w:szCs w:val="20"/>
          <w:color w:val="auto"/>
        </w:rPr>
      </w:pPr>
      <w:r>
        <w:rPr>
          <w:rFonts w:ascii="Arial" w:cs="Arial" w:eastAsia="Arial" w:hAnsi="Arial"/>
          <w:sz w:val="20"/>
          <w:szCs w:val="20"/>
          <w:b w:val="1"/>
          <w:bCs w:val="1"/>
          <w:color w:val="auto"/>
        </w:rPr>
        <w:t>AND AGGREGATE EXPOSURE PERCENTAGES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560" w:type="dxa"/>
            <w:vAlign w:val="bottom"/>
          </w:tcPr>
          <w:p>
            <w:pPr>
              <w:spacing w:after="0"/>
              <w:rPr>
                <w:sz w:val="22"/>
                <w:szCs w:val="22"/>
                <w:color w:val="auto"/>
              </w:rPr>
            </w:pPr>
          </w:p>
        </w:tc>
        <w:tc>
          <w:tcPr>
            <w:tcW w:w="3920" w:type="dxa"/>
            <w:vAlign w:val="bottom"/>
          </w:tcPr>
          <w:p>
            <w:pPr>
              <w:jc w:val="center"/>
              <w:ind w:right="261"/>
              <w:spacing w:after="0"/>
              <w:rPr>
                <w:sz w:val="20"/>
                <w:szCs w:val="20"/>
                <w:color w:val="auto"/>
              </w:rPr>
            </w:pPr>
            <w:r>
              <w:rPr>
                <w:rFonts w:ascii="Arial" w:cs="Arial" w:eastAsia="Arial" w:hAnsi="Arial"/>
                <w:sz w:val="20"/>
                <w:szCs w:val="20"/>
                <w:b w:val="1"/>
                <w:bCs w:val="1"/>
                <w:color w:val="auto"/>
              </w:rPr>
              <w:t>REVOLVING COMMITMENTS</w:t>
            </w:r>
          </w:p>
        </w:tc>
        <w:tc>
          <w:tcPr>
            <w:tcW w:w="2480" w:type="dxa"/>
            <w:vAlign w:val="bottom"/>
          </w:tcPr>
          <w:p>
            <w:pPr>
              <w:spacing w:after="0"/>
              <w:rPr>
                <w:sz w:val="22"/>
                <w:szCs w:val="22"/>
                <w:color w:val="auto"/>
              </w:rPr>
            </w:pPr>
          </w:p>
        </w:tc>
      </w:tr>
      <w:tr>
        <w:trPr>
          <w:trHeight w:val="445"/>
        </w:trPr>
        <w:tc>
          <w:tcPr>
            <w:tcW w:w="3560" w:type="dxa"/>
            <w:vAlign w:val="bottom"/>
          </w:tcPr>
          <w:p>
            <w:pPr>
              <w:jc w:val="center"/>
              <w:ind w:right="261"/>
              <w:spacing w:after="0"/>
              <w:rPr>
                <w:sz w:val="20"/>
                <w:szCs w:val="20"/>
                <w:color w:val="auto"/>
              </w:rPr>
            </w:pPr>
            <w:r>
              <w:rPr>
                <w:rFonts w:ascii="Arial" w:cs="Arial" w:eastAsia="Arial" w:hAnsi="Arial"/>
                <w:sz w:val="20"/>
                <w:szCs w:val="20"/>
                <w:color w:val="auto"/>
                <w:w w:val="89"/>
              </w:rPr>
              <w:t>Lender</w:t>
            </w:r>
          </w:p>
        </w:tc>
        <w:tc>
          <w:tcPr>
            <w:tcW w:w="3920" w:type="dxa"/>
            <w:vAlign w:val="bottom"/>
          </w:tcPr>
          <w:p>
            <w:pPr>
              <w:jc w:val="center"/>
              <w:ind w:right="281"/>
              <w:spacing w:after="0"/>
              <w:rPr>
                <w:sz w:val="20"/>
                <w:szCs w:val="20"/>
                <w:color w:val="auto"/>
              </w:rPr>
            </w:pPr>
            <w:r>
              <w:rPr>
                <w:rFonts w:ascii="Arial" w:cs="Arial" w:eastAsia="Arial" w:hAnsi="Arial"/>
                <w:sz w:val="20"/>
                <w:szCs w:val="20"/>
                <w:color w:val="auto"/>
                <w:w w:val="91"/>
              </w:rPr>
              <w:t>Revolving Commitment</w:t>
            </w:r>
          </w:p>
        </w:tc>
        <w:tc>
          <w:tcPr>
            <w:tcW w:w="2480" w:type="dxa"/>
            <w:vAlign w:val="bottom"/>
          </w:tcPr>
          <w:p>
            <w:pPr>
              <w:jc w:val="center"/>
              <w:ind w:left="641"/>
              <w:spacing w:after="0"/>
              <w:rPr>
                <w:sz w:val="20"/>
                <w:szCs w:val="20"/>
                <w:color w:val="auto"/>
              </w:rPr>
            </w:pPr>
            <w:r>
              <w:rPr>
                <w:rFonts w:ascii="Arial" w:cs="Arial" w:eastAsia="Arial" w:hAnsi="Arial"/>
                <w:sz w:val="20"/>
                <w:szCs w:val="20"/>
                <w:color w:val="auto"/>
                <w:w w:val="88"/>
              </w:rPr>
              <w:t>Revolving Percentage</w:t>
            </w:r>
          </w:p>
        </w:tc>
      </w:tr>
      <w:tr>
        <w:trPr>
          <w:trHeight w:val="554"/>
        </w:trPr>
        <w:tc>
          <w:tcPr>
            <w:tcW w:w="3560" w:type="dxa"/>
            <w:vAlign w:val="bottom"/>
          </w:tcPr>
          <w:p>
            <w:pPr>
              <w:jc w:val="center"/>
              <w:ind w:right="281"/>
              <w:spacing w:after="0"/>
              <w:rPr>
                <w:sz w:val="20"/>
                <w:szCs w:val="20"/>
                <w:color w:val="auto"/>
              </w:rPr>
            </w:pPr>
            <w:r>
              <w:rPr>
                <w:rFonts w:ascii="Arial" w:cs="Arial" w:eastAsia="Arial" w:hAnsi="Arial"/>
                <w:sz w:val="20"/>
                <w:szCs w:val="20"/>
                <w:color w:val="auto"/>
                <w:w w:val="92"/>
              </w:rPr>
              <w:t>Silicon Valley Bank</w:t>
            </w:r>
          </w:p>
        </w:tc>
        <w:tc>
          <w:tcPr>
            <w:tcW w:w="3920" w:type="dxa"/>
            <w:vAlign w:val="bottom"/>
          </w:tcPr>
          <w:p>
            <w:pPr>
              <w:jc w:val="center"/>
              <w:ind w:right="281"/>
              <w:spacing w:after="0"/>
              <w:rPr>
                <w:sz w:val="20"/>
                <w:szCs w:val="20"/>
                <w:color w:val="auto"/>
              </w:rPr>
            </w:pPr>
            <w:r>
              <w:rPr>
                <w:rFonts w:ascii="Arial" w:cs="Arial" w:eastAsia="Arial" w:hAnsi="Arial"/>
                <w:sz w:val="20"/>
                <w:szCs w:val="20"/>
                <w:color w:val="auto"/>
                <w:w w:val="88"/>
              </w:rPr>
              <w:t>$50,000,000</w:t>
            </w:r>
          </w:p>
        </w:tc>
        <w:tc>
          <w:tcPr>
            <w:tcW w:w="2480" w:type="dxa"/>
            <w:vAlign w:val="bottom"/>
          </w:tcPr>
          <w:p>
            <w:pPr>
              <w:jc w:val="center"/>
              <w:ind w:left="641"/>
              <w:spacing w:after="0"/>
              <w:rPr>
                <w:sz w:val="20"/>
                <w:szCs w:val="20"/>
                <w:color w:val="auto"/>
              </w:rPr>
            </w:pPr>
            <w:r>
              <w:rPr>
                <w:rFonts w:ascii="Arial" w:cs="Arial" w:eastAsia="Arial" w:hAnsi="Arial"/>
                <w:sz w:val="20"/>
                <w:szCs w:val="20"/>
                <w:color w:val="auto"/>
                <w:w w:val="89"/>
              </w:rPr>
              <w:t>50.000000000%</w:t>
            </w:r>
          </w:p>
        </w:tc>
      </w:tr>
      <w:tr>
        <w:trPr>
          <w:trHeight w:val="283"/>
        </w:trPr>
        <w:tc>
          <w:tcPr>
            <w:tcW w:w="3560" w:type="dxa"/>
            <w:vAlign w:val="bottom"/>
          </w:tcPr>
          <w:p>
            <w:pPr>
              <w:jc w:val="center"/>
              <w:ind w:right="281"/>
              <w:spacing w:after="0"/>
              <w:rPr>
                <w:sz w:val="20"/>
                <w:szCs w:val="20"/>
                <w:color w:val="auto"/>
              </w:rPr>
            </w:pPr>
            <w:r>
              <w:rPr>
                <w:rFonts w:ascii="Arial" w:cs="Arial" w:eastAsia="Arial" w:hAnsi="Arial"/>
                <w:sz w:val="20"/>
                <w:szCs w:val="20"/>
                <w:color w:val="auto"/>
                <w:w w:val="89"/>
              </w:rPr>
              <w:t>JP Morgan Chase Bank, N.A.</w:t>
            </w:r>
          </w:p>
        </w:tc>
        <w:tc>
          <w:tcPr>
            <w:tcW w:w="3920" w:type="dxa"/>
            <w:vAlign w:val="bottom"/>
          </w:tcPr>
          <w:p>
            <w:pPr>
              <w:jc w:val="center"/>
              <w:ind w:right="281"/>
              <w:spacing w:after="0"/>
              <w:rPr>
                <w:sz w:val="20"/>
                <w:szCs w:val="20"/>
                <w:color w:val="auto"/>
              </w:rPr>
            </w:pPr>
            <w:r>
              <w:rPr>
                <w:rFonts w:ascii="Arial" w:cs="Arial" w:eastAsia="Arial" w:hAnsi="Arial"/>
                <w:sz w:val="20"/>
                <w:szCs w:val="20"/>
                <w:color w:val="auto"/>
                <w:w w:val="88"/>
              </w:rPr>
              <w:t>$25,000,000</w:t>
            </w:r>
          </w:p>
        </w:tc>
        <w:tc>
          <w:tcPr>
            <w:tcW w:w="2480" w:type="dxa"/>
            <w:vAlign w:val="bottom"/>
          </w:tcPr>
          <w:p>
            <w:pPr>
              <w:jc w:val="center"/>
              <w:ind w:left="641"/>
              <w:spacing w:after="0"/>
              <w:rPr>
                <w:sz w:val="20"/>
                <w:szCs w:val="20"/>
                <w:color w:val="auto"/>
              </w:rPr>
            </w:pPr>
            <w:r>
              <w:rPr>
                <w:rFonts w:ascii="Arial" w:cs="Arial" w:eastAsia="Arial" w:hAnsi="Arial"/>
                <w:sz w:val="20"/>
                <w:szCs w:val="20"/>
                <w:color w:val="auto"/>
                <w:w w:val="89"/>
              </w:rPr>
              <w:t>25.000000000%</w:t>
            </w:r>
          </w:p>
        </w:tc>
      </w:tr>
      <w:tr>
        <w:trPr>
          <w:trHeight w:val="283"/>
        </w:trPr>
        <w:tc>
          <w:tcPr>
            <w:tcW w:w="3560" w:type="dxa"/>
            <w:vAlign w:val="bottom"/>
          </w:tcPr>
          <w:p>
            <w:pPr>
              <w:jc w:val="center"/>
              <w:ind w:right="281"/>
              <w:spacing w:after="0"/>
              <w:rPr>
                <w:sz w:val="20"/>
                <w:szCs w:val="20"/>
                <w:color w:val="auto"/>
              </w:rPr>
            </w:pPr>
            <w:r>
              <w:rPr>
                <w:rFonts w:ascii="Arial" w:cs="Arial" w:eastAsia="Arial" w:hAnsi="Arial"/>
                <w:sz w:val="20"/>
                <w:szCs w:val="20"/>
                <w:color w:val="auto"/>
                <w:w w:val="91"/>
              </w:rPr>
              <w:t>HSBC Bank USA, National Association</w:t>
            </w:r>
          </w:p>
        </w:tc>
        <w:tc>
          <w:tcPr>
            <w:tcW w:w="3920" w:type="dxa"/>
            <w:vAlign w:val="bottom"/>
          </w:tcPr>
          <w:p>
            <w:pPr>
              <w:jc w:val="center"/>
              <w:ind w:right="281"/>
              <w:spacing w:after="0"/>
              <w:rPr>
                <w:sz w:val="20"/>
                <w:szCs w:val="20"/>
                <w:color w:val="auto"/>
              </w:rPr>
            </w:pPr>
            <w:r>
              <w:rPr>
                <w:rFonts w:ascii="Arial" w:cs="Arial" w:eastAsia="Arial" w:hAnsi="Arial"/>
                <w:sz w:val="20"/>
                <w:szCs w:val="20"/>
                <w:color w:val="auto"/>
                <w:w w:val="88"/>
              </w:rPr>
              <w:t>$25,000,000</w:t>
            </w:r>
          </w:p>
        </w:tc>
        <w:tc>
          <w:tcPr>
            <w:tcW w:w="2480" w:type="dxa"/>
            <w:vAlign w:val="bottom"/>
          </w:tcPr>
          <w:p>
            <w:pPr>
              <w:jc w:val="center"/>
              <w:ind w:left="641"/>
              <w:spacing w:after="0"/>
              <w:rPr>
                <w:sz w:val="20"/>
                <w:szCs w:val="20"/>
                <w:color w:val="auto"/>
              </w:rPr>
            </w:pPr>
            <w:r>
              <w:rPr>
                <w:rFonts w:ascii="Arial" w:cs="Arial" w:eastAsia="Arial" w:hAnsi="Arial"/>
                <w:sz w:val="20"/>
                <w:szCs w:val="20"/>
                <w:color w:val="auto"/>
                <w:w w:val="89"/>
              </w:rPr>
              <w:t>25.000000000%</w:t>
            </w:r>
          </w:p>
        </w:tc>
      </w:tr>
      <w:tr>
        <w:trPr>
          <w:trHeight w:val="283"/>
        </w:trPr>
        <w:tc>
          <w:tcPr>
            <w:tcW w:w="3560" w:type="dxa"/>
            <w:vAlign w:val="bottom"/>
          </w:tcPr>
          <w:p>
            <w:pPr>
              <w:jc w:val="center"/>
              <w:ind w:right="281"/>
              <w:spacing w:after="0"/>
              <w:rPr>
                <w:sz w:val="20"/>
                <w:szCs w:val="20"/>
                <w:color w:val="auto"/>
              </w:rPr>
            </w:pPr>
            <w:r>
              <w:rPr>
                <w:rFonts w:ascii="Arial" w:cs="Arial" w:eastAsia="Arial" w:hAnsi="Arial"/>
                <w:sz w:val="20"/>
                <w:szCs w:val="20"/>
                <w:color w:val="auto"/>
                <w:w w:val="94"/>
              </w:rPr>
              <w:t>Total</w:t>
            </w:r>
          </w:p>
        </w:tc>
        <w:tc>
          <w:tcPr>
            <w:tcW w:w="3920" w:type="dxa"/>
            <w:vAlign w:val="bottom"/>
          </w:tcPr>
          <w:p>
            <w:pPr>
              <w:jc w:val="center"/>
              <w:ind w:right="281"/>
              <w:spacing w:after="0"/>
              <w:rPr>
                <w:sz w:val="20"/>
                <w:szCs w:val="20"/>
                <w:color w:val="auto"/>
              </w:rPr>
            </w:pPr>
            <w:r>
              <w:rPr>
                <w:rFonts w:ascii="Arial" w:cs="Arial" w:eastAsia="Arial" w:hAnsi="Arial"/>
                <w:sz w:val="20"/>
                <w:szCs w:val="20"/>
                <w:color w:val="auto"/>
                <w:w w:val="89"/>
              </w:rPr>
              <w:t>$100,000,000</w:t>
            </w:r>
          </w:p>
        </w:tc>
        <w:tc>
          <w:tcPr>
            <w:tcW w:w="2480" w:type="dxa"/>
            <w:vAlign w:val="bottom"/>
          </w:tcPr>
          <w:p>
            <w:pPr>
              <w:jc w:val="center"/>
              <w:ind w:left="621"/>
              <w:spacing w:after="0"/>
              <w:rPr>
                <w:sz w:val="20"/>
                <w:szCs w:val="20"/>
                <w:color w:val="auto"/>
              </w:rPr>
            </w:pPr>
            <w:r>
              <w:rPr>
                <w:rFonts w:ascii="Arial" w:cs="Arial" w:eastAsia="Arial" w:hAnsi="Arial"/>
                <w:sz w:val="20"/>
                <w:szCs w:val="20"/>
                <w:color w:val="auto"/>
                <w:w w:val="89"/>
              </w:rPr>
              <w:t>100.000000000%</w:t>
            </w:r>
          </w:p>
        </w:tc>
      </w:tr>
      <w:tr>
        <w:trPr>
          <w:trHeight w:val="513"/>
        </w:trPr>
        <w:tc>
          <w:tcPr>
            <w:tcW w:w="3560" w:type="dxa"/>
            <w:vAlign w:val="bottom"/>
          </w:tcPr>
          <w:p>
            <w:pPr>
              <w:spacing w:after="0"/>
              <w:rPr>
                <w:sz w:val="24"/>
                <w:szCs w:val="24"/>
                <w:color w:val="auto"/>
              </w:rPr>
            </w:pPr>
          </w:p>
        </w:tc>
        <w:tc>
          <w:tcPr>
            <w:tcW w:w="3920" w:type="dxa"/>
            <w:vAlign w:val="bottom"/>
          </w:tcPr>
          <w:p>
            <w:pPr>
              <w:jc w:val="center"/>
              <w:ind w:right="241"/>
              <w:spacing w:after="0"/>
              <w:rPr>
                <w:sz w:val="20"/>
                <w:szCs w:val="20"/>
                <w:color w:val="auto"/>
              </w:rPr>
            </w:pPr>
            <w:r>
              <w:rPr>
                <w:rFonts w:ascii="Arial" w:cs="Arial" w:eastAsia="Arial" w:hAnsi="Arial"/>
                <w:sz w:val="20"/>
                <w:szCs w:val="20"/>
                <w:b w:val="1"/>
                <w:bCs w:val="1"/>
                <w:color w:val="auto"/>
              </w:rPr>
              <w:t>L/C COMMITMENT</w:t>
            </w:r>
          </w:p>
        </w:tc>
        <w:tc>
          <w:tcPr>
            <w:tcW w:w="2480" w:type="dxa"/>
            <w:vAlign w:val="bottom"/>
          </w:tcPr>
          <w:p>
            <w:pPr>
              <w:spacing w:after="0"/>
              <w:rPr>
                <w:sz w:val="24"/>
                <w:szCs w:val="24"/>
                <w:color w:val="auto"/>
              </w:rPr>
            </w:pPr>
          </w:p>
        </w:tc>
      </w:tr>
      <w:tr>
        <w:trPr>
          <w:trHeight w:val="445"/>
        </w:trPr>
        <w:tc>
          <w:tcPr>
            <w:tcW w:w="3560" w:type="dxa"/>
            <w:vAlign w:val="bottom"/>
          </w:tcPr>
          <w:p>
            <w:pPr>
              <w:jc w:val="center"/>
              <w:ind w:right="261"/>
              <w:spacing w:after="0"/>
              <w:rPr>
                <w:sz w:val="20"/>
                <w:szCs w:val="20"/>
                <w:color w:val="auto"/>
              </w:rPr>
            </w:pPr>
            <w:r>
              <w:rPr>
                <w:rFonts w:ascii="Arial" w:cs="Arial" w:eastAsia="Arial" w:hAnsi="Arial"/>
                <w:sz w:val="20"/>
                <w:szCs w:val="20"/>
                <w:color w:val="auto"/>
                <w:w w:val="89"/>
              </w:rPr>
              <w:t>Lender</w:t>
            </w:r>
          </w:p>
        </w:tc>
        <w:tc>
          <w:tcPr>
            <w:tcW w:w="3920" w:type="dxa"/>
            <w:vAlign w:val="bottom"/>
          </w:tcPr>
          <w:p>
            <w:pPr>
              <w:jc w:val="center"/>
              <w:ind w:right="281"/>
              <w:spacing w:after="0"/>
              <w:rPr>
                <w:sz w:val="20"/>
                <w:szCs w:val="20"/>
                <w:color w:val="auto"/>
              </w:rPr>
            </w:pPr>
            <w:r>
              <w:rPr>
                <w:rFonts w:ascii="Arial" w:cs="Arial" w:eastAsia="Arial" w:hAnsi="Arial"/>
                <w:sz w:val="20"/>
                <w:szCs w:val="20"/>
                <w:color w:val="auto"/>
                <w:w w:val="94"/>
              </w:rPr>
              <w:t>L/C Commitment</w:t>
            </w:r>
          </w:p>
        </w:tc>
        <w:tc>
          <w:tcPr>
            <w:tcW w:w="2480" w:type="dxa"/>
            <w:vAlign w:val="bottom"/>
          </w:tcPr>
          <w:p>
            <w:pPr>
              <w:jc w:val="center"/>
              <w:ind w:left="641"/>
              <w:spacing w:after="0"/>
              <w:rPr>
                <w:sz w:val="20"/>
                <w:szCs w:val="20"/>
                <w:color w:val="auto"/>
              </w:rPr>
            </w:pPr>
            <w:r>
              <w:rPr>
                <w:rFonts w:ascii="Arial" w:cs="Arial" w:eastAsia="Arial" w:hAnsi="Arial"/>
                <w:sz w:val="20"/>
                <w:szCs w:val="20"/>
                <w:color w:val="auto"/>
                <w:w w:val="87"/>
              </w:rPr>
              <w:t>L/C Percentage</w:t>
            </w:r>
          </w:p>
        </w:tc>
      </w:tr>
      <w:tr>
        <w:trPr>
          <w:trHeight w:val="553"/>
        </w:trPr>
        <w:tc>
          <w:tcPr>
            <w:tcW w:w="3560" w:type="dxa"/>
            <w:vAlign w:val="bottom"/>
          </w:tcPr>
          <w:p>
            <w:pPr>
              <w:jc w:val="center"/>
              <w:ind w:right="281"/>
              <w:spacing w:after="0"/>
              <w:rPr>
                <w:sz w:val="20"/>
                <w:szCs w:val="20"/>
                <w:color w:val="auto"/>
              </w:rPr>
            </w:pPr>
            <w:r>
              <w:rPr>
                <w:rFonts w:ascii="Arial" w:cs="Arial" w:eastAsia="Arial" w:hAnsi="Arial"/>
                <w:sz w:val="20"/>
                <w:szCs w:val="20"/>
                <w:color w:val="auto"/>
                <w:w w:val="92"/>
              </w:rPr>
              <w:t>Silicon Valley Bank</w:t>
            </w:r>
          </w:p>
        </w:tc>
        <w:tc>
          <w:tcPr>
            <w:tcW w:w="3920" w:type="dxa"/>
            <w:vAlign w:val="bottom"/>
          </w:tcPr>
          <w:p>
            <w:pPr>
              <w:jc w:val="center"/>
              <w:ind w:right="281"/>
              <w:spacing w:after="0"/>
              <w:rPr>
                <w:sz w:val="20"/>
                <w:szCs w:val="20"/>
                <w:color w:val="auto"/>
              </w:rPr>
            </w:pPr>
            <w:r>
              <w:rPr>
                <w:rFonts w:ascii="Arial" w:cs="Arial" w:eastAsia="Arial" w:hAnsi="Arial"/>
                <w:sz w:val="20"/>
                <w:szCs w:val="20"/>
                <w:color w:val="auto"/>
                <w:w w:val="89"/>
              </w:rPr>
              <w:t>$5,000,000</w:t>
            </w:r>
          </w:p>
        </w:tc>
        <w:tc>
          <w:tcPr>
            <w:tcW w:w="2480" w:type="dxa"/>
            <w:vAlign w:val="bottom"/>
          </w:tcPr>
          <w:p>
            <w:pPr>
              <w:jc w:val="center"/>
              <w:ind w:left="641"/>
              <w:spacing w:after="0"/>
              <w:rPr>
                <w:sz w:val="20"/>
                <w:szCs w:val="20"/>
                <w:color w:val="auto"/>
              </w:rPr>
            </w:pPr>
            <w:r>
              <w:rPr>
                <w:rFonts w:ascii="Arial" w:cs="Arial" w:eastAsia="Arial" w:hAnsi="Arial"/>
                <w:sz w:val="20"/>
                <w:szCs w:val="20"/>
                <w:color w:val="auto"/>
                <w:w w:val="89"/>
              </w:rPr>
              <w:t>50.000000000%</w:t>
            </w:r>
          </w:p>
        </w:tc>
      </w:tr>
      <w:tr>
        <w:trPr>
          <w:trHeight w:val="283"/>
        </w:trPr>
        <w:tc>
          <w:tcPr>
            <w:tcW w:w="3560" w:type="dxa"/>
            <w:vAlign w:val="bottom"/>
          </w:tcPr>
          <w:p>
            <w:pPr>
              <w:jc w:val="center"/>
              <w:ind w:right="281"/>
              <w:spacing w:after="0"/>
              <w:rPr>
                <w:sz w:val="20"/>
                <w:szCs w:val="20"/>
                <w:color w:val="auto"/>
              </w:rPr>
            </w:pPr>
            <w:r>
              <w:rPr>
                <w:rFonts w:ascii="Arial" w:cs="Arial" w:eastAsia="Arial" w:hAnsi="Arial"/>
                <w:sz w:val="20"/>
                <w:szCs w:val="20"/>
                <w:color w:val="auto"/>
                <w:w w:val="89"/>
              </w:rPr>
              <w:t>JP Morgan Chase Bank, N.A.</w:t>
            </w:r>
          </w:p>
        </w:tc>
        <w:tc>
          <w:tcPr>
            <w:tcW w:w="3920" w:type="dxa"/>
            <w:vAlign w:val="bottom"/>
          </w:tcPr>
          <w:p>
            <w:pPr>
              <w:jc w:val="center"/>
              <w:ind w:right="281"/>
              <w:spacing w:after="0"/>
              <w:rPr>
                <w:sz w:val="20"/>
                <w:szCs w:val="20"/>
                <w:color w:val="auto"/>
              </w:rPr>
            </w:pPr>
            <w:r>
              <w:rPr>
                <w:rFonts w:ascii="Arial" w:cs="Arial" w:eastAsia="Arial" w:hAnsi="Arial"/>
                <w:sz w:val="20"/>
                <w:szCs w:val="20"/>
                <w:color w:val="auto"/>
                <w:w w:val="89"/>
              </w:rPr>
              <w:t>$2,500,000</w:t>
            </w:r>
          </w:p>
        </w:tc>
        <w:tc>
          <w:tcPr>
            <w:tcW w:w="2480" w:type="dxa"/>
            <w:vAlign w:val="bottom"/>
          </w:tcPr>
          <w:p>
            <w:pPr>
              <w:jc w:val="center"/>
              <w:ind w:left="641"/>
              <w:spacing w:after="0"/>
              <w:rPr>
                <w:sz w:val="20"/>
                <w:szCs w:val="20"/>
                <w:color w:val="auto"/>
              </w:rPr>
            </w:pPr>
            <w:r>
              <w:rPr>
                <w:rFonts w:ascii="Arial" w:cs="Arial" w:eastAsia="Arial" w:hAnsi="Arial"/>
                <w:sz w:val="20"/>
                <w:szCs w:val="20"/>
                <w:color w:val="auto"/>
                <w:w w:val="89"/>
              </w:rPr>
              <w:t>25.000000000%</w:t>
            </w:r>
          </w:p>
        </w:tc>
      </w:tr>
      <w:tr>
        <w:trPr>
          <w:trHeight w:val="284"/>
        </w:trPr>
        <w:tc>
          <w:tcPr>
            <w:tcW w:w="3560" w:type="dxa"/>
            <w:vAlign w:val="bottom"/>
          </w:tcPr>
          <w:p>
            <w:pPr>
              <w:jc w:val="center"/>
              <w:ind w:right="281"/>
              <w:spacing w:after="0"/>
              <w:rPr>
                <w:sz w:val="20"/>
                <w:szCs w:val="20"/>
                <w:color w:val="auto"/>
              </w:rPr>
            </w:pPr>
            <w:r>
              <w:rPr>
                <w:rFonts w:ascii="Arial" w:cs="Arial" w:eastAsia="Arial" w:hAnsi="Arial"/>
                <w:sz w:val="20"/>
                <w:szCs w:val="20"/>
                <w:color w:val="auto"/>
                <w:w w:val="91"/>
              </w:rPr>
              <w:t>HSBC Bank USA, National Association</w:t>
            </w:r>
          </w:p>
        </w:tc>
        <w:tc>
          <w:tcPr>
            <w:tcW w:w="3920" w:type="dxa"/>
            <w:vAlign w:val="bottom"/>
          </w:tcPr>
          <w:p>
            <w:pPr>
              <w:jc w:val="center"/>
              <w:ind w:right="281"/>
              <w:spacing w:after="0"/>
              <w:rPr>
                <w:sz w:val="20"/>
                <w:szCs w:val="20"/>
                <w:color w:val="auto"/>
              </w:rPr>
            </w:pPr>
            <w:r>
              <w:rPr>
                <w:rFonts w:ascii="Arial" w:cs="Arial" w:eastAsia="Arial" w:hAnsi="Arial"/>
                <w:sz w:val="20"/>
                <w:szCs w:val="20"/>
                <w:color w:val="auto"/>
                <w:w w:val="89"/>
              </w:rPr>
              <w:t>$2,500,000</w:t>
            </w:r>
          </w:p>
        </w:tc>
        <w:tc>
          <w:tcPr>
            <w:tcW w:w="2480" w:type="dxa"/>
            <w:vAlign w:val="bottom"/>
          </w:tcPr>
          <w:p>
            <w:pPr>
              <w:jc w:val="center"/>
              <w:ind w:left="641"/>
              <w:spacing w:after="0"/>
              <w:rPr>
                <w:sz w:val="20"/>
                <w:szCs w:val="20"/>
                <w:color w:val="auto"/>
              </w:rPr>
            </w:pPr>
            <w:r>
              <w:rPr>
                <w:rFonts w:ascii="Arial" w:cs="Arial" w:eastAsia="Arial" w:hAnsi="Arial"/>
                <w:sz w:val="20"/>
                <w:szCs w:val="20"/>
                <w:color w:val="auto"/>
                <w:w w:val="89"/>
              </w:rPr>
              <w:t>25.000000000%</w:t>
            </w:r>
          </w:p>
        </w:tc>
      </w:tr>
      <w:tr>
        <w:trPr>
          <w:trHeight w:val="283"/>
        </w:trPr>
        <w:tc>
          <w:tcPr>
            <w:tcW w:w="3560" w:type="dxa"/>
            <w:vAlign w:val="bottom"/>
          </w:tcPr>
          <w:p>
            <w:pPr>
              <w:jc w:val="center"/>
              <w:ind w:right="281"/>
              <w:spacing w:after="0"/>
              <w:rPr>
                <w:sz w:val="20"/>
                <w:szCs w:val="20"/>
                <w:color w:val="auto"/>
              </w:rPr>
            </w:pPr>
            <w:r>
              <w:rPr>
                <w:rFonts w:ascii="Arial" w:cs="Arial" w:eastAsia="Arial" w:hAnsi="Arial"/>
                <w:sz w:val="20"/>
                <w:szCs w:val="20"/>
                <w:color w:val="auto"/>
                <w:w w:val="94"/>
              </w:rPr>
              <w:t>Total</w:t>
            </w:r>
          </w:p>
        </w:tc>
        <w:tc>
          <w:tcPr>
            <w:tcW w:w="3920" w:type="dxa"/>
            <w:vAlign w:val="bottom"/>
          </w:tcPr>
          <w:p>
            <w:pPr>
              <w:jc w:val="center"/>
              <w:ind w:right="281"/>
              <w:spacing w:after="0"/>
              <w:rPr>
                <w:sz w:val="20"/>
                <w:szCs w:val="20"/>
                <w:color w:val="auto"/>
              </w:rPr>
            </w:pPr>
            <w:r>
              <w:rPr>
                <w:rFonts w:ascii="Arial" w:cs="Arial" w:eastAsia="Arial" w:hAnsi="Arial"/>
                <w:sz w:val="20"/>
                <w:szCs w:val="20"/>
                <w:color w:val="auto"/>
                <w:w w:val="88"/>
              </w:rPr>
              <w:t>$10,000,000</w:t>
            </w:r>
          </w:p>
        </w:tc>
        <w:tc>
          <w:tcPr>
            <w:tcW w:w="2480" w:type="dxa"/>
            <w:vAlign w:val="bottom"/>
          </w:tcPr>
          <w:p>
            <w:pPr>
              <w:jc w:val="center"/>
              <w:ind w:left="621"/>
              <w:spacing w:after="0"/>
              <w:rPr>
                <w:sz w:val="20"/>
                <w:szCs w:val="20"/>
                <w:color w:val="auto"/>
              </w:rPr>
            </w:pPr>
            <w:r>
              <w:rPr>
                <w:rFonts w:ascii="Arial" w:cs="Arial" w:eastAsia="Arial" w:hAnsi="Arial"/>
                <w:sz w:val="20"/>
                <w:szCs w:val="20"/>
                <w:color w:val="auto"/>
                <w:w w:val="89"/>
              </w:rPr>
              <w:t>100.000000000%</w:t>
            </w:r>
          </w:p>
        </w:tc>
      </w:tr>
      <w:tr>
        <w:trPr>
          <w:trHeight w:val="500"/>
        </w:trPr>
        <w:tc>
          <w:tcPr>
            <w:tcW w:w="3560" w:type="dxa"/>
            <w:vAlign w:val="bottom"/>
          </w:tcPr>
          <w:p>
            <w:pPr>
              <w:spacing w:after="0"/>
              <w:rPr>
                <w:sz w:val="24"/>
                <w:szCs w:val="24"/>
                <w:color w:val="auto"/>
              </w:rPr>
            </w:pPr>
          </w:p>
        </w:tc>
        <w:tc>
          <w:tcPr>
            <w:tcW w:w="3920" w:type="dxa"/>
            <w:vAlign w:val="bottom"/>
          </w:tcPr>
          <w:p>
            <w:pPr>
              <w:jc w:val="center"/>
              <w:ind w:right="261"/>
              <w:spacing w:after="0"/>
              <w:rPr>
                <w:sz w:val="20"/>
                <w:szCs w:val="20"/>
                <w:color w:val="auto"/>
              </w:rPr>
            </w:pPr>
            <w:r>
              <w:rPr>
                <w:rFonts w:ascii="Arial" w:cs="Arial" w:eastAsia="Arial" w:hAnsi="Arial"/>
                <w:sz w:val="20"/>
                <w:szCs w:val="20"/>
                <w:b w:val="1"/>
                <w:bCs w:val="1"/>
                <w:color w:val="auto"/>
              </w:rPr>
              <w:t>SWINGLINE COMMITMENT</w:t>
            </w:r>
          </w:p>
        </w:tc>
        <w:tc>
          <w:tcPr>
            <w:tcW w:w="2480" w:type="dxa"/>
            <w:vAlign w:val="bottom"/>
          </w:tcPr>
          <w:p>
            <w:pPr>
              <w:spacing w:after="0"/>
              <w:rPr>
                <w:sz w:val="24"/>
                <w:szCs w:val="24"/>
                <w:color w:val="auto"/>
              </w:rPr>
            </w:pPr>
          </w:p>
        </w:tc>
      </w:tr>
      <w:tr>
        <w:trPr>
          <w:trHeight w:val="445"/>
        </w:trPr>
        <w:tc>
          <w:tcPr>
            <w:tcW w:w="3560" w:type="dxa"/>
            <w:vAlign w:val="bottom"/>
          </w:tcPr>
          <w:p>
            <w:pPr>
              <w:jc w:val="center"/>
              <w:ind w:right="301"/>
              <w:spacing w:after="0"/>
              <w:rPr>
                <w:sz w:val="20"/>
                <w:szCs w:val="20"/>
                <w:color w:val="auto"/>
              </w:rPr>
            </w:pPr>
            <w:r>
              <w:rPr>
                <w:rFonts w:ascii="Arial" w:cs="Arial" w:eastAsia="Arial" w:hAnsi="Arial"/>
                <w:sz w:val="20"/>
                <w:szCs w:val="20"/>
                <w:color w:val="auto"/>
                <w:w w:val="89"/>
              </w:rPr>
              <w:t>Lender</w:t>
            </w:r>
          </w:p>
        </w:tc>
        <w:tc>
          <w:tcPr>
            <w:tcW w:w="3920" w:type="dxa"/>
            <w:vAlign w:val="bottom"/>
          </w:tcPr>
          <w:p>
            <w:pPr>
              <w:jc w:val="center"/>
              <w:ind w:right="321"/>
              <w:spacing w:after="0"/>
              <w:rPr>
                <w:sz w:val="20"/>
                <w:szCs w:val="20"/>
                <w:color w:val="auto"/>
              </w:rPr>
            </w:pPr>
            <w:r>
              <w:rPr>
                <w:rFonts w:ascii="Arial" w:cs="Arial" w:eastAsia="Arial" w:hAnsi="Arial"/>
                <w:sz w:val="20"/>
                <w:szCs w:val="20"/>
                <w:color w:val="auto"/>
                <w:w w:val="92"/>
              </w:rPr>
              <w:t>Swingline Commitment</w:t>
            </w:r>
          </w:p>
        </w:tc>
        <w:tc>
          <w:tcPr>
            <w:tcW w:w="2480" w:type="dxa"/>
            <w:vAlign w:val="bottom"/>
          </w:tcPr>
          <w:p>
            <w:pPr>
              <w:jc w:val="center"/>
              <w:ind w:left="601"/>
              <w:spacing w:after="0"/>
              <w:rPr>
                <w:sz w:val="20"/>
                <w:szCs w:val="20"/>
                <w:color w:val="auto"/>
              </w:rPr>
            </w:pPr>
            <w:r>
              <w:rPr>
                <w:rFonts w:ascii="Arial" w:cs="Arial" w:eastAsia="Arial" w:hAnsi="Arial"/>
                <w:sz w:val="20"/>
                <w:szCs w:val="20"/>
                <w:color w:val="auto"/>
                <w:w w:val="86"/>
              </w:rPr>
              <w:t>Exposure Percentage</w:t>
            </w:r>
          </w:p>
        </w:tc>
      </w:tr>
      <w:tr>
        <w:trPr>
          <w:trHeight w:val="553"/>
        </w:trPr>
        <w:tc>
          <w:tcPr>
            <w:tcW w:w="3560" w:type="dxa"/>
            <w:vAlign w:val="bottom"/>
          </w:tcPr>
          <w:p>
            <w:pPr>
              <w:jc w:val="center"/>
              <w:ind w:right="281"/>
              <w:spacing w:after="0"/>
              <w:rPr>
                <w:sz w:val="20"/>
                <w:szCs w:val="20"/>
                <w:color w:val="auto"/>
              </w:rPr>
            </w:pPr>
            <w:r>
              <w:rPr>
                <w:rFonts w:ascii="Arial" w:cs="Arial" w:eastAsia="Arial" w:hAnsi="Arial"/>
                <w:sz w:val="20"/>
                <w:szCs w:val="20"/>
                <w:color w:val="auto"/>
                <w:w w:val="92"/>
              </w:rPr>
              <w:t>Silicon Valley Bank</w:t>
            </w:r>
          </w:p>
        </w:tc>
        <w:tc>
          <w:tcPr>
            <w:tcW w:w="3920" w:type="dxa"/>
            <w:vAlign w:val="bottom"/>
          </w:tcPr>
          <w:p>
            <w:pPr>
              <w:jc w:val="center"/>
              <w:ind w:right="301"/>
              <w:spacing w:after="0"/>
              <w:rPr>
                <w:sz w:val="20"/>
                <w:szCs w:val="20"/>
                <w:color w:val="auto"/>
              </w:rPr>
            </w:pPr>
            <w:r>
              <w:rPr>
                <w:rFonts w:ascii="Arial" w:cs="Arial" w:eastAsia="Arial" w:hAnsi="Arial"/>
                <w:sz w:val="20"/>
                <w:szCs w:val="20"/>
                <w:color w:val="auto"/>
                <w:w w:val="89"/>
              </w:rPr>
              <w:t>$10,000,000</w:t>
            </w:r>
          </w:p>
        </w:tc>
        <w:tc>
          <w:tcPr>
            <w:tcW w:w="2480" w:type="dxa"/>
            <w:vAlign w:val="bottom"/>
          </w:tcPr>
          <w:p>
            <w:pPr>
              <w:jc w:val="center"/>
              <w:ind w:left="621"/>
              <w:spacing w:after="0"/>
              <w:rPr>
                <w:sz w:val="20"/>
                <w:szCs w:val="20"/>
                <w:color w:val="auto"/>
              </w:rPr>
            </w:pPr>
            <w:r>
              <w:rPr>
                <w:rFonts w:ascii="Arial" w:cs="Arial" w:eastAsia="Arial" w:hAnsi="Arial"/>
                <w:sz w:val="20"/>
                <w:szCs w:val="20"/>
                <w:color w:val="auto"/>
                <w:w w:val="89"/>
              </w:rPr>
              <w:t>100.000000000%</w:t>
            </w:r>
          </w:p>
        </w:tc>
      </w:tr>
      <w:tr>
        <w:trPr>
          <w:trHeight w:val="283"/>
        </w:trPr>
        <w:tc>
          <w:tcPr>
            <w:tcW w:w="3560" w:type="dxa"/>
            <w:vAlign w:val="bottom"/>
          </w:tcPr>
          <w:p>
            <w:pPr>
              <w:jc w:val="center"/>
              <w:ind w:right="301"/>
              <w:spacing w:after="0"/>
              <w:rPr>
                <w:sz w:val="20"/>
                <w:szCs w:val="20"/>
                <w:color w:val="auto"/>
              </w:rPr>
            </w:pPr>
            <w:r>
              <w:rPr>
                <w:rFonts w:ascii="Arial" w:cs="Arial" w:eastAsia="Arial" w:hAnsi="Arial"/>
                <w:sz w:val="20"/>
                <w:szCs w:val="20"/>
                <w:color w:val="auto"/>
                <w:w w:val="89"/>
              </w:rPr>
              <w:t>Total</w:t>
            </w:r>
          </w:p>
        </w:tc>
        <w:tc>
          <w:tcPr>
            <w:tcW w:w="3920" w:type="dxa"/>
            <w:vAlign w:val="bottom"/>
          </w:tcPr>
          <w:p>
            <w:pPr>
              <w:jc w:val="center"/>
              <w:ind w:right="301"/>
              <w:spacing w:after="0"/>
              <w:rPr>
                <w:sz w:val="20"/>
                <w:szCs w:val="20"/>
                <w:color w:val="auto"/>
              </w:rPr>
            </w:pPr>
            <w:r>
              <w:rPr>
                <w:rFonts w:ascii="Arial" w:cs="Arial" w:eastAsia="Arial" w:hAnsi="Arial"/>
                <w:sz w:val="20"/>
                <w:szCs w:val="20"/>
                <w:color w:val="auto"/>
                <w:w w:val="89"/>
              </w:rPr>
              <w:t>$10,000,000</w:t>
            </w:r>
          </w:p>
        </w:tc>
        <w:tc>
          <w:tcPr>
            <w:tcW w:w="2480" w:type="dxa"/>
            <w:vAlign w:val="bottom"/>
          </w:tcPr>
          <w:p>
            <w:pPr>
              <w:jc w:val="center"/>
              <w:ind w:left="621"/>
              <w:spacing w:after="0"/>
              <w:rPr>
                <w:sz w:val="20"/>
                <w:szCs w:val="20"/>
                <w:color w:val="auto"/>
              </w:rPr>
            </w:pPr>
            <w:r>
              <w:rPr>
                <w:rFonts w:ascii="Arial" w:cs="Arial" w:eastAsia="Arial" w:hAnsi="Arial"/>
                <w:sz w:val="20"/>
                <w:szCs w:val="20"/>
                <w:color w:val="auto"/>
                <w:w w:val="89"/>
              </w:rPr>
              <w:t>100.000000000%</w:t>
            </w:r>
          </w:p>
        </w:tc>
      </w:tr>
    </w:tbl>
    <w:p>
      <w:pPr>
        <w:sectPr>
          <w:pgSz w:w="11900" w:h="16838" w:orient="portrait"/>
          <w:cols w:equalWidth="0" w:num="1">
            <w:col w:w="9960"/>
          </w:cols>
          <w:pgMar w:left="600" w:top="1412" w:right="1339" w:bottom="1440" w:gutter="0" w:footer="0" w:header="0"/>
        </w:sectPr>
      </w:pPr>
    </w:p>
    <w:bookmarkStart w:id="529" w:name="page530"/>
    <w:bookmarkEnd w:id="529"/>
    <w:p>
      <w:pPr>
        <w:jc w:val="right"/>
        <w:spacing w:after="0"/>
        <w:rPr>
          <w:sz w:val="20"/>
          <w:szCs w:val="20"/>
          <w:color w:val="auto"/>
        </w:rPr>
      </w:pPr>
      <w:r>
        <w:rPr>
          <w:rFonts w:ascii="Arial" w:cs="Arial" w:eastAsia="Arial" w:hAnsi="Arial"/>
          <w:sz w:val="18"/>
          <w:szCs w:val="18"/>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40"/>
        <w:spacing w:after="0"/>
        <w:rPr>
          <w:sz w:val="20"/>
          <w:szCs w:val="20"/>
          <w:color w:val="auto"/>
        </w:rPr>
      </w:pPr>
      <w:r>
        <w:rPr>
          <w:rFonts w:ascii="Arial" w:cs="Arial" w:eastAsia="Arial" w:hAnsi="Arial"/>
          <w:sz w:val="22"/>
          <w:szCs w:val="22"/>
          <w:b w:val="1"/>
          <w:bCs w:val="1"/>
          <w:color w:val="auto"/>
        </w:rPr>
        <w:t>SUBLEASE</w:t>
      </w:r>
    </w:p>
    <w:p>
      <w:pPr>
        <w:spacing w:after="0" w:line="166"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BETWEEN</w:t>
      </w:r>
    </w:p>
    <w:p>
      <w:pPr>
        <w:spacing w:after="0" w:line="166"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TWITTER, INC.</w:t>
      </w:r>
    </w:p>
    <w:p>
      <w:pPr>
        <w:spacing w:after="0" w:line="166" w:lineRule="exact"/>
        <w:rPr>
          <w:sz w:val="20"/>
          <w:szCs w:val="20"/>
          <w:color w:val="auto"/>
        </w:rPr>
      </w:pPr>
    </w:p>
    <w:p>
      <w:pPr>
        <w:ind w:left="4280"/>
        <w:spacing w:after="0"/>
        <w:rPr>
          <w:sz w:val="20"/>
          <w:szCs w:val="20"/>
          <w:color w:val="auto"/>
        </w:rPr>
      </w:pPr>
      <w:r>
        <w:rPr>
          <w:rFonts w:ascii="Arial" w:cs="Arial" w:eastAsia="Arial" w:hAnsi="Arial"/>
          <w:sz w:val="22"/>
          <w:szCs w:val="22"/>
          <w:b w:val="1"/>
          <w:bCs w:val="1"/>
          <w:color w:val="auto"/>
        </w:rPr>
        <w:t>AND</w:t>
      </w:r>
    </w:p>
    <w:p>
      <w:pPr>
        <w:spacing w:after="0" w:line="166" w:lineRule="exact"/>
        <w:rPr>
          <w:sz w:val="20"/>
          <w:szCs w:val="20"/>
          <w:color w:val="auto"/>
        </w:rPr>
      </w:pPr>
    </w:p>
    <w:p>
      <w:pPr>
        <w:ind w:left="3460"/>
        <w:spacing w:after="0"/>
        <w:rPr>
          <w:sz w:val="20"/>
          <w:szCs w:val="20"/>
          <w:color w:val="auto"/>
        </w:rPr>
      </w:pPr>
      <w:r>
        <w:rPr>
          <w:rFonts w:ascii="Arial" w:cs="Arial" w:eastAsia="Arial" w:hAnsi="Arial"/>
          <w:sz w:val="22"/>
          <w:szCs w:val="22"/>
          <w:b w:val="1"/>
          <w:bCs w:val="1"/>
          <w:color w:val="auto"/>
        </w:rPr>
        <w:t>NERDWALLET, INC.</w:t>
      </w:r>
    </w:p>
    <w:p>
      <w:pPr>
        <w:spacing w:after="0" w:line="172"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875 Stevenson Street (1 Tenth Street), San Francisco, California</w:t>
      </w:r>
    </w:p>
    <w:p>
      <w:pPr>
        <w:spacing w:after="0" w:line="21"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Fourth (4th), Fifth (5th) and Sixth (6th) Floors</w:t>
      </w:r>
    </w:p>
    <w:p>
      <w:pPr>
        <w:sectPr>
          <w:pgSz w:w="11900" w:h="16838" w:orient="portrait"/>
          <w:cols w:equalWidth="0" w:num="1">
            <w:col w:w="10120"/>
          </w:cols>
          <w:pgMar w:left="1440" w:top="121" w:right="339" w:bottom="1440" w:gutter="0" w:footer="0" w:header="0"/>
        </w:sectPr>
      </w:pPr>
    </w:p>
    <w:bookmarkStart w:id="530" w:name="page531"/>
    <w:bookmarkEnd w:id="530"/>
    <w:p>
      <w:pPr>
        <w:jc w:val="center"/>
        <w:spacing w:after="0"/>
        <w:rPr>
          <w:sz w:val="20"/>
          <w:szCs w:val="20"/>
          <w:color w:val="auto"/>
        </w:rPr>
      </w:pPr>
      <w:r>
        <w:rPr>
          <w:rFonts w:ascii="Arial" w:cs="Arial" w:eastAsia="Arial" w:hAnsi="Arial"/>
          <w:sz w:val="22"/>
          <w:szCs w:val="22"/>
          <w:color w:val="auto"/>
        </w:rPr>
        <w:t>SUBLEASE</w:t>
      </w:r>
    </w:p>
    <w:p>
      <w:pPr>
        <w:spacing w:after="0" w:line="16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THIS SUBLEASE (“</w:t>
      </w:r>
      <w:r>
        <w:rPr>
          <w:rFonts w:ascii="Arial" w:cs="Arial" w:eastAsia="Arial" w:hAnsi="Arial"/>
          <w:sz w:val="22"/>
          <w:szCs w:val="22"/>
          <w:b w:val="1"/>
          <w:bCs w:val="1"/>
          <w:color w:val="auto"/>
        </w:rPr>
        <w:t>Sublease</w:t>
      </w:r>
      <w:r>
        <w:rPr>
          <w:rFonts w:ascii="Arial" w:cs="Arial" w:eastAsia="Arial" w:hAnsi="Arial"/>
          <w:sz w:val="22"/>
          <w:szCs w:val="22"/>
          <w:color w:val="auto"/>
        </w:rPr>
        <w:t>”) is entered into as of October 16, 2016 (the “</w:t>
      </w:r>
      <w:r>
        <w:rPr>
          <w:rFonts w:ascii="Arial" w:cs="Arial" w:eastAsia="Arial" w:hAnsi="Arial"/>
          <w:sz w:val="22"/>
          <w:szCs w:val="22"/>
          <w:b w:val="1"/>
          <w:bCs w:val="1"/>
          <w:color w:val="auto"/>
        </w:rPr>
        <w:t>Effective Date</w:t>
      </w:r>
      <w:r>
        <w:rPr>
          <w:rFonts w:ascii="Arial" w:cs="Arial" w:eastAsia="Arial" w:hAnsi="Arial"/>
          <w:sz w:val="22"/>
          <w:szCs w:val="22"/>
          <w:color w:val="auto"/>
        </w:rPr>
        <w:t xml:space="preserve">”), by and between </w:t>
      </w:r>
      <w:r>
        <w:rPr>
          <w:rFonts w:ascii="Arial" w:cs="Arial" w:eastAsia="Arial" w:hAnsi="Arial"/>
          <w:sz w:val="22"/>
          <w:szCs w:val="22"/>
          <w:b w:val="1"/>
          <w:bCs w:val="1"/>
          <w:color w:val="auto"/>
        </w:rPr>
        <w:t>TWITTER,</w:t>
      </w:r>
      <w:r>
        <w:rPr>
          <w:rFonts w:ascii="Arial" w:cs="Arial" w:eastAsia="Arial" w:hAnsi="Arial"/>
          <w:sz w:val="22"/>
          <w:szCs w:val="22"/>
          <w:color w:val="auto"/>
        </w:rPr>
        <w:t xml:space="preserve"> </w:t>
      </w:r>
      <w:r>
        <w:rPr>
          <w:rFonts w:ascii="Arial" w:cs="Arial" w:eastAsia="Arial" w:hAnsi="Arial"/>
          <w:sz w:val="22"/>
          <w:szCs w:val="22"/>
          <w:b w:val="1"/>
          <w:bCs w:val="1"/>
          <w:color w:val="auto"/>
        </w:rPr>
        <w:t>INC.</w:t>
      </w:r>
      <w:r>
        <w:rPr>
          <w:rFonts w:ascii="Arial" w:cs="Arial" w:eastAsia="Arial" w:hAnsi="Arial"/>
          <w:sz w:val="22"/>
          <w:szCs w:val="22"/>
          <w:color w:val="auto"/>
        </w:rPr>
        <w:t>, a Delaware corporation (“</w:t>
      </w:r>
      <w:r>
        <w:rPr>
          <w:rFonts w:ascii="Arial" w:cs="Arial" w:eastAsia="Arial" w:hAnsi="Arial"/>
          <w:sz w:val="22"/>
          <w:szCs w:val="22"/>
          <w:b w:val="1"/>
          <w:bCs w:val="1"/>
          <w:color w:val="auto"/>
        </w:rPr>
        <w:t>Sublandlord</w:t>
      </w:r>
      <w:r>
        <w:rPr>
          <w:rFonts w:ascii="Arial" w:cs="Arial" w:eastAsia="Arial" w:hAnsi="Arial"/>
          <w:sz w:val="22"/>
          <w:szCs w:val="22"/>
          <w:color w:val="auto"/>
        </w:rPr>
        <w:t>”), and</w:t>
      </w:r>
      <w:r>
        <w:rPr>
          <w:rFonts w:ascii="Arial" w:cs="Arial" w:eastAsia="Arial" w:hAnsi="Arial"/>
          <w:sz w:val="22"/>
          <w:szCs w:val="22"/>
          <w:b w:val="1"/>
          <w:bCs w:val="1"/>
          <w:color w:val="auto"/>
        </w:rPr>
        <w:t xml:space="preserve"> NERDWALLET, INC.</w:t>
      </w:r>
      <w:r>
        <w:rPr>
          <w:rFonts w:ascii="Arial" w:cs="Arial" w:eastAsia="Arial" w:hAnsi="Arial"/>
          <w:sz w:val="22"/>
          <w:szCs w:val="22"/>
          <w:color w:val="auto"/>
        </w:rPr>
        <w:t>, a Delaware corporation (“</w:t>
      </w:r>
      <w:r>
        <w:rPr>
          <w:rFonts w:ascii="Arial" w:cs="Arial" w:eastAsia="Arial" w:hAnsi="Arial"/>
          <w:sz w:val="22"/>
          <w:szCs w:val="22"/>
          <w:b w:val="1"/>
          <w:bCs w:val="1"/>
          <w:color w:val="auto"/>
        </w:rPr>
        <w:t>Subtenant</w:t>
      </w:r>
      <w:r>
        <w:rPr>
          <w:rFonts w:ascii="Arial" w:cs="Arial" w:eastAsia="Arial" w:hAnsi="Arial"/>
          <w:sz w:val="22"/>
          <w:szCs w:val="22"/>
          <w:color w:val="auto"/>
        </w:rPr>
        <w:t>”), with</w:t>
      </w:r>
      <w:r>
        <w:rPr>
          <w:rFonts w:ascii="Arial" w:cs="Arial" w:eastAsia="Arial" w:hAnsi="Arial"/>
          <w:sz w:val="22"/>
          <w:szCs w:val="22"/>
          <w:b w:val="1"/>
          <w:bCs w:val="1"/>
          <w:color w:val="auto"/>
        </w:rPr>
        <w:t xml:space="preserve"> </w:t>
      </w:r>
      <w:r>
        <w:rPr>
          <w:rFonts w:ascii="Arial" w:cs="Arial" w:eastAsia="Arial" w:hAnsi="Arial"/>
          <w:sz w:val="22"/>
          <w:szCs w:val="22"/>
          <w:color w:val="auto"/>
        </w:rPr>
        <w:t>reference to the following facts:</w:t>
      </w:r>
    </w:p>
    <w:p>
      <w:pPr>
        <w:spacing w:after="0" w:line="122" w:lineRule="exact"/>
        <w:rPr>
          <w:sz w:val="20"/>
          <w:szCs w:val="20"/>
          <w:color w:val="auto"/>
        </w:rPr>
      </w:pPr>
    </w:p>
    <w:p>
      <w:pPr>
        <w:jc w:val="both"/>
        <w:ind w:firstLine="1304"/>
        <w:spacing w:after="0" w:line="247" w:lineRule="auto"/>
        <w:tabs>
          <w:tab w:leader="none" w:pos="1830" w:val="left"/>
        </w:tabs>
        <w:numPr>
          <w:ilvl w:val="0"/>
          <w:numId w:val="501"/>
        </w:numPr>
        <w:rPr>
          <w:rFonts w:ascii="Arial" w:cs="Arial" w:eastAsia="Arial" w:hAnsi="Arial"/>
          <w:sz w:val="22"/>
          <w:szCs w:val="22"/>
          <w:color w:val="auto"/>
        </w:rPr>
      </w:pPr>
      <w:r>
        <w:rPr>
          <w:rFonts w:ascii="Arial" w:cs="Arial" w:eastAsia="Arial" w:hAnsi="Arial"/>
          <w:sz w:val="22"/>
          <w:szCs w:val="22"/>
          <w:color w:val="auto"/>
        </w:rPr>
        <w:t>Pursuant to that certain Office Lease dated as of December 20, 2013 (the “</w:t>
      </w:r>
      <w:r>
        <w:rPr>
          <w:rFonts w:ascii="Arial" w:cs="Arial" w:eastAsia="Arial" w:hAnsi="Arial"/>
          <w:sz w:val="22"/>
          <w:szCs w:val="22"/>
          <w:b w:val="1"/>
          <w:bCs w:val="1"/>
          <w:color w:val="auto"/>
        </w:rPr>
        <w:t>Original Master Lease</w:t>
      </w:r>
      <w:r>
        <w:rPr>
          <w:rFonts w:ascii="Arial" w:cs="Arial" w:eastAsia="Arial" w:hAnsi="Arial"/>
          <w:sz w:val="22"/>
          <w:szCs w:val="22"/>
          <w:color w:val="auto"/>
        </w:rPr>
        <w:t>”), as amended by (i) First Amendment to Lease, dated as of December 22, 2014 (the “</w:t>
      </w:r>
      <w:r>
        <w:rPr>
          <w:rFonts w:ascii="Arial" w:cs="Arial" w:eastAsia="Arial" w:hAnsi="Arial"/>
          <w:sz w:val="22"/>
          <w:szCs w:val="22"/>
          <w:b w:val="1"/>
          <w:bCs w:val="1"/>
          <w:color w:val="auto"/>
        </w:rPr>
        <w:t>First Amendment</w:t>
      </w:r>
      <w:r>
        <w:rPr>
          <w:rFonts w:ascii="Arial" w:cs="Arial" w:eastAsia="Arial" w:hAnsi="Arial"/>
          <w:sz w:val="22"/>
          <w:szCs w:val="22"/>
          <w:color w:val="auto"/>
        </w:rPr>
        <w:t>”), (ii) that certain Second Amendment to Lease, dated as of June 30, 2015 (the “</w:t>
      </w:r>
      <w:r>
        <w:rPr>
          <w:rFonts w:ascii="Arial" w:cs="Arial" w:eastAsia="Arial" w:hAnsi="Arial"/>
          <w:sz w:val="22"/>
          <w:szCs w:val="22"/>
          <w:b w:val="1"/>
          <w:bCs w:val="1"/>
          <w:color w:val="auto"/>
        </w:rPr>
        <w:t>Second Amendment</w:t>
      </w:r>
      <w:r>
        <w:rPr>
          <w:rFonts w:ascii="Arial" w:cs="Arial" w:eastAsia="Arial" w:hAnsi="Arial"/>
          <w:sz w:val="22"/>
          <w:szCs w:val="22"/>
          <w:color w:val="auto"/>
        </w:rPr>
        <w:t>”), and (iii) that certain Third Amendment to Lease, dated as of March 28, 2016 (the “</w:t>
      </w:r>
      <w:r>
        <w:rPr>
          <w:rFonts w:ascii="Arial" w:cs="Arial" w:eastAsia="Arial" w:hAnsi="Arial"/>
          <w:sz w:val="22"/>
          <w:szCs w:val="22"/>
          <w:b w:val="1"/>
          <w:bCs w:val="1"/>
          <w:color w:val="auto"/>
        </w:rPr>
        <w:t>Third Amendment</w:t>
      </w:r>
      <w:r>
        <w:rPr>
          <w:rFonts w:ascii="Arial" w:cs="Arial" w:eastAsia="Arial" w:hAnsi="Arial"/>
          <w:sz w:val="22"/>
          <w:szCs w:val="22"/>
          <w:color w:val="auto"/>
        </w:rPr>
        <w:t>”, and together with the Original Master Lease, the First Amendment and the Second Amendment, collectively, the “</w:t>
      </w:r>
      <w:r>
        <w:rPr>
          <w:rFonts w:ascii="Arial" w:cs="Arial" w:eastAsia="Arial" w:hAnsi="Arial"/>
          <w:sz w:val="22"/>
          <w:szCs w:val="22"/>
          <w:b w:val="1"/>
          <w:bCs w:val="1"/>
          <w:color w:val="auto"/>
        </w:rPr>
        <w:t>Master Lease</w:t>
      </w:r>
      <w:r>
        <w:rPr>
          <w:rFonts w:ascii="Arial" w:cs="Arial" w:eastAsia="Arial" w:hAnsi="Arial"/>
          <w:sz w:val="22"/>
          <w:szCs w:val="22"/>
          <w:color w:val="auto"/>
        </w:rPr>
        <w:t>”), SRI NINE MARKET SQUARE LLC, a Delaware limited liability company (“</w:t>
      </w:r>
      <w:r>
        <w:rPr>
          <w:rFonts w:ascii="Arial" w:cs="Arial" w:eastAsia="Arial" w:hAnsi="Arial"/>
          <w:sz w:val="22"/>
          <w:szCs w:val="22"/>
          <w:b w:val="1"/>
          <w:bCs w:val="1"/>
          <w:color w:val="auto"/>
        </w:rPr>
        <w:t>Landlord</w:t>
      </w:r>
      <w:r>
        <w:rPr>
          <w:rFonts w:ascii="Arial" w:cs="Arial" w:eastAsia="Arial" w:hAnsi="Arial"/>
          <w:sz w:val="22"/>
          <w:szCs w:val="22"/>
          <w:color w:val="auto"/>
        </w:rPr>
        <w:t>”), as Landlord, leased to Sublandlord, as tenant, certain space (the “</w:t>
      </w:r>
      <w:r>
        <w:rPr>
          <w:rFonts w:ascii="Arial" w:cs="Arial" w:eastAsia="Arial" w:hAnsi="Arial"/>
          <w:sz w:val="22"/>
          <w:szCs w:val="22"/>
          <w:b w:val="1"/>
          <w:bCs w:val="1"/>
          <w:color w:val="auto"/>
        </w:rPr>
        <w:t>Master Lease Premises</w:t>
      </w:r>
      <w:r>
        <w:rPr>
          <w:rFonts w:ascii="Arial" w:cs="Arial" w:eastAsia="Arial" w:hAnsi="Arial"/>
          <w:sz w:val="22"/>
          <w:szCs w:val="22"/>
          <w:color w:val="auto"/>
        </w:rPr>
        <w:t>”) in the Building located at 875 Stevenson Street (and also known as 1 Tenth Street) in the city of San Francisco, California (the “</w:t>
      </w:r>
      <w:r>
        <w:rPr>
          <w:rFonts w:ascii="Arial" w:cs="Arial" w:eastAsia="Arial" w:hAnsi="Arial"/>
          <w:sz w:val="22"/>
          <w:szCs w:val="22"/>
          <w:b w:val="1"/>
          <w:bCs w:val="1"/>
          <w:color w:val="auto"/>
        </w:rPr>
        <w:t>Building</w:t>
      </w:r>
      <w:r>
        <w:rPr>
          <w:rFonts w:ascii="Arial" w:cs="Arial" w:eastAsia="Arial" w:hAnsi="Arial"/>
          <w:sz w:val="22"/>
          <w:szCs w:val="22"/>
          <w:color w:val="auto"/>
        </w:rPr>
        <w:t>”), as follows:</w:t>
      </w:r>
    </w:p>
    <w:p>
      <w:pPr>
        <w:spacing w:after="0" w:line="149" w:lineRule="exact"/>
        <w:rPr>
          <w:sz w:val="20"/>
          <w:szCs w:val="20"/>
          <w:color w:val="auto"/>
        </w:rPr>
      </w:pPr>
    </w:p>
    <w:tbl>
      <w:tblPr>
        <w:tblLayout w:type="fixed"/>
        <w:tblInd w:w="2340" w:type="dxa"/>
        <w:tblCellMar>
          <w:top w:w="0" w:type="dxa"/>
          <w:left w:w="0" w:type="dxa"/>
          <w:bottom w:w="0" w:type="dxa"/>
          <w:right w:w="0" w:type="dxa"/>
        </w:tblCellMar>
      </w:tblPr>
      <w:tr>
        <w:trPr>
          <w:trHeight w:val="253"/>
        </w:trPr>
        <w:tc>
          <w:tcPr>
            <w:tcW w:w="140" w:type="dxa"/>
            <w:vAlign w:val="bottom"/>
          </w:tcPr>
          <w:p>
            <w:pPr>
              <w:spacing w:after="0"/>
              <w:rPr>
                <w:sz w:val="21"/>
                <w:szCs w:val="21"/>
                <w:color w:val="auto"/>
              </w:rPr>
            </w:pPr>
          </w:p>
        </w:tc>
        <w:tc>
          <w:tcPr>
            <w:tcW w:w="480" w:type="dxa"/>
            <w:vAlign w:val="bottom"/>
            <w:vMerge w:val="restart"/>
          </w:tcPr>
          <w:p>
            <w:pPr>
              <w:spacing w:after="0"/>
              <w:rPr>
                <w:sz w:val="20"/>
                <w:szCs w:val="20"/>
                <w:color w:val="auto"/>
              </w:rPr>
            </w:pPr>
            <w:r>
              <w:rPr>
                <w:rFonts w:ascii="Arial" w:cs="Arial" w:eastAsia="Arial" w:hAnsi="Arial"/>
                <w:sz w:val="22"/>
                <w:szCs w:val="22"/>
                <w:color w:val="auto"/>
                <w:w w:val="91"/>
              </w:rPr>
              <w:t>Floor</w:t>
            </w:r>
          </w:p>
        </w:tc>
        <w:tc>
          <w:tcPr>
            <w:tcW w:w="4400" w:type="dxa"/>
            <w:vAlign w:val="bottom"/>
            <w:gridSpan w:val="5"/>
          </w:tcPr>
          <w:p>
            <w:pPr>
              <w:jc w:val="center"/>
              <w:ind w:right="200"/>
              <w:spacing w:after="0"/>
              <w:rPr>
                <w:sz w:val="20"/>
                <w:szCs w:val="20"/>
                <w:color w:val="auto"/>
              </w:rPr>
            </w:pPr>
            <w:r>
              <w:rPr>
                <w:rFonts w:ascii="Arial" w:cs="Arial" w:eastAsia="Arial" w:hAnsi="Arial"/>
                <w:sz w:val="22"/>
                <w:szCs w:val="22"/>
                <w:color w:val="auto"/>
                <w:w w:val="85"/>
              </w:rPr>
              <w:t>Rentable Square Feet</w:t>
            </w:r>
          </w:p>
        </w:tc>
        <w:tc>
          <w:tcPr>
            <w:tcW w:w="1200" w:type="dxa"/>
            <w:vAlign w:val="bottom"/>
            <w:vMerge w:val="restart"/>
          </w:tcPr>
          <w:p>
            <w:pPr>
              <w:jc w:val="center"/>
              <w:spacing w:after="0"/>
              <w:rPr>
                <w:sz w:val="20"/>
                <w:szCs w:val="20"/>
                <w:color w:val="auto"/>
              </w:rPr>
            </w:pPr>
            <w:r>
              <w:rPr>
                <w:rFonts w:ascii="Arial" w:cs="Arial" w:eastAsia="Arial" w:hAnsi="Arial"/>
                <w:sz w:val="22"/>
                <w:szCs w:val="22"/>
                <w:color w:val="auto"/>
                <w:w w:val="89"/>
              </w:rPr>
              <w:t>Suite Number</w:t>
            </w:r>
          </w:p>
        </w:tc>
        <w:tc>
          <w:tcPr>
            <w:tcW w:w="0" w:type="dxa"/>
            <w:vAlign w:val="bottom"/>
          </w:tcPr>
          <w:p>
            <w:pPr>
              <w:spacing w:after="0"/>
              <w:rPr>
                <w:sz w:val="1"/>
                <w:szCs w:val="1"/>
                <w:color w:val="auto"/>
              </w:rPr>
            </w:pPr>
          </w:p>
        </w:tc>
      </w:tr>
      <w:tr>
        <w:trPr>
          <w:trHeight w:val="201"/>
        </w:trPr>
        <w:tc>
          <w:tcPr>
            <w:tcW w:w="140" w:type="dxa"/>
            <w:vAlign w:val="bottom"/>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1180" w:type="dxa"/>
            <w:vAlign w:val="bottom"/>
          </w:tcPr>
          <w:p>
            <w:pPr>
              <w:spacing w:after="0"/>
              <w:rPr>
                <w:sz w:val="17"/>
                <w:szCs w:val="17"/>
                <w:color w:val="auto"/>
              </w:rPr>
            </w:pPr>
          </w:p>
        </w:tc>
        <w:tc>
          <w:tcPr>
            <w:tcW w:w="1840" w:type="dxa"/>
            <w:vAlign w:val="bottom"/>
            <w:tcBorders>
              <w:top w:val="single" w:sz="8" w:color="auto"/>
            </w:tcBorders>
            <w:gridSpan w:val="3"/>
          </w:tcPr>
          <w:p>
            <w:pPr>
              <w:jc w:val="center"/>
              <w:spacing w:after="0" w:line="183" w:lineRule="exact"/>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RSF</w:t>
            </w:r>
            <w:r>
              <w:rPr>
                <w:rFonts w:ascii="Arial" w:cs="Arial" w:eastAsia="Arial" w:hAnsi="Arial"/>
                <w:sz w:val="21"/>
                <w:szCs w:val="21"/>
                <w:color w:val="auto"/>
              </w:rPr>
              <w:t>”)</w:t>
            </w:r>
          </w:p>
        </w:tc>
        <w:tc>
          <w:tcPr>
            <w:tcW w:w="1380" w:type="dxa"/>
            <w:vAlign w:val="bottom"/>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41"/>
        </w:trPr>
        <w:tc>
          <w:tcPr>
            <w:tcW w:w="620" w:type="dxa"/>
            <w:vAlign w:val="bottom"/>
            <w:gridSpan w:val="2"/>
          </w:tcPr>
          <w:p>
            <w:pPr>
              <w:jc w:val="center"/>
              <w:ind w:right="132"/>
              <w:spacing w:after="0"/>
              <w:rPr>
                <w:sz w:val="20"/>
                <w:szCs w:val="20"/>
                <w:color w:val="auto"/>
              </w:rPr>
            </w:pPr>
            <w:r>
              <w:rPr>
                <w:rFonts w:ascii="Arial" w:cs="Arial" w:eastAsia="Arial" w:hAnsi="Arial"/>
                <w:sz w:val="22"/>
                <w:szCs w:val="22"/>
                <w:color w:val="auto"/>
                <w:w w:val="92"/>
              </w:rPr>
              <w:t>2nd</w:t>
            </w:r>
          </w:p>
        </w:tc>
        <w:tc>
          <w:tcPr>
            <w:tcW w:w="2400" w:type="dxa"/>
            <w:vAlign w:val="bottom"/>
            <w:gridSpan w:val="3"/>
          </w:tcPr>
          <w:p>
            <w:pPr>
              <w:jc w:val="center"/>
              <w:ind w:left="1692"/>
              <w:spacing w:after="0"/>
              <w:rPr>
                <w:sz w:val="20"/>
                <w:szCs w:val="20"/>
                <w:color w:val="auto"/>
              </w:rPr>
            </w:pPr>
            <w:r>
              <w:rPr>
                <w:rFonts w:ascii="Arial" w:cs="Arial" w:eastAsia="Arial" w:hAnsi="Arial"/>
                <w:sz w:val="22"/>
                <w:szCs w:val="22"/>
                <w:color w:val="auto"/>
                <w:w w:val="89"/>
              </w:rPr>
              <w:t>33,606</w:t>
            </w: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22"/>
                <w:szCs w:val="22"/>
                <w:color w:val="auto"/>
                <w:w w:val="88"/>
              </w:rPr>
              <w:t>Suite 200</w:t>
            </w:r>
          </w:p>
        </w:tc>
        <w:tc>
          <w:tcPr>
            <w:tcW w:w="0" w:type="dxa"/>
            <w:vAlign w:val="bottom"/>
          </w:tcPr>
          <w:p>
            <w:pPr>
              <w:spacing w:after="0"/>
              <w:rPr>
                <w:sz w:val="1"/>
                <w:szCs w:val="1"/>
                <w:color w:val="auto"/>
              </w:rPr>
            </w:pPr>
          </w:p>
        </w:tc>
      </w:tr>
      <w:tr>
        <w:trPr>
          <w:trHeight w:val="311"/>
        </w:trPr>
        <w:tc>
          <w:tcPr>
            <w:tcW w:w="620" w:type="dxa"/>
            <w:vAlign w:val="bottom"/>
            <w:gridSpan w:val="2"/>
          </w:tcPr>
          <w:p>
            <w:pPr>
              <w:jc w:val="center"/>
              <w:ind w:right="132"/>
              <w:spacing w:after="0"/>
              <w:rPr>
                <w:sz w:val="20"/>
                <w:szCs w:val="20"/>
                <w:color w:val="auto"/>
              </w:rPr>
            </w:pPr>
            <w:r>
              <w:rPr>
                <w:rFonts w:ascii="Arial" w:cs="Arial" w:eastAsia="Arial" w:hAnsi="Arial"/>
                <w:sz w:val="22"/>
                <w:szCs w:val="22"/>
                <w:color w:val="auto"/>
                <w:w w:val="94"/>
              </w:rPr>
              <w:t>3rd</w:t>
            </w:r>
          </w:p>
        </w:tc>
        <w:tc>
          <w:tcPr>
            <w:tcW w:w="2400" w:type="dxa"/>
            <w:vAlign w:val="bottom"/>
            <w:gridSpan w:val="3"/>
          </w:tcPr>
          <w:p>
            <w:pPr>
              <w:jc w:val="center"/>
              <w:ind w:left="1692"/>
              <w:spacing w:after="0"/>
              <w:rPr>
                <w:sz w:val="20"/>
                <w:szCs w:val="20"/>
                <w:color w:val="auto"/>
              </w:rPr>
            </w:pPr>
            <w:r>
              <w:rPr>
                <w:rFonts w:ascii="Arial" w:cs="Arial" w:eastAsia="Arial" w:hAnsi="Arial"/>
                <w:sz w:val="22"/>
                <w:szCs w:val="22"/>
                <w:color w:val="auto"/>
                <w:w w:val="89"/>
              </w:rPr>
              <w:t>34,950</w:t>
            </w: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22"/>
                <w:szCs w:val="22"/>
                <w:color w:val="auto"/>
                <w:w w:val="88"/>
              </w:rPr>
              <w:t>Suite 300</w:t>
            </w:r>
          </w:p>
        </w:tc>
        <w:tc>
          <w:tcPr>
            <w:tcW w:w="0" w:type="dxa"/>
            <w:vAlign w:val="bottom"/>
          </w:tcPr>
          <w:p>
            <w:pPr>
              <w:spacing w:after="0"/>
              <w:rPr>
                <w:sz w:val="1"/>
                <w:szCs w:val="1"/>
                <w:color w:val="auto"/>
              </w:rPr>
            </w:pPr>
          </w:p>
        </w:tc>
      </w:tr>
      <w:tr>
        <w:trPr>
          <w:trHeight w:val="310"/>
        </w:trPr>
        <w:tc>
          <w:tcPr>
            <w:tcW w:w="620" w:type="dxa"/>
            <w:vAlign w:val="bottom"/>
            <w:gridSpan w:val="2"/>
          </w:tcPr>
          <w:p>
            <w:pPr>
              <w:jc w:val="center"/>
              <w:ind w:right="132"/>
              <w:spacing w:after="0"/>
              <w:rPr>
                <w:sz w:val="20"/>
                <w:szCs w:val="20"/>
                <w:color w:val="auto"/>
              </w:rPr>
            </w:pPr>
            <w:r>
              <w:rPr>
                <w:rFonts w:ascii="Arial" w:cs="Arial" w:eastAsia="Arial" w:hAnsi="Arial"/>
                <w:sz w:val="22"/>
                <w:szCs w:val="22"/>
                <w:color w:val="auto"/>
                <w:w w:val="84"/>
              </w:rPr>
              <w:t>4th</w:t>
            </w:r>
          </w:p>
        </w:tc>
        <w:tc>
          <w:tcPr>
            <w:tcW w:w="2400" w:type="dxa"/>
            <w:vAlign w:val="bottom"/>
            <w:gridSpan w:val="3"/>
          </w:tcPr>
          <w:p>
            <w:pPr>
              <w:jc w:val="center"/>
              <w:ind w:left="1692"/>
              <w:spacing w:after="0"/>
              <w:rPr>
                <w:sz w:val="20"/>
                <w:szCs w:val="20"/>
                <w:color w:val="auto"/>
              </w:rPr>
            </w:pPr>
            <w:r>
              <w:rPr>
                <w:rFonts w:ascii="Arial" w:cs="Arial" w:eastAsia="Arial" w:hAnsi="Arial"/>
                <w:sz w:val="22"/>
                <w:szCs w:val="22"/>
                <w:color w:val="auto"/>
                <w:w w:val="89"/>
              </w:rPr>
              <w:t>34,950</w:t>
            </w: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22"/>
                <w:szCs w:val="22"/>
                <w:color w:val="auto"/>
                <w:w w:val="88"/>
              </w:rPr>
              <w:t>Suite 400</w:t>
            </w:r>
          </w:p>
        </w:tc>
        <w:tc>
          <w:tcPr>
            <w:tcW w:w="0" w:type="dxa"/>
            <w:vAlign w:val="bottom"/>
          </w:tcPr>
          <w:p>
            <w:pPr>
              <w:spacing w:after="0"/>
              <w:rPr>
                <w:sz w:val="1"/>
                <w:szCs w:val="1"/>
                <w:color w:val="auto"/>
              </w:rPr>
            </w:pPr>
          </w:p>
        </w:tc>
      </w:tr>
      <w:tr>
        <w:trPr>
          <w:trHeight w:val="311"/>
        </w:trPr>
        <w:tc>
          <w:tcPr>
            <w:tcW w:w="620" w:type="dxa"/>
            <w:vAlign w:val="bottom"/>
            <w:gridSpan w:val="2"/>
          </w:tcPr>
          <w:p>
            <w:pPr>
              <w:jc w:val="center"/>
              <w:ind w:right="132"/>
              <w:spacing w:after="0"/>
              <w:rPr>
                <w:sz w:val="20"/>
                <w:szCs w:val="20"/>
                <w:color w:val="auto"/>
              </w:rPr>
            </w:pPr>
            <w:r>
              <w:rPr>
                <w:rFonts w:ascii="Arial" w:cs="Arial" w:eastAsia="Arial" w:hAnsi="Arial"/>
                <w:sz w:val="22"/>
                <w:szCs w:val="22"/>
                <w:color w:val="auto"/>
                <w:w w:val="84"/>
              </w:rPr>
              <w:t>5th</w:t>
            </w:r>
          </w:p>
        </w:tc>
        <w:tc>
          <w:tcPr>
            <w:tcW w:w="2400" w:type="dxa"/>
            <w:vAlign w:val="bottom"/>
            <w:gridSpan w:val="3"/>
          </w:tcPr>
          <w:p>
            <w:pPr>
              <w:jc w:val="center"/>
              <w:ind w:left="1692"/>
              <w:spacing w:after="0"/>
              <w:rPr>
                <w:sz w:val="20"/>
                <w:szCs w:val="20"/>
                <w:color w:val="auto"/>
              </w:rPr>
            </w:pPr>
            <w:r>
              <w:rPr>
                <w:rFonts w:ascii="Arial" w:cs="Arial" w:eastAsia="Arial" w:hAnsi="Arial"/>
                <w:sz w:val="22"/>
                <w:szCs w:val="22"/>
                <w:color w:val="auto"/>
                <w:w w:val="89"/>
              </w:rPr>
              <w:t>34,950</w:t>
            </w: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22"/>
                <w:szCs w:val="22"/>
                <w:color w:val="auto"/>
                <w:w w:val="88"/>
              </w:rPr>
              <w:t>Suite 500</w:t>
            </w:r>
          </w:p>
        </w:tc>
        <w:tc>
          <w:tcPr>
            <w:tcW w:w="0" w:type="dxa"/>
            <w:vAlign w:val="bottom"/>
          </w:tcPr>
          <w:p>
            <w:pPr>
              <w:spacing w:after="0"/>
              <w:rPr>
                <w:sz w:val="1"/>
                <w:szCs w:val="1"/>
                <w:color w:val="auto"/>
              </w:rPr>
            </w:pPr>
          </w:p>
        </w:tc>
      </w:tr>
      <w:tr>
        <w:trPr>
          <w:trHeight w:val="310"/>
        </w:trPr>
        <w:tc>
          <w:tcPr>
            <w:tcW w:w="620" w:type="dxa"/>
            <w:vAlign w:val="bottom"/>
            <w:gridSpan w:val="2"/>
          </w:tcPr>
          <w:p>
            <w:pPr>
              <w:jc w:val="center"/>
              <w:ind w:right="132"/>
              <w:spacing w:after="0"/>
              <w:rPr>
                <w:sz w:val="20"/>
                <w:szCs w:val="20"/>
                <w:color w:val="auto"/>
              </w:rPr>
            </w:pPr>
            <w:r>
              <w:rPr>
                <w:rFonts w:ascii="Arial" w:cs="Arial" w:eastAsia="Arial" w:hAnsi="Arial"/>
                <w:sz w:val="22"/>
                <w:szCs w:val="22"/>
                <w:color w:val="auto"/>
                <w:w w:val="84"/>
              </w:rPr>
              <w:t>6th</w:t>
            </w:r>
          </w:p>
        </w:tc>
        <w:tc>
          <w:tcPr>
            <w:tcW w:w="2400" w:type="dxa"/>
            <w:vAlign w:val="bottom"/>
            <w:gridSpan w:val="3"/>
          </w:tcPr>
          <w:p>
            <w:pPr>
              <w:jc w:val="center"/>
              <w:ind w:left="1692"/>
              <w:spacing w:after="0"/>
              <w:rPr>
                <w:sz w:val="20"/>
                <w:szCs w:val="20"/>
                <w:color w:val="auto"/>
              </w:rPr>
            </w:pPr>
            <w:r>
              <w:rPr>
                <w:rFonts w:ascii="Arial" w:cs="Arial" w:eastAsia="Arial" w:hAnsi="Arial"/>
                <w:sz w:val="22"/>
                <w:szCs w:val="22"/>
                <w:color w:val="auto"/>
                <w:w w:val="89"/>
              </w:rPr>
              <w:t>34,950</w:t>
            </w: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22"/>
                <w:szCs w:val="22"/>
                <w:color w:val="auto"/>
                <w:w w:val="88"/>
              </w:rPr>
              <w:t>Suite 600</w:t>
            </w:r>
          </w:p>
        </w:tc>
        <w:tc>
          <w:tcPr>
            <w:tcW w:w="0" w:type="dxa"/>
            <w:vAlign w:val="bottom"/>
          </w:tcPr>
          <w:p>
            <w:pPr>
              <w:spacing w:after="0"/>
              <w:rPr>
                <w:sz w:val="1"/>
                <w:szCs w:val="1"/>
                <w:color w:val="auto"/>
              </w:rPr>
            </w:pPr>
          </w:p>
        </w:tc>
      </w:tr>
      <w:tr>
        <w:trPr>
          <w:trHeight w:val="310"/>
        </w:trPr>
        <w:tc>
          <w:tcPr>
            <w:tcW w:w="620" w:type="dxa"/>
            <w:vAlign w:val="bottom"/>
            <w:gridSpan w:val="2"/>
          </w:tcPr>
          <w:p>
            <w:pPr>
              <w:jc w:val="center"/>
              <w:ind w:right="132"/>
              <w:spacing w:after="0"/>
              <w:rPr>
                <w:sz w:val="20"/>
                <w:szCs w:val="20"/>
                <w:color w:val="auto"/>
              </w:rPr>
            </w:pPr>
            <w:r>
              <w:rPr>
                <w:rFonts w:ascii="Arial" w:cs="Arial" w:eastAsia="Arial" w:hAnsi="Arial"/>
                <w:sz w:val="22"/>
                <w:szCs w:val="22"/>
                <w:color w:val="auto"/>
                <w:w w:val="84"/>
              </w:rPr>
              <w:t>7th</w:t>
            </w:r>
          </w:p>
        </w:tc>
        <w:tc>
          <w:tcPr>
            <w:tcW w:w="2400" w:type="dxa"/>
            <w:vAlign w:val="bottom"/>
            <w:gridSpan w:val="3"/>
          </w:tcPr>
          <w:p>
            <w:pPr>
              <w:jc w:val="center"/>
              <w:ind w:left="1692"/>
              <w:spacing w:after="0"/>
              <w:rPr>
                <w:sz w:val="20"/>
                <w:szCs w:val="20"/>
                <w:color w:val="auto"/>
              </w:rPr>
            </w:pPr>
            <w:r>
              <w:rPr>
                <w:rFonts w:ascii="Arial" w:cs="Arial" w:eastAsia="Arial" w:hAnsi="Arial"/>
                <w:sz w:val="22"/>
                <w:szCs w:val="22"/>
                <w:color w:val="auto"/>
                <w:w w:val="89"/>
              </w:rPr>
              <w:t>34,950</w:t>
            </w: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22"/>
                <w:szCs w:val="22"/>
                <w:color w:val="auto"/>
                <w:w w:val="88"/>
              </w:rPr>
              <w:t>Suite 700</w:t>
            </w:r>
          </w:p>
        </w:tc>
        <w:tc>
          <w:tcPr>
            <w:tcW w:w="0" w:type="dxa"/>
            <w:vAlign w:val="bottom"/>
          </w:tcPr>
          <w:p>
            <w:pPr>
              <w:spacing w:after="0"/>
              <w:rPr>
                <w:sz w:val="1"/>
                <w:szCs w:val="1"/>
                <w:color w:val="auto"/>
              </w:rPr>
            </w:pPr>
          </w:p>
        </w:tc>
      </w:tr>
      <w:tr>
        <w:trPr>
          <w:trHeight w:val="310"/>
        </w:trPr>
        <w:tc>
          <w:tcPr>
            <w:tcW w:w="620" w:type="dxa"/>
            <w:vAlign w:val="bottom"/>
            <w:gridSpan w:val="2"/>
          </w:tcPr>
          <w:p>
            <w:pPr>
              <w:jc w:val="center"/>
              <w:ind w:right="132"/>
              <w:spacing w:after="0"/>
              <w:rPr>
                <w:sz w:val="20"/>
                <w:szCs w:val="20"/>
                <w:color w:val="auto"/>
              </w:rPr>
            </w:pPr>
            <w:r>
              <w:rPr>
                <w:rFonts w:ascii="Arial" w:cs="Arial" w:eastAsia="Arial" w:hAnsi="Arial"/>
                <w:sz w:val="22"/>
                <w:szCs w:val="22"/>
                <w:color w:val="auto"/>
                <w:w w:val="84"/>
              </w:rPr>
              <w:t>8th</w:t>
            </w:r>
          </w:p>
        </w:tc>
        <w:tc>
          <w:tcPr>
            <w:tcW w:w="2400" w:type="dxa"/>
            <w:vAlign w:val="bottom"/>
            <w:gridSpan w:val="3"/>
          </w:tcPr>
          <w:p>
            <w:pPr>
              <w:jc w:val="center"/>
              <w:ind w:left="1692"/>
              <w:spacing w:after="0"/>
              <w:rPr>
                <w:sz w:val="20"/>
                <w:szCs w:val="20"/>
                <w:color w:val="auto"/>
              </w:rPr>
            </w:pPr>
            <w:r>
              <w:rPr>
                <w:rFonts w:ascii="Arial" w:cs="Arial" w:eastAsia="Arial" w:hAnsi="Arial"/>
                <w:sz w:val="22"/>
                <w:szCs w:val="22"/>
                <w:color w:val="auto"/>
                <w:w w:val="89"/>
              </w:rPr>
              <w:t>34,950</w:t>
            </w: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22"/>
                <w:szCs w:val="22"/>
                <w:color w:val="auto"/>
                <w:w w:val="88"/>
              </w:rPr>
              <w:t>Suite 800</w:t>
            </w:r>
          </w:p>
        </w:tc>
        <w:tc>
          <w:tcPr>
            <w:tcW w:w="0" w:type="dxa"/>
            <w:vAlign w:val="bottom"/>
          </w:tcPr>
          <w:p>
            <w:pPr>
              <w:spacing w:after="0"/>
              <w:rPr>
                <w:sz w:val="1"/>
                <w:szCs w:val="1"/>
                <w:color w:val="auto"/>
              </w:rPr>
            </w:pPr>
          </w:p>
        </w:tc>
      </w:tr>
      <w:tr>
        <w:trPr>
          <w:trHeight w:val="310"/>
        </w:trPr>
        <w:tc>
          <w:tcPr>
            <w:tcW w:w="620" w:type="dxa"/>
            <w:vAlign w:val="bottom"/>
            <w:gridSpan w:val="2"/>
          </w:tcPr>
          <w:p>
            <w:pPr>
              <w:jc w:val="center"/>
              <w:ind w:right="132"/>
              <w:spacing w:after="0"/>
              <w:rPr>
                <w:sz w:val="20"/>
                <w:szCs w:val="20"/>
                <w:color w:val="auto"/>
              </w:rPr>
            </w:pPr>
            <w:r>
              <w:rPr>
                <w:rFonts w:ascii="Arial" w:cs="Arial" w:eastAsia="Arial" w:hAnsi="Arial"/>
                <w:sz w:val="22"/>
                <w:szCs w:val="22"/>
                <w:color w:val="auto"/>
                <w:w w:val="84"/>
              </w:rPr>
              <w:t>9th</w:t>
            </w:r>
          </w:p>
        </w:tc>
        <w:tc>
          <w:tcPr>
            <w:tcW w:w="2400" w:type="dxa"/>
            <w:vAlign w:val="bottom"/>
            <w:gridSpan w:val="3"/>
          </w:tcPr>
          <w:p>
            <w:pPr>
              <w:jc w:val="center"/>
              <w:ind w:left="1692"/>
              <w:spacing w:after="0"/>
              <w:rPr>
                <w:sz w:val="20"/>
                <w:szCs w:val="20"/>
                <w:color w:val="auto"/>
              </w:rPr>
            </w:pPr>
            <w:r>
              <w:rPr>
                <w:rFonts w:ascii="Arial" w:cs="Arial" w:eastAsia="Arial" w:hAnsi="Arial"/>
                <w:sz w:val="22"/>
                <w:szCs w:val="22"/>
                <w:color w:val="auto"/>
                <w:w w:val="89"/>
              </w:rPr>
              <w:t>34,950</w:t>
            </w: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22"/>
                <w:szCs w:val="22"/>
                <w:color w:val="auto"/>
                <w:w w:val="88"/>
              </w:rPr>
              <w:t>Suite 900</w:t>
            </w:r>
          </w:p>
        </w:tc>
        <w:tc>
          <w:tcPr>
            <w:tcW w:w="0" w:type="dxa"/>
            <w:vAlign w:val="bottom"/>
          </w:tcPr>
          <w:p>
            <w:pPr>
              <w:spacing w:after="0"/>
              <w:rPr>
                <w:sz w:val="1"/>
                <w:szCs w:val="1"/>
                <w:color w:val="auto"/>
              </w:rPr>
            </w:pPr>
          </w:p>
        </w:tc>
      </w:tr>
      <w:tr>
        <w:trPr>
          <w:trHeight w:val="260"/>
        </w:trPr>
        <w:tc>
          <w:tcPr>
            <w:tcW w:w="620" w:type="dxa"/>
            <w:vAlign w:val="bottom"/>
            <w:gridSpan w:val="2"/>
          </w:tcPr>
          <w:p>
            <w:pPr>
              <w:jc w:val="center"/>
              <w:ind w:right="132"/>
              <w:spacing w:after="0"/>
              <w:rPr>
                <w:sz w:val="20"/>
                <w:szCs w:val="20"/>
                <w:color w:val="auto"/>
              </w:rPr>
            </w:pPr>
            <w:r>
              <w:rPr>
                <w:rFonts w:ascii="Arial" w:cs="Arial" w:eastAsia="Arial" w:hAnsi="Arial"/>
                <w:sz w:val="22"/>
                <w:szCs w:val="22"/>
                <w:color w:val="auto"/>
                <w:w w:val="88"/>
              </w:rPr>
              <w:t>10th</w:t>
            </w:r>
          </w:p>
        </w:tc>
        <w:tc>
          <w:tcPr>
            <w:tcW w:w="1800" w:type="dxa"/>
            <w:vAlign w:val="bottom"/>
            <w:gridSpan w:val="2"/>
          </w:tcPr>
          <w:p>
            <w:pPr>
              <w:spacing w:after="0"/>
              <w:rPr>
                <w:sz w:val="22"/>
                <w:szCs w:val="22"/>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9"/>
              </w:rPr>
              <w:t>34,807</w:t>
            </w:r>
          </w:p>
        </w:tc>
        <w:tc>
          <w:tcPr>
            <w:tcW w:w="6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0" w:type="dxa"/>
            <w:vAlign w:val="bottom"/>
          </w:tcPr>
          <w:p>
            <w:pPr>
              <w:jc w:val="center"/>
              <w:spacing w:after="0"/>
              <w:rPr>
                <w:sz w:val="20"/>
                <w:szCs w:val="20"/>
                <w:color w:val="auto"/>
              </w:rPr>
            </w:pPr>
            <w:r>
              <w:rPr>
                <w:rFonts w:ascii="Arial" w:cs="Arial" w:eastAsia="Arial" w:hAnsi="Arial"/>
                <w:sz w:val="22"/>
                <w:szCs w:val="22"/>
                <w:color w:val="auto"/>
                <w:w w:val="89"/>
              </w:rPr>
              <w:t>Suite 1000</w:t>
            </w:r>
          </w:p>
        </w:tc>
        <w:tc>
          <w:tcPr>
            <w:tcW w:w="0" w:type="dxa"/>
            <w:vAlign w:val="bottom"/>
          </w:tcPr>
          <w:p>
            <w:pPr>
              <w:spacing w:after="0"/>
              <w:rPr>
                <w:sz w:val="1"/>
                <w:szCs w:val="1"/>
                <w:color w:val="auto"/>
              </w:rPr>
            </w:pPr>
          </w:p>
        </w:tc>
      </w:tr>
      <w:tr>
        <w:trPr>
          <w:trHeight w:val="314"/>
        </w:trPr>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20" w:type="dxa"/>
            <w:vAlign w:val="bottom"/>
            <w:gridSpan w:val="4"/>
          </w:tcPr>
          <w:p>
            <w:pPr>
              <w:jc w:val="center"/>
              <w:ind w:right="1360"/>
              <w:spacing w:after="0"/>
              <w:rPr>
                <w:sz w:val="20"/>
                <w:szCs w:val="20"/>
                <w:color w:val="auto"/>
              </w:rPr>
            </w:pPr>
            <w:r>
              <w:rPr>
                <w:rFonts w:ascii="Arial" w:cs="Arial" w:eastAsia="Arial" w:hAnsi="Arial"/>
                <w:sz w:val="22"/>
                <w:szCs w:val="22"/>
                <w:color w:val="auto"/>
                <w:w w:val="87"/>
              </w:rPr>
              <w:t>313,063 RSF</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firstLine="1304"/>
        <w:spacing w:after="0" w:line="265" w:lineRule="auto"/>
        <w:tabs>
          <w:tab w:leader="none" w:pos="1758" w:val="left"/>
        </w:tabs>
        <w:numPr>
          <w:ilvl w:val="0"/>
          <w:numId w:val="502"/>
        </w:numPr>
        <w:rPr>
          <w:rFonts w:ascii="Arial" w:cs="Arial" w:eastAsia="Arial" w:hAnsi="Arial"/>
          <w:sz w:val="21"/>
          <w:szCs w:val="21"/>
          <w:color w:val="auto"/>
        </w:rPr>
      </w:pPr>
      <w:r>
        <w:rPr>
          <w:rFonts w:ascii="Arial" w:cs="Arial" w:eastAsia="Arial" w:hAnsi="Arial"/>
          <w:sz w:val="21"/>
          <w:szCs w:val="21"/>
          <w:color w:val="auto"/>
        </w:rPr>
        <w:t xml:space="preserve">Subtenant wishes to sublease from Sublandlord, and Sublandlord wishes to sublease to Subtenant, a portion of the Master Lease Premises initially comprised of 104,850 RSF consisting of the entire Fourth (4th), Fifth (5th) and Sixth (6th) floors of the Building, said space being more particularly identified and described on the floor plans attached hereto as </w:t>
      </w:r>
      <w:r>
        <w:rPr>
          <w:rFonts w:ascii="Arial" w:cs="Arial" w:eastAsia="Arial" w:hAnsi="Arial"/>
          <w:sz w:val="21"/>
          <w:szCs w:val="21"/>
          <w:b w:val="1"/>
          <w:bCs w:val="1"/>
          <w:color w:val="auto"/>
        </w:rPr>
        <w:t>Exhibits</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A-1, A-2, </w:t>
      </w:r>
      <w:r>
        <w:rPr>
          <w:rFonts w:ascii="Arial" w:cs="Arial" w:eastAsia="Arial" w:hAnsi="Arial"/>
          <w:sz w:val="21"/>
          <w:szCs w:val="21"/>
          <w:color w:val="auto"/>
        </w:rPr>
        <w:t>and</w:t>
      </w:r>
      <w:r>
        <w:rPr>
          <w:rFonts w:ascii="Arial" w:cs="Arial" w:eastAsia="Arial" w:hAnsi="Arial"/>
          <w:sz w:val="21"/>
          <w:szCs w:val="21"/>
          <w:b w:val="1"/>
          <w:bCs w:val="1"/>
          <w:color w:val="auto"/>
        </w:rPr>
        <w:t xml:space="preserve"> A-3 </w:t>
      </w:r>
      <w:r>
        <w:rPr>
          <w:rFonts w:ascii="Arial" w:cs="Arial" w:eastAsia="Arial" w:hAnsi="Arial"/>
          <w:sz w:val="21"/>
          <w:szCs w:val="21"/>
          <w:color w:val="auto"/>
        </w:rPr>
        <w:t>and incorporated herein by reference (the “</w:t>
      </w:r>
      <w:r>
        <w:rPr>
          <w:rFonts w:ascii="Arial" w:cs="Arial" w:eastAsia="Arial" w:hAnsi="Arial"/>
          <w:sz w:val="21"/>
          <w:szCs w:val="21"/>
          <w:b w:val="1"/>
          <w:bCs w:val="1"/>
          <w:color w:val="auto"/>
        </w:rPr>
        <w:t>Subleased Premises</w:t>
      </w:r>
      <w:r>
        <w:rPr>
          <w:rFonts w:ascii="Arial" w:cs="Arial" w:eastAsia="Arial" w:hAnsi="Arial"/>
          <w:sz w:val="21"/>
          <w:szCs w:val="21"/>
          <w:color w:val="auto"/>
        </w:rPr>
        <w:t>”).</w:t>
      </w:r>
    </w:p>
    <w:p>
      <w:pPr>
        <w:spacing w:after="0" w:line="121" w:lineRule="exact"/>
        <w:rPr>
          <w:sz w:val="20"/>
          <w:szCs w:val="20"/>
          <w:color w:val="auto"/>
        </w:rPr>
      </w:pPr>
    </w:p>
    <w:p>
      <w:pPr>
        <w:ind w:right="20" w:firstLine="1296"/>
        <w:spacing w:after="0" w:line="343" w:lineRule="auto"/>
        <w:rPr>
          <w:sz w:val="20"/>
          <w:szCs w:val="20"/>
          <w:color w:val="auto"/>
        </w:rPr>
      </w:pPr>
      <w:r>
        <w:rPr>
          <w:rFonts w:ascii="Arial" w:cs="Arial" w:eastAsia="Arial" w:hAnsi="Arial"/>
          <w:sz w:val="19"/>
          <w:szCs w:val="19"/>
          <w:color w:val="auto"/>
        </w:rPr>
        <w:t>NOW, THEREFORE, in consideration of the foregoing, and for other good and valuable consideration, the receipt and adequacy of which are hereby acknowledged by the parties, Sublandlord and Subtenant hereby agree as follows:</w:t>
      </w:r>
    </w:p>
    <w:p>
      <w:pPr>
        <w:spacing w:after="0" w:line="50" w:lineRule="exact"/>
        <w:rPr>
          <w:sz w:val="20"/>
          <w:szCs w:val="20"/>
          <w:color w:val="auto"/>
        </w:rPr>
      </w:pPr>
    </w:p>
    <w:p>
      <w:pPr>
        <w:ind w:left="1040" w:hanging="384"/>
        <w:spacing w:after="0"/>
        <w:tabs>
          <w:tab w:leader="none" w:pos="1040" w:val="left"/>
        </w:tabs>
        <w:numPr>
          <w:ilvl w:val="0"/>
          <w:numId w:val="503"/>
        </w:numPr>
        <w:rPr>
          <w:rFonts w:ascii="Arial" w:cs="Arial" w:eastAsia="Arial" w:hAnsi="Arial"/>
          <w:sz w:val="22"/>
          <w:szCs w:val="22"/>
          <w:color w:val="auto"/>
        </w:rPr>
      </w:pPr>
      <w:r>
        <w:rPr>
          <w:rFonts w:ascii="Arial" w:cs="Arial" w:eastAsia="Arial" w:hAnsi="Arial"/>
          <w:sz w:val="22"/>
          <w:szCs w:val="22"/>
          <w:u w:val="single" w:color="auto"/>
          <w:color w:val="auto"/>
        </w:rPr>
        <w:t>Sublease</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ind w:firstLine="1304"/>
        <w:spacing w:after="0" w:line="343" w:lineRule="auto"/>
        <w:tabs>
          <w:tab w:leader="none" w:pos="1779" w:val="left"/>
        </w:tabs>
        <w:numPr>
          <w:ilvl w:val="1"/>
          <w:numId w:val="503"/>
        </w:numPr>
        <w:rPr>
          <w:rFonts w:ascii="Arial" w:cs="Arial" w:eastAsia="Arial" w:hAnsi="Arial"/>
          <w:sz w:val="19"/>
          <w:szCs w:val="19"/>
          <w:color w:val="auto"/>
        </w:rPr>
      </w:pPr>
      <w:r>
        <w:rPr>
          <w:rFonts w:ascii="Arial" w:cs="Arial" w:eastAsia="Arial" w:hAnsi="Arial"/>
          <w:sz w:val="19"/>
          <w:szCs w:val="19"/>
          <w:u w:val="single" w:color="auto"/>
          <w:color w:val="auto"/>
        </w:rPr>
        <w:t>Generally</w:t>
      </w:r>
      <w:r>
        <w:rPr>
          <w:rFonts w:ascii="Arial" w:cs="Arial" w:eastAsia="Arial" w:hAnsi="Arial"/>
          <w:sz w:val="19"/>
          <w:szCs w:val="19"/>
          <w:color w:val="auto"/>
        </w:rPr>
        <w:t>. Sublandlord hereby subleases to Subtenant and Subtenant hereby subleases from Sublandlord for the Sublease Term (defined below), at the rental, and upon all of the conditions set forth herein, the Subleased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27" w:right="339" w:bottom="1440" w:gutter="0" w:footer="0" w:header="0"/>
        </w:sectPr>
      </w:pPr>
    </w:p>
    <w:bookmarkStart w:id="531" w:name="page532"/>
    <w:bookmarkEnd w:id="531"/>
    <w:p>
      <w:pPr>
        <w:jc w:val="both"/>
        <w:ind w:firstLine="1304"/>
        <w:spacing w:after="0" w:line="283" w:lineRule="auto"/>
        <w:tabs>
          <w:tab w:leader="none" w:pos="1777" w:val="left"/>
        </w:tabs>
        <w:numPr>
          <w:ilvl w:val="0"/>
          <w:numId w:val="504"/>
        </w:numPr>
        <w:rPr>
          <w:rFonts w:ascii="Arial" w:cs="Arial" w:eastAsia="Arial" w:hAnsi="Arial"/>
          <w:sz w:val="19"/>
          <w:szCs w:val="19"/>
          <w:color w:val="auto"/>
        </w:rPr>
      </w:pPr>
      <w:r>
        <w:rPr>
          <w:rFonts w:ascii="Arial" w:cs="Arial" w:eastAsia="Arial" w:hAnsi="Arial"/>
          <w:sz w:val="19"/>
          <w:szCs w:val="19"/>
          <w:u w:val="single" w:color="auto"/>
          <w:color w:val="auto"/>
        </w:rPr>
        <w:t>Expansion Option</w:t>
      </w:r>
      <w:r>
        <w:rPr>
          <w:rFonts w:ascii="Arial" w:cs="Arial" w:eastAsia="Arial" w:hAnsi="Arial"/>
          <w:sz w:val="19"/>
          <w:szCs w:val="19"/>
          <w:color w:val="auto"/>
        </w:rPr>
        <w:t>. Sublandlord hereby grants to Subtenant, one (1) option to expand the Subleased Premises (the “</w:t>
      </w:r>
      <w:r>
        <w:rPr>
          <w:rFonts w:ascii="Arial" w:cs="Arial" w:eastAsia="Arial" w:hAnsi="Arial"/>
          <w:sz w:val="19"/>
          <w:szCs w:val="19"/>
          <w:b w:val="1"/>
          <w:bCs w:val="1"/>
          <w:color w:val="auto"/>
        </w:rPr>
        <w:t>Option to Expand</w:t>
      </w:r>
      <w:r>
        <w:rPr>
          <w:rFonts w:ascii="Arial" w:cs="Arial" w:eastAsia="Arial" w:hAnsi="Arial"/>
          <w:sz w:val="19"/>
          <w:szCs w:val="19"/>
          <w:color w:val="auto"/>
        </w:rPr>
        <w:t>”) to include the entire seventh (7th) floor of the Building, consisting of approximately 34,950 RSF (the “</w:t>
      </w:r>
      <w:r>
        <w:rPr>
          <w:rFonts w:ascii="Arial" w:cs="Arial" w:eastAsia="Arial" w:hAnsi="Arial"/>
          <w:sz w:val="19"/>
          <w:szCs w:val="19"/>
          <w:b w:val="1"/>
          <w:bCs w:val="1"/>
          <w:color w:val="auto"/>
        </w:rPr>
        <w:t>Expansion Space</w:t>
      </w:r>
      <w:r>
        <w:rPr>
          <w:rFonts w:ascii="Arial" w:cs="Arial" w:eastAsia="Arial" w:hAnsi="Arial"/>
          <w:sz w:val="19"/>
          <w:szCs w:val="19"/>
          <w:color w:val="auto"/>
        </w:rPr>
        <w:t xml:space="preserve">”) described in </w:t>
      </w:r>
      <w:r>
        <w:rPr>
          <w:rFonts w:ascii="Arial" w:cs="Arial" w:eastAsia="Arial" w:hAnsi="Arial"/>
          <w:sz w:val="19"/>
          <w:szCs w:val="19"/>
          <w:b w:val="1"/>
          <w:bCs w:val="1"/>
          <w:color w:val="auto"/>
        </w:rPr>
        <w:t>Exhibit A-4</w:t>
      </w:r>
      <w:r>
        <w:rPr>
          <w:rFonts w:ascii="Arial" w:cs="Arial" w:eastAsia="Arial" w:hAnsi="Arial"/>
          <w:sz w:val="19"/>
          <w:szCs w:val="19"/>
          <w:color w:val="auto"/>
        </w:rPr>
        <w:t xml:space="preserve"> attached hereto, but only in strict accordance with the terms and conditions of this Section 1(b). The Option to Expand must be exercised by irrevocable written notice (the “</w:t>
      </w:r>
      <w:r>
        <w:rPr>
          <w:rFonts w:ascii="Arial" w:cs="Arial" w:eastAsia="Arial" w:hAnsi="Arial"/>
          <w:sz w:val="19"/>
          <w:szCs w:val="19"/>
          <w:b w:val="1"/>
          <w:bCs w:val="1"/>
          <w:color w:val="auto"/>
        </w:rPr>
        <w:t>Expansion Option Exercise Notice</w:t>
      </w:r>
      <w:r>
        <w:rPr>
          <w:rFonts w:ascii="Arial" w:cs="Arial" w:eastAsia="Arial" w:hAnsi="Arial"/>
          <w:sz w:val="19"/>
          <w:szCs w:val="19"/>
          <w:color w:val="auto"/>
        </w:rPr>
        <w:t>”) delivered to Sublandlord no later than January 1, 2018, time being of the essence, and if not timely exercised will expire and terminate. If Subtenant timely exercises the Option to Expand, Subtenant shall sublease from Sublandlord, and Sublandlord shall sublease to Subtenant, commencing as of the later of (i) January 1, 2019 and (ii) the date Sublandlord delivers the Expansion Space free of all tenants, with all base Building systems serving the Expansion Space and for which Sublandlord has maintenance or repair responsibility under the Master Lease in good working order and broom-clean and ready for occupancy (such date, the “</w:t>
      </w:r>
      <w:r>
        <w:rPr>
          <w:rFonts w:ascii="Arial" w:cs="Arial" w:eastAsia="Arial" w:hAnsi="Arial"/>
          <w:sz w:val="19"/>
          <w:szCs w:val="19"/>
          <w:b w:val="1"/>
          <w:bCs w:val="1"/>
          <w:color w:val="auto"/>
        </w:rPr>
        <w:t>Expansion Date</w:t>
      </w:r>
      <w:r>
        <w:rPr>
          <w:rFonts w:ascii="Arial" w:cs="Arial" w:eastAsia="Arial" w:hAnsi="Arial"/>
          <w:sz w:val="19"/>
          <w:szCs w:val="19"/>
          <w:color w:val="auto"/>
        </w:rPr>
        <w:t>”), the Expansion Space, and from and after the Expansion Date, any references in this Sublease to the Subleased Premises shall be deemed to include the Expansion Space unless the context clearly requires otherwise. Sublandlord will use reasonable efforts to permit Subtenant and its agents to enter the Expansion Space on a non-exclusive basis one (1) week prior to the Expansion Date for the sole purpose of preparing the Expansion Space for Subtenant’s use and occupancy; Subtenant expressly acknowledges that the Expansion Space may have employees, contractors and/or vendors retained by Sublandlord or the prior subtenant of Sublandlord present during any such early access and will coordinate any such access with Sublandlord and will not interfere with any such employees, contractors or vendors in the Expansion Space during such one (1) week early access period. The Base Rent payable for the Expansion Space will be the same rate per RSF that is payable hereunder with respect to the Subleased Premises, inclusive of annual increases in such rate and the Base Year for the Expansion Space shall be the calendar year 2017. There will be no Abatement Period with respect to the Expansion Space. As of the Expansion Date, (i) Subtenant’s Percentage Share (defined in Section 3(b)(6) below) shall be increased as provided in Section 3(b)(6) below and (ii) Subtenant’s allocated parking spaces in the Parking Facility shall be increased as provided in Section 20 below. Notwithstanding any other provision of this Sublease or the Master Lease, Sublandlord shall deliver, and Subtenant shall accept, the Expansion Space in the manner described in Section 14.1 below, and Sublandlord shall have no obligation to make any improvements to the Expansion Space, except as expressly provided in this Sublease, provided that Sublandlord will make certain Furniture (described in Section 15 below) available for Subtenant’s use in accordance with the terms of Section 15. If Subtenant timely exercises the Option to Expand, Sublandlord shall use commercially reasonable efforts to deliver the Expansion Space to Subtenant on or before January 1, 2019. If Sublandlord is unable to deliver the Expansion Space on or before January 1, 2019, Sublandlord shall have no liability therefor, except that Subtenant shall have no liability to pay any Rent on the Expansion Space until the Expansion Space is delivered to Subtenant. If after Subtenant has delivered its Expansion Option Exercise Notice Sublandlord has not delivered the Expansion Space to Subtenant as of March 1, 2019 (the “</w:t>
      </w:r>
      <w:r>
        <w:rPr>
          <w:rFonts w:ascii="Arial" w:cs="Arial" w:eastAsia="Arial" w:hAnsi="Arial"/>
          <w:sz w:val="19"/>
          <w:szCs w:val="19"/>
          <w:b w:val="1"/>
          <w:bCs w:val="1"/>
          <w:color w:val="auto"/>
        </w:rPr>
        <w:t>Outside Expansion Delivery Date</w:t>
      </w:r>
      <w:r>
        <w:rPr>
          <w:rFonts w:ascii="Arial" w:cs="Arial" w:eastAsia="Arial" w:hAnsi="Arial"/>
          <w:sz w:val="19"/>
          <w:szCs w:val="19"/>
          <w:color w:val="auto"/>
        </w:rPr>
        <w:t>”), Subtenant shall have the right to terminate this Sublease, with respect to the subleasing of the Expansion Space only, by written notice thereof delivered to Sublandlord on or before March 15, 2019; provided that the Outside Expansion Delivery Date will be delayed on a day-for-day basis for each day that Sublandlord’s delivery of the Expansion Space to Subtenant is delayed due to (x) force majeure (inclusive of the 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7" w:right="339" w:bottom="1440" w:gutter="0" w:footer="0" w:header="0"/>
        </w:sectPr>
      </w:pPr>
    </w:p>
    <w:bookmarkStart w:id="532" w:name="page533"/>
    <w:bookmarkEnd w:id="532"/>
    <w:p>
      <w:pPr>
        <w:jc w:val="both"/>
        <w:spacing w:after="0" w:line="290" w:lineRule="auto"/>
        <w:rPr>
          <w:sz w:val="20"/>
          <w:szCs w:val="20"/>
          <w:color w:val="auto"/>
        </w:rPr>
      </w:pPr>
      <w:r>
        <w:rPr>
          <w:rFonts w:ascii="Arial" w:cs="Arial" w:eastAsia="Arial" w:hAnsi="Arial"/>
          <w:sz w:val="19"/>
          <w:szCs w:val="19"/>
          <w:color w:val="auto"/>
        </w:rPr>
        <w:t>over by the prior subtenant in the Expansion Space), up to a maximum delay for force majeure of ninety (90) days or (y) the act or omission of Subtenant. If Subtenant timely exercises the Option to Expand, Sublandlord shall prepare and deliver to Subtenant an amendment to this Sublease to reflect the addition of the Expansion Space, the increased Rent, the increase in allocated parking spaces and any other matter reasonably required by the terms of this Sublease. If Subtenant is in Default at the time of Subtenant’s delivery of the Expansion Option Exercise Notice or on the Expansion Date, then the Option to Expand shall, at Sublandlord’s sole discretion, terminate, whereupon no exercise of the Option to Expand shall be of any force or effect, unless such termination is waived in writing by Sublandlord. Sublandlord has not granted any third party sublease rights (or sublease expansion rights) which are superior to Subtenant’s Option to Expand.</w:t>
      </w:r>
    </w:p>
    <w:p>
      <w:pPr>
        <w:spacing w:after="0" w:line="102" w:lineRule="exact"/>
        <w:rPr>
          <w:sz w:val="20"/>
          <w:szCs w:val="20"/>
          <w:color w:val="auto"/>
        </w:rPr>
      </w:pPr>
    </w:p>
    <w:p>
      <w:pPr>
        <w:ind w:left="1040" w:hanging="384"/>
        <w:spacing w:after="0"/>
        <w:tabs>
          <w:tab w:leader="none" w:pos="1040" w:val="left"/>
        </w:tabs>
        <w:numPr>
          <w:ilvl w:val="0"/>
          <w:numId w:val="505"/>
        </w:numPr>
        <w:rPr>
          <w:rFonts w:ascii="Arial" w:cs="Arial" w:eastAsia="Arial" w:hAnsi="Arial"/>
          <w:sz w:val="22"/>
          <w:szCs w:val="22"/>
          <w:color w:val="auto"/>
        </w:rPr>
      </w:pPr>
      <w:r>
        <w:rPr>
          <w:rFonts w:ascii="Arial" w:cs="Arial" w:eastAsia="Arial" w:hAnsi="Arial"/>
          <w:sz w:val="22"/>
          <w:szCs w:val="22"/>
          <w:u w:val="single" w:color="auto"/>
          <w:color w:val="auto"/>
        </w:rPr>
        <w:t>Sublease Term</w:t>
      </w:r>
      <w:r>
        <w:rPr>
          <w:rFonts w:ascii="Arial" w:cs="Arial" w:eastAsia="Arial" w:hAnsi="Arial"/>
          <w:sz w:val="22"/>
          <w:szCs w:val="22"/>
          <w:color w:val="auto"/>
        </w:rPr>
        <w:t>.</w:t>
      </w:r>
    </w:p>
    <w:p>
      <w:pPr>
        <w:spacing w:after="0" w:line="159" w:lineRule="exact"/>
        <w:rPr>
          <w:rFonts w:ascii="Arial" w:cs="Arial" w:eastAsia="Arial" w:hAnsi="Arial"/>
          <w:sz w:val="22"/>
          <w:szCs w:val="22"/>
          <w:color w:val="auto"/>
        </w:rPr>
      </w:pPr>
    </w:p>
    <w:p>
      <w:pPr>
        <w:jc w:val="both"/>
        <w:ind w:firstLine="1304"/>
        <w:spacing w:after="0" w:line="285" w:lineRule="auto"/>
        <w:tabs>
          <w:tab w:leader="none" w:pos="2062" w:val="left"/>
        </w:tabs>
        <w:numPr>
          <w:ilvl w:val="1"/>
          <w:numId w:val="505"/>
        </w:numPr>
        <w:rPr>
          <w:rFonts w:ascii="Arial" w:cs="Arial" w:eastAsia="Arial" w:hAnsi="Arial"/>
          <w:sz w:val="19"/>
          <w:szCs w:val="19"/>
          <w:color w:val="auto"/>
        </w:rPr>
      </w:pPr>
      <w:r>
        <w:rPr>
          <w:rFonts w:ascii="Arial" w:cs="Arial" w:eastAsia="Arial" w:hAnsi="Arial"/>
          <w:sz w:val="19"/>
          <w:szCs w:val="19"/>
          <w:u w:val="single" w:color="auto"/>
          <w:color w:val="auto"/>
        </w:rPr>
        <w:t>Generally</w:t>
      </w:r>
      <w:r>
        <w:rPr>
          <w:rFonts w:ascii="Arial" w:cs="Arial" w:eastAsia="Arial" w:hAnsi="Arial"/>
          <w:sz w:val="19"/>
          <w:szCs w:val="19"/>
          <w:color w:val="auto"/>
        </w:rPr>
        <w:t>. The term of this Sublease (the “</w:t>
      </w:r>
      <w:r>
        <w:rPr>
          <w:rFonts w:ascii="Arial" w:cs="Arial" w:eastAsia="Arial" w:hAnsi="Arial"/>
          <w:sz w:val="19"/>
          <w:szCs w:val="19"/>
          <w:b w:val="1"/>
          <w:bCs w:val="1"/>
          <w:color w:val="auto"/>
        </w:rPr>
        <w:t>Sublease Term</w:t>
      </w:r>
      <w:r>
        <w:rPr>
          <w:rFonts w:ascii="Arial" w:cs="Arial" w:eastAsia="Arial" w:hAnsi="Arial"/>
          <w:sz w:val="19"/>
          <w:szCs w:val="19"/>
          <w:color w:val="auto"/>
        </w:rPr>
        <w:t>”) shall commence on the date (the “</w:t>
      </w:r>
      <w:r>
        <w:rPr>
          <w:rFonts w:ascii="Arial" w:cs="Arial" w:eastAsia="Arial" w:hAnsi="Arial"/>
          <w:sz w:val="19"/>
          <w:szCs w:val="19"/>
          <w:b w:val="1"/>
          <w:bCs w:val="1"/>
          <w:color w:val="auto"/>
        </w:rPr>
        <w:t>Commencement Date</w:t>
      </w:r>
      <w:r>
        <w:rPr>
          <w:rFonts w:ascii="Arial" w:cs="Arial" w:eastAsia="Arial" w:hAnsi="Arial"/>
          <w:sz w:val="19"/>
          <w:szCs w:val="19"/>
          <w:color w:val="auto"/>
        </w:rPr>
        <w:t>”) that is the later to occur of (i) January 1, 2017, (ii) the date that Sublandlord delivers possession of the Subleased Premises to Subtenant free of all tenants, with all base building systems serving the Subleased Premises for which Sublandlord has repair or maintenance responsibilities under the Master Lease in good working order and broom-clean and ready for occupancy (such delivery, “</w:t>
      </w:r>
      <w:r>
        <w:rPr>
          <w:rFonts w:ascii="Arial" w:cs="Arial" w:eastAsia="Arial" w:hAnsi="Arial"/>
          <w:sz w:val="19"/>
          <w:szCs w:val="19"/>
          <w:b w:val="1"/>
          <w:bCs w:val="1"/>
          <w:color w:val="auto"/>
        </w:rPr>
        <w:t>Delivery</w:t>
      </w:r>
      <w:r>
        <w:rPr>
          <w:rFonts w:ascii="Arial" w:cs="Arial" w:eastAsia="Arial" w:hAnsi="Arial"/>
          <w:sz w:val="19"/>
          <w:szCs w:val="19"/>
          <w:color w:val="auto"/>
        </w:rPr>
        <w:t>”), (iii) the date upon which Sublandlord procures Landlord’s consent to this Sublease (the “</w:t>
      </w:r>
      <w:r>
        <w:rPr>
          <w:rFonts w:ascii="Arial" w:cs="Arial" w:eastAsia="Arial" w:hAnsi="Arial"/>
          <w:sz w:val="19"/>
          <w:szCs w:val="19"/>
          <w:b w:val="1"/>
          <w:bCs w:val="1"/>
          <w:color w:val="auto"/>
        </w:rPr>
        <w:t>Consent</w:t>
      </w:r>
      <w:r>
        <w:rPr>
          <w:rFonts w:ascii="Arial" w:cs="Arial" w:eastAsia="Arial" w:hAnsi="Arial"/>
          <w:sz w:val="19"/>
          <w:szCs w:val="19"/>
          <w:color w:val="auto"/>
        </w:rPr>
        <w:t>”, and the date of procurement of the Consent being referred to herein as the “</w:t>
      </w:r>
      <w:r>
        <w:rPr>
          <w:rFonts w:ascii="Arial" w:cs="Arial" w:eastAsia="Arial" w:hAnsi="Arial"/>
          <w:sz w:val="19"/>
          <w:szCs w:val="19"/>
          <w:b w:val="1"/>
          <w:bCs w:val="1"/>
          <w:color w:val="auto"/>
        </w:rPr>
        <w:t>Consent Date</w:t>
      </w:r>
      <w:r>
        <w:rPr>
          <w:rFonts w:ascii="Arial" w:cs="Arial" w:eastAsia="Arial" w:hAnsi="Arial"/>
          <w:sz w:val="19"/>
          <w:szCs w:val="19"/>
          <w:color w:val="auto"/>
        </w:rPr>
        <w:t>”) and (iv) the date of expiration of the Early Access Period (defined in Section 2(c) below) and end on December 31, 2021 or the date of expiration of the sixtieth (60th) full calendar month of the Sublease Term (the “</w:t>
      </w:r>
      <w:r>
        <w:rPr>
          <w:rFonts w:ascii="Arial" w:cs="Arial" w:eastAsia="Arial" w:hAnsi="Arial"/>
          <w:sz w:val="19"/>
          <w:szCs w:val="19"/>
          <w:b w:val="1"/>
          <w:bCs w:val="1"/>
          <w:color w:val="auto"/>
        </w:rPr>
        <w:t>Expiration Date</w:t>
      </w:r>
      <w:r>
        <w:rPr>
          <w:rFonts w:ascii="Arial" w:cs="Arial" w:eastAsia="Arial" w:hAnsi="Arial"/>
          <w:sz w:val="19"/>
          <w:szCs w:val="19"/>
          <w:color w:val="auto"/>
        </w:rPr>
        <w:t>”), unless sooner terminated pursuant to any provision of this Sublease or the Master Lease. The anticipated Commencement Date is January 1, 2017 (the “</w:t>
      </w:r>
      <w:r>
        <w:rPr>
          <w:rFonts w:ascii="Arial" w:cs="Arial" w:eastAsia="Arial" w:hAnsi="Arial"/>
          <w:sz w:val="19"/>
          <w:szCs w:val="19"/>
          <w:b w:val="1"/>
          <w:bCs w:val="1"/>
          <w:color w:val="auto"/>
        </w:rPr>
        <w:t>Anticipated</w:t>
      </w:r>
      <w:r>
        <w:rPr>
          <w:rFonts w:ascii="Arial" w:cs="Arial" w:eastAsia="Arial" w:hAnsi="Arial"/>
          <w:sz w:val="19"/>
          <w:szCs w:val="19"/>
          <w:color w:val="auto"/>
        </w:rPr>
        <w:t xml:space="preserve"> </w:t>
      </w:r>
      <w:r>
        <w:rPr>
          <w:rFonts w:ascii="Arial" w:cs="Arial" w:eastAsia="Arial" w:hAnsi="Arial"/>
          <w:sz w:val="19"/>
          <w:szCs w:val="19"/>
          <w:b w:val="1"/>
          <w:bCs w:val="1"/>
          <w:color w:val="auto"/>
        </w:rPr>
        <w:t>Commencement Date</w:t>
      </w:r>
      <w:r>
        <w:rPr>
          <w:rFonts w:ascii="Arial" w:cs="Arial" w:eastAsia="Arial" w:hAnsi="Arial"/>
          <w:sz w:val="19"/>
          <w:szCs w:val="19"/>
          <w:color w:val="auto"/>
        </w:rPr>
        <w:t>”); provided, however, if Sublandlord fails to achieve Delivery by March 1, 2017 (the “</w:t>
      </w:r>
      <w:r>
        <w:rPr>
          <w:rFonts w:ascii="Arial" w:cs="Arial" w:eastAsia="Arial" w:hAnsi="Arial"/>
          <w:sz w:val="19"/>
          <w:szCs w:val="19"/>
          <w:b w:val="1"/>
          <w:bCs w:val="1"/>
          <w:color w:val="auto"/>
        </w:rPr>
        <w:t>Outside Delivery Date</w:t>
      </w:r>
      <w:r>
        <w:rPr>
          <w:rFonts w:ascii="Arial" w:cs="Arial" w:eastAsia="Arial" w:hAnsi="Arial"/>
          <w:sz w:val="19"/>
          <w:szCs w:val="19"/>
          <w:color w:val="auto"/>
        </w:rPr>
        <w:t>”), then Subtenant shall have the right to terminate this Sublease by giving written notice thereof delivered to Sublandlord 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or before March 15, 2017, in which event this Sublease shall be deemed canceled and terminated and Sublandlord shall, within five (5) business days after delivery of Subtenant’s termination notice to Sublandlord, return to Subtenant the first monthly installment of Base Rent and Letter of Credit to the extent previously delivered to Sublandlord by Subtenant and, except as otherwise provided herein, neither party shall have any further obligation to the other party under this Sublease. The Outside Delivery Date will be delayed on a day-for-day basis for each day that Delivery is delayed due to (x) force majeure, up to a maximum delay of ninety (90) days for force majeure or (y) the act or omission of Subtenant and (z) for each day of delay in Subtenant’s satisfaction of the Delivery Conditions (defined in Section 2(b) below). Upon the determination of the Commencement Date, Sublandlord and Subtenant will enter into a letter agreement in the form of </w:t>
      </w:r>
      <w:r>
        <w:rPr>
          <w:rFonts w:ascii="Arial" w:cs="Arial" w:eastAsia="Arial" w:hAnsi="Arial"/>
          <w:sz w:val="19"/>
          <w:szCs w:val="19"/>
          <w:b w:val="1"/>
          <w:bCs w:val="1"/>
          <w:color w:val="auto"/>
        </w:rPr>
        <w:t>Exhibit B</w:t>
      </w:r>
      <w:r>
        <w:rPr>
          <w:rFonts w:ascii="Arial" w:cs="Arial" w:eastAsia="Arial" w:hAnsi="Arial"/>
          <w:sz w:val="19"/>
          <w:szCs w:val="19"/>
          <w:color w:val="auto"/>
        </w:rPr>
        <w:t xml:space="preserve"> attached hereto. At the option of either party hereto, upon the determination of the Must Take Effective Date, Sublandlord and Subtenant will enter into a subsequent letter agreement in the form of </w:t>
      </w:r>
      <w:r>
        <w:rPr>
          <w:rFonts w:ascii="Arial" w:cs="Arial" w:eastAsia="Arial" w:hAnsi="Arial"/>
          <w:sz w:val="19"/>
          <w:szCs w:val="19"/>
          <w:b w:val="1"/>
          <w:bCs w:val="1"/>
          <w:color w:val="auto"/>
        </w:rPr>
        <w:t>Exhibit B</w:t>
      </w:r>
      <w:r>
        <w:rPr>
          <w:rFonts w:ascii="Arial" w:cs="Arial" w:eastAsia="Arial" w:hAnsi="Arial"/>
          <w:sz w:val="19"/>
          <w:szCs w:val="19"/>
          <w:color w:val="auto"/>
        </w:rPr>
        <w:t xml:space="preserve"> attached hereto, memorializing the Must Take Effective Date.</w:t>
      </w:r>
    </w:p>
    <w:p>
      <w:pPr>
        <w:spacing w:after="0" w:line="105" w:lineRule="exact"/>
        <w:rPr>
          <w:rFonts w:ascii="Arial" w:cs="Arial" w:eastAsia="Arial" w:hAnsi="Arial"/>
          <w:sz w:val="19"/>
          <w:szCs w:val="19"/>
          <w:color w:val="auto"/>
        </w:rPr>
      </w:pPr>
    </w:p>
    <w:p>
      <w:pPr>
        <w:jc w:val="both"/>
        <w:ind w:firstLine="1304"/>
        <w:spacing w:after="0" w:line="253" w:lineRule="auto"/>
        <w:tabs>
          <w:tab w:leader="none" w:pos="1831" w:val="left"/>
        </w:tabs>
        <w:numPr>
          <w:ilvl w:val="1"/>
          <w:numId w:val="505"/>
        </w:numPr>
        <w:rPr>
          <w:rFonts w:ascii="Arial" w:cs="Arial" w:eastAsia="Arial" w:hAnsi="Arial"/>
          <w:sz w:val="22"/>
          <w:szCs w:val="22"/>
          <w:color w:val="auto"/>
        </w:rPr>
      </w:pPr>
      <w:r>
        <w:rPr>
          <w:rFonts w:ascii="Arial" w:cs="Arial" w:eastAsia="Arial" w:hAnsi="Arial"/>
          <w:sz w:val="22"/>
          <w:szCs w:val="22"/>
          <w:u w:val="single" w:color="auto"/>
          <w:color w:val="auto"/>
        </w:rPr>
        <w:t>Delivery Conditions</w:t>
      </w:r>
      <w:r>
        <w:rPr>
          <w:rFonts w:ascii="Arial" w:cs="Arial" w:eastAsia="Arial" w:hAnsi="Arial"/>
          <w:sz w:val="22"/>
          <w:szCs w:val="22"/>
          <w:color w:val="auto"/>
        </w:rPr>
        <w:t>. If, as of the date that Sublandlord would otherwise achieve Delivery as described in clause (ii) of Section 2(a) above, Subtenant has not delivered to Sublandlord (x) the first monthly installment of Base Rent pursuant to the provisions of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7" w:right="339" w:bottom="1440" w:gutter="0" w:footer="0" w:header="0"/>
        </w:sectPr>
      </w:pPr>
    </w:p>
    <w:bookmarkStart w:id="533" w:name="page534"/>
    <w:bookmarkEnd w:id="533"/>
    <w:p>
      <w:pPr>
        <w:jc w:val="both"/>
        <w:ind w:right="20"/>
        <w:spacing w:after="0" w:line="294" w:lineRule="auto"/>
        <w:rPr>
          <w:sz w:val="20"/>
          <w:szCs w:val="20"/>
          <w:color w:val="auto"/>
        </w:rPr>
      </w:pPr>
      <w:r>
        <w:rPr>
          <w:rFonts w:ascii="Arial" w:cs="Arial" w:eastAsia="Arial" w:hAnsi="Arial"/>
          <w:sz w:val="19"/>
          <w:szCs w:val="19"/>
          <w:color w:val="auto"/>
        </w:rPr>
        <w:t>3.1(a) below, (y) the Letter of Credit pursuant to the provisions of Section 4 below and (z) evidence of Subtenant’s procurement of all insurance coverage required hereunder (the “</w:t>
      </w:r>
      <w:r>
        <w:rPr>
          <w:rFonts w:ascii="Arial" w:cs="Arial" w:eastAsia="Arial" w:hAnsi="Arial"/>
          <w:sz w:val="19"/>
          <w:szCs w:val="19"/>
          <w:b w:val="1"/>
          <w:bCs w:val="1"/>
          <w:color w:val="auto"/>
        </w:rPr>
        <w:t>Delivery Conditions</w:t>
      </w:r>
      <w:r>
        <w:rPr>
          <w:rFonts w:ascii="Arial" w:cs="Arial" w:eastAsia="Arial" w:hAnsi="Arial"/>
          <w:sz w:val="19"/>
          <w:szCs w:val="19"/>
          <w:color w:val="auto"/>
        </w:rPr>
        <w:t>”), then Sublandlord will have no obligation to deliver possession of the Subleased Premises to Subtenant as described in Sections 2(a) above or 2(c) below, but the failure on the part of Sublandlord to so deliver possession of the Subleased Premises to Subtenant in such event will not serve to delay the commencement of the four (4) week period which would otherwise be the early Access Period, the occurrence of the Commencement Date and the commencement of Subtenant’s obligations to pay Rent (defined below) hereunder.</w:t>
      </w:r>
    </w:p>
    <w:p>
      <w:pPr>
        <w:spacing w:after="0" w:line="95" w:lineRule="exact"/>
        <w:rPr>
          <w:sz w:val="20"/>
          <w:szCs w:val="20"/>
          <w:color w:val="auto"/>
        </w:rPr>
      </w:pPr>
    </w:p>
    <w:p>
      <w:pPr>
        <w:jc w:val="both"/>
        <w:ind w:right="20" w:firstLine="1304"/>
        <w:spacing w:after="0" w:line="287" w:lineRule="auto"/>
        <w:tabs>
          <w:tab w:leader="none" w:pos="1765" w:val="left"/>
        </w:tabs>
        <w:numPr>
          <w:ilvl w:val="1"/>
          <w:numId w:val="506"/>
        </w:numPr>
        <w:rPr>
          <w:rFonts w:ascii="Arial" w:cs="Arial" w:eastAsia="Arial" w:hAnsi="Arial"/>
          <w:sz w:val="19"/>
          <w:szCs w:val="19"/>
          <w:color w:val="auto"/>
        </w:rPr>
      </w:pPr>
      <w:r>
        <w:rPr>
          <w:rFonts w:ascii="Arial" w:cs="Arial" w:eastAsia="Arial" w:hAnsi="Arial"/>
          <w:sz w:val="19"/>
          <w:szCs w:val="19"/>
          <w:u w:val="single" w:color="auto"/>
          <w:color w:val="auto"/>
        </w:rPr>
        <w:t>Early Access</w:t>
      </w:r>
      <w:r>
        <w:rPr>
          <w:rFonts w:ascii="Arial" w:cs="Arial" w:eastAsia="Arial" w:hAnsi="Arial"/>
          <w:sz w:val="19"/>
          <w:szCs w:val="19"/>
          <w:color w:val="auto"/>
        </w:rPr>
        <w:t>. Subtenant and Subtenant’s representatives shall have the right to enter the Subleased Premises during the four (4) week period prior to the Commencement Date and from and after the Consent Date (the date upon which Subtenant first has such access to the Subleased Premises being referred to herein as the “</w:t>
      </w:r>
      <w:r>
        <w:rPr>
          <w:rFonts w:ascii="Arial" w:cs="Arial" w:eastAsia="Arial" w:hAnsi="Arial"/>
          <w:sz w:val="19"/>
          <w:szCs w:val="19"/>
          <w:b w:val="1"/>
          <w:bCs w:val="1"/>
          <w:color w:val="auto"/>
        </w:rPr>
        <w:t>Early Access Date</w:t>
      </w:r>
      <w:r>
        <w:rPr>
          <w:rFonts w:ascii="Arial" w:cs="Arial" w:eastAsia="Arial" w:hAnsi="Arial"/>
          <w:sz w:val="19"/>
          <w:szCs w:val="19"/>
          <w:color w:val="auto"/>
        </w:rPr>
        <w:t>”) for the sole purposes of installation of Subtenant’s personal property and equipment, furniture, fixtures and voice and data cabling, all subject to the terms, conditions and requirements of the Master Lease. All of the rights and obligations of the parties under this Sublease (other than Subtenant’s obligation to pay Base Rent, but expressly including without limitation Subtenant’s obligation carry insurance, and Subtenant’s indemnification obligations) shall commence upon the Early Access Date. Subtenant shall coordinate such entry with Sublandlord and will not interfere with Sublandlord’s employees, contractors and vendors located in the Subleased Premises during such early access period, and such entry shall be made in compliance with all terms and conditions of this Sublease, the Master Lease and the rules and regulations attached to the Master Lease (as the same may be amended) or promulgated by Sublandlord as described herein.</w:t>
      </w:r>
    </w:p>
    <w:p>
      <w:pPr>
        <w:spacing w:after="0" w:line="109" w:lineRule="exact"/>
        <w:rPr>
          <w:rFonts w:ascii="Arial" w:cs="Arial" w:eastAsia="Arial" w:hAnsi="Arial"/>
          <w:sz w:val="19"/>
          <w:szCs w:val="19"/>
          <w:color w:val="auto"/>
        </w:rPr>
      </w:pPr>
    </w:p>
    <w:p>
      <w:pPr>
        <w:ind w:left="1040" w:hanging="384"/>
        <w:spacing w:after="0"/>
        <w:tabs>
          <w:tab w:leader="none" w:pos="1040" w:val="left"/>
        </w:tabs>
        <w:numPr>
          <w:ilvl w:val="0"/>
          <w:numId w:val="507"/>
        </w:numPr>
        <w:rPr>
          <w:rFonts w:ascii="Arial" w:cs="Arial" w:eastAsia="Arial" w:hAnsi="Arial"/>
          <w:sz w:val="22"/>
          <w:szCs w:val="22"/>
          <w:color w:val="auto"/>
        </w:rPr>
      </w:pPr>
      <w:r>
        <w:rPr>
          <w:rFonts w:ascii="Arial" w:cs="Arial" w:eastAsia="Arial" w:hAnsi="Arial"/>
          <w:sz w:val="22"/>
          <w:szCs w:val="22"/>
          <w:u w:val="single" w:color="auto"/>
          <w:color w:val="auto"/>
        </w:rPr>
        <w:t>Rent</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ind w:left="1760" w:hanging="456"/>
        <w:spacing w:after="0"/>
        <w:tabs>
          <w:tab w:leader="none" w:pos="1760" w:val="left"/>
        </w:tabs>
        <w:numPr>
          <w:ilvl w:val="1"/>
          <w:numId w:val="507"/>
        </w:numPr>
        <w:rPr>
          <w:rFonts w:ascii="Arial" w:cs="Arial" w:eastAsia="Arial" w:hAnsi="Arial"/>
          <w:sz w:val="22"/>
          <w:szCs w:val="22"/>
          <w:color w:val="auto"/>
        </w:rPr>
      </w:pPr>
      <w:r>
        <w:rPr>
          <w:rFonts w:ascii="Arial" w:cs="Arial" w:eastAsia="Arial" w:hAnsi="Arial"/>
          <w:sz w:val="22"/>
          <w:szCs w:val="22"/>
          <w:u w:val="single" w:color="auto"/>
          <w:color w:val="auto"/>
        </w:rPr>
        <w:t>Rent Payments</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ind w:right="20" w:firstLine="1952"/>
        <w:spacing w:after="0" w:line="263" w:lineRule="auto"/>
        <w:tabs>
          <w:tab w:leader="none" w:pos="2404" w:val="left"/>
        </w:tabs>
        <w:numPr>
          <w:ilvl w:val="2"/>
          <w:numId w:val="507"/>
        </w:numPr>
        <w:rPr>
          <w:rFonts w:ascii="Arial" w:cs="Arial" w:eastAsia="Arial" w:hAnsi="Arial"/>
          <w:sz w:val="22"/>
          <w:szCs w:val="22"/>
          <w:color w:val="auto"/>
        </w:rPr>
      </w:pPr>
      <w:r>
        <w:rPr>
          <w:rFonts w:ascii="Arial" w:cs="Arial" w:eastAsia="Arial" w:hAnsi="Arial"/>
          <w:sz w:val="22"/>
          <w:szCs w:val="22"/>
          <w:u w:val="single" w:color="auto"/>
          <w:color w:val="auto"/>
        </w:rPr>
        <w:t>Base Rent</w:t>
      </w:r>
      <w:r>
        <w:rPr>
          <w:rFonts w:ascii="Arial" w:cs="Arial" w:eastAsia="Arial" w:hAnsi="Arial"/>
          <w:sz w:val="22"/>
          <w:szCs w:val="22"/>
          <w:color w:val="auto"/>
        </w:rPr>
        <w:t>. Subtenant shall pay to Sublandlord as base rent for the initial Subleased Premises during the Sublease Term (“</w:t>
      </w:r>
      <w:r>
        <w:rPr>
          <w:rFonts w:ascii="Arial" w:cs="Arial" w:eastAsia="Arial" w:hAnsi="Arial"/>
          <w:sz w:val="22"/>
          <w:szCs w:val="22"/>
          <w:b w:val="1"/>
          <w:bCs w:val="1"/>
          <w:color w:val="auto"/>
        </w:rPr>
        <w:t>Base Rent</w:t>
      </w:r>
      <w:r>
        <w:rPr>
          <w:rFonts w:ascii="Arial" w:cs="Arial" w:eastAsia="Arial" w:hAnsi="Arial"/>
          <w:sz w:val="22"/>
          <w:szCs w:val="22"/>
          <w:color w:val="auto"/>
        </w:rPr>
        <w:t>”) the following:</w:t>
      </w:r>
    </w:p>
    <w:p>
      <w:pPr>
        <w:spacing w:after="0" w:line="136" w:lineRule="exact"/>
        <w:rPr>
          <w:sz w:val="20"/>
          <w:szCs w:val="20"/>
          <w:color w:val="auto"/>
        </w:rPr>
      </w:pPr>
    </w:p>
    <w:tbl>
      <w:tblPr>
        <w:tblLayout w:type="fixed"/>
        <w:tblInd w:w="1930" w:type="dxa"/>
        <w:tblCellMar>
          <w:top w:w="0" w:type="dxa"/>
          <w:left w:w="0" w:type="dxa"/>
          <w:bottom w:w="0" w:type="dxa"/>
          <w:right w:w="0" w:type="dxa"/>
        </w:tblCellMar>
      </w:tblPr>
      <w:tr>
        <w:trPr>
          <w:trHeight w:val="289"/>
        </w:trPr>
        <w:tc>
          <w:tcPr>
            <w:tcW w:w="3120" w:type="dxa"/>
            <w:vAlign w:val="bottom"/>
            <w:tcBorders>
              <w:top w:val="single" w:sz="8" w:color="auto"/>
              <w:left w:val="single" w:sz="8" w:color="auto"/>
              <w:right w:val="single" w:sz="8" w:color="auto"/>
            </w:tcBorders>
            <w:gridSpan w:val="3"/>
            <w:vMerge w:val="restart"/>
          </w:tcPr>
          <w:p>
            <w:pPr>
              <w:ind w:left="440"/>
              <w:spacing w:after="0"/>
              <w:rPr>
                <w:sz w:val="20"/>
                <w:szCs w:val="20"/>
                <w:color w:val="auto"/>
              </w:rPr>
            </w:pPr>
            <w:r>
              <w:rPr>
                <w:rFonts w:ascii="Arial" w:cs="Arial" w:eastAsia="Arial" w:hAnsi="Arial"/>
                <w:sz w:val="22"/>
                <w:szCs w:val="22"/>
                <w:color w:val="auto"/>
              </w:rPr>
              <w:t>Months of Sublease Term</w:t>
            </w:r>
          </w:p>
        </w:tc>
        <w:tc>
          <w:tcPr>
            <w:tcW w:w="312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22"/>
                <w:szCs w:val="22"/>
                <w:color w:val="auto"/>
                <w:w w:val="86"/>
              </w:rPr>
              <w:t>Rate Per RSF</w:t>
            </w:r>
          </w:p>
        </w:tc>
        <w:tc>
          <w:tcPr>
            <w:tcW w:w="1100" w:type="dxa"/>
            <w:vAlign w:val="bottom"/>
            <w:tcBorders>
              <w:top w:val="single" w:sz="8" w:color="auto"/>
            </w:tcBorders>
          </w:tcPr>
          <w:p>
            <w:pPr>
              <w:spacing w:after="0"/>
              <w:rPr>
                <w:sz w:val="24"/>
                <w:szCs w:val="24"/>
                <w:color w:val="auto"/>
              </w:rPr>
            </w:pPr>
          </w:p>
        </w:tc>
        <w:tc>
          <w:tcPr>
            <w:tcW w:w="2000" w:type="dxa"/>
            <w:vAlign w:val="bottom"/>
            <w:tcBorders>
              <w:top w:val="single" w:sz="8" w:color="auto"/>
              <w:right w:val="single" w:sz="8" w:color="auto"/>
            </w:tcBorders>
            <w:gridSpan w:val="2"/>
          </w:tcPr>
          <w:p>
            <w:pPr>
              <w:jc w:val="center"/>
              <w:ind w:right="1140"/>
              <w:spacing w:after="0"/>
              <w:rPr>
                <w:sz w:val="20"/>
                <w:szCs w:val="20"/>
                <w:color w:val="auto"/>
              </w:rPr>
            </w:pPr>
            <w:r>
              <w:rPr>
                <w:rFonts w:ascii="Arial" w:cs="Arial" w:eastAsia="Arial" w:hAnsi="Arial"/>
                <w:sz w:val="22"/>
                <w:szCs w:val="22"/>
                <w:color w:val="auto"/>
                <w:w w:val="96"/>
              </w:rPr>
              <w:t>Monthly</w:t>
            </w:r>
          </w:p>
        </w:tc>
        <w:tc>
          <w:tcPr>
            <w:tcW w:w="0" w:type="dxa"/>
            <w:vAlign w:val="bottom"/>
          </w:tcPr>
          <w:p>
            <w:pPr>
              <w:spacing w:after="0"/>
              <w:rPr>
                <w:sz w:val="1"/>
                <w:szCs w:val="1"/>
                <w:color w:val="auto"/>
              </w:rPr>
            </w:pPr>
          </w:p>
        </w:tc>
      </w:tr>
      <w:tr>
        <w:trPr>
          <w:trHeight w:val="89"/>
        </w:trPr>
        <w:tc>
          <w:tcPr>
            <w:tcW w:w="3120" w:type="dxa"/>
            <w:vAlign w:val="bottom"/>
            <w:tcBorders>
              <w:left w:val="single" w:sz="8" w:color="auto"/>
              <w:right w:val="single" w:sz="8" w:color="auto"/>
            </w:tcBorders>
            <w:gridSpan w:val="3"/>
            <w:vMerge w:val="continue"/>
          </w:tcPr>
          <w:p>
            <w:pPr>
              <w:spacing w:after="0"/>
              <w:rPr>
                <w:sz w:val="7"/>
                <w:szCs w:val="7"/>
                <w:color w:val="auto"/>
              </w:rPr>
            </w:pPr>
          </w:p>
        </w:tc>
        <w:tc>
          <w:tcPr>
            <w:tcW w:w="1080" w:type="dxa"/>
            <w:vAlign w:val="bottom"/>
          </w:tcPr>
          <w:p>
            <w:pPr>
              <w:spacing w:after="0"/>
              <w:rPr>
                <w:sz w:val="7"/>
                <w:szCs w:val="7"/>
                <w:color w:val="auto"/>
              </w:rPr>
            </w:pPr>
          </w:p>
        </w:tc>
        <w:tc>
          <w:tcPr>
            <w:tcW w:w="2040" w:type="dxa"/>
            <w:vAlign w:val="bottom"/>
            <w:tcBorders>
              <w:right w:val="single" w:sz="8" w:color="auto"/>
            </w:tcBorders>
            <w:gridSpan w:val="2"/>
            <w:vMerge w:val="restart"/>
          </w:tcPr>
          <w:p>
            <w:pPr>
              <w:jc w:val="center"/>
              <w:ind w:right="1040"/>
              <w:spacing w:after="0" w:line="224" w:lineRule="exact"/>
              <w:rPr>
                <w:sz w:val="20"/>
                <w:szCs w:val="20"/>
                <w:color w:val="auto"/>
              </w:rPr>
            </w:pPr>
            <w:r>
              <w:rPr>
                <w:rFonts w:ascii="Arial" w:cs="Arial" w:eastAsia="Arial" w:hAnsi="Arial"/>
                <w:sz w:val="22"/>
                <w:szCs w:val="22"/>
                <w:color w:val="auto"/>
                <w:w w:val="90"/>
              </w:rPr>
              <w:t>Per Annum</w:t>
            </w:r>
          </w:p>
        </w:tc>
        <w:tc>
          <w:tcPr>
            <w:tcW w:w="1100" w:type="dxa"/>
            <w:vAlign w:val="bottom"/>
          </w:tcPr>
          <w:p>
            <w:pPr>
              <w:spacing w:after="0"/>
              <w:rPr>
                <w:sz w:val="7"/>
                <w:szCs w:val="7"/>
                <w:color w:val="auto"/>
              </w:rPr>
            </w:pPr>
          </w:p>
        </w:tc>
        <w:tc>
          <w:tcPr>
            <w:tcW w:w="2000" w:type="dxa"/>
            <w:vAlign w:val="bottom"/>
            <w:tcBorders>
              <w:right w:val="single" w:sz="8" w:color="auto"/>
            </w:tcBorders>
            <w:gridSpan w:val="2"/>
            <w:vMerge w:val="restart"/>
          </w:tcPr>
          <w:p>
            <w:pPr>
              <w:jc w:val="center"/>
              <w:ind w:right="1120"/>
              <w:spacing w:after="0" w:line="224" w:lineRule="exact"/>
              <w:rPr>
                <w:sz w:val="20"/>
                <w:szCs w:val="20"/>
                <w:color w:val="auto"/>
              </w:rPr>
            </w:pPr>
            <w:r>
              <w:rPr>
                <w:rFonts w:ascii="Arial" w:cs="Arial" w:eastAsia="Arial" w:hAnsi="Arial"/>
                <w:sz w:val="22"/>
                <w:szCs w:val="22"/>
                <w:color w:val="auto"/>
                <w:w w:val="85"/>
              </w:rPr>
              <w:t>Base Rent</w:t>
            </w:r>
          </w:p>
        </w:tc>
        <w:tc>
          <w:tcPr>
            <w:tcW w:w="0" w:type="dxa"/>
            <w:vAlign w:val="bottom"/>
          </w:tcPr>
          <w:p>
            <w:pPr>
              <w:spacing w:after="0"/>
              <w:rPr>
                <w:sz w:val="1"/>
                <w:szCs w:val="1"/>
                <w:color w:val="auto"/>
              </w:rPr>
            </w:pPr>
          </w:p>
        </w:tc>
      </w:tr>
      <w:tr>
        <w:trPr>
          <w:trHeight w:val="115"/>
        </w:trPr>
        <w:tc>
          <w:tcPr>
            <w:tcW w:w="440" w:type="dxa"/>
            <w:vAlign w:val="bottom"/>
            <w:tcBorders>
              <w:left w:val="single" w:sz="8" w:color="auto"/>
            </w:tcBorders>
          </w:tcPr>
          <w:p>
            <w:pPr>
              <w:spacing w:after="0"/>
              <w:rPr>
                <w:sz w:val="10"/>
                <w:szCs w:val="10"/>
                <w:color w:val="auto"/>
              </w:rPr>
            </w:pPr>
          </w:p>
        </w:tc>
        <w:tc>
          <w:tcPr>
            <w:tcW w:w="2220" w:type="dxa"/>
            <w:vAlign w:val="bottom"/>
            <w:tcBorders>
              <w:top w:val="single" w:sz="8" w:color="auto"/>
            </w:tcBorders>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1080" w:type="dxa"/>
            <w:vAlign w:val="bottom"/>
          </w:tcPr>
          <w:p>
            <w:pPr>
              <w:spacing w:after="0"/>
              <w:rPr>
                <w:sz w:val="10"/>
                <w:szCs w:val="10"/>
                <w:color w:val="auto"/>
              </w:rPr>
            </w:pPr>
          </w:p>
        </w:tc>
        <w:tc>
          <w:tcPr>
            <w:tcW w:w="2040" w:type="dxa"/>
            <w:vAlign w:val="bottom"/>
            <w:tcBorders>
              <w:right w:val="single" w:sz="8" w:color="auto"/>
            </w:tcBorders>
            <w:gridSpan w:val="2"/>
            <w:vMerge w:val="continue"/>
          </w:tcPr>
          <w:p>
            <w:pPr>
              <w:spacing w:after="0"/>
              <w:rPr>
                <w:sz w:val="10"/>
                <w:szCs w:val="10"/>
                <w:color w:val="auto"/>
              </w:rPr>
            </w:pPr>
          </w:p>
        </w:tc>
        <w:tc>
          <w:tcPr>
            <w:tcW w:w="1100" w:type="dxa"/>
            <w:vAlign w:val="bottom"/>
          </w:tcPr>
          <w:p>
            <w:pPr>
              <w:spacing w:after="0"/>
              <w:rPr>
                <w:sz w:val="10"/>
                <w:szCs w:val="10"/>
                <w:color w:val="auto"/>
              </w:rPr>
            </w:pPr>
          </w:p>
        </w:tc>
        <w:tc>
          <w:tcPr>
            <w:tcW w:w="200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440" w:type="dxa"/>
            <w:vAlign w:val="bottom"/>
            <w:tcBorders>
              <w:left w:val="single" w:sz="8" w:color="auto"/>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0" w:type="dxa"/>
            <w:vAlign w:val="bottom"/>
            <w:tcBorders>
              <w:top w:val="single" w:sz="8" w:color="auto"/>
              <w:bottom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80" w:type="dxa"/>
            <w:vAlign w:val="bottom"/>
            <w:tcBorders>
              <w:top w:val="single" w:sz="8" w:color="auto"/>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660" w:type="dxa"/>
            <w:vAlign w:val="bottom"/>
            <w:tcBorders>
              <w:left w:val="single" w:sz="8" w:color="auto"/>
              <w:bottom w:val="single" w:sz="8" w:color="auto"/>
            </w:tcBorders>
            <w:gridSpan w:val="2"/>
          </w:tcPr>
          <w:p>
            <w:pPr>
              <w:jc w:val="center"/>
              <w:ind w:left="352"/>
              <w:spacing w:after="0"/>
              <w:rPr>
                <w:sz w:val="20"/>
                <w:szCs w:val="20"/>
                <w:color w:val="auto"/>
              </w:rPr>
            </w:pPr>
            <w:r>
              <w:rPr>
                <w:rFonts w:ascii="Arial" w:cs="Arial" w:eastAsia="Arial" w:hAnsi="Arial"/>
                <w:sz w:val="22"/>
                <w:szCs w:val="22"/>
                <w:color w:val="auto"/>
                <w:w w:val="90"/>
              </w:rPr>
              <w:t>1-12</w:t>
            </w:r>
          </w:p>
        </w:tc>
        <w:tc>
          <w:tcPr>
            <w:tcW w:w="460" w:type="dxa"/>
            <w:vAlign w:val="bottom"/>
            <w:tcBorders>
              <w:bottom w:val="single" w:sz="8" w:color="auto"/>
              <w:right w:val="single" w:sz="8" w:color="auto"/>
            </w:tcBorders>
          </w:tcPr>
          <w:p>
            <w:pPr>
              <w:spacing w:after="0"/>
              <w:rPr>
                <w:sz w:val="24"/>
                <w:szCs w:val="24"/>
                <w:color w:val="auto"/>
              </w:rPr>
            </w:pPr>
          </w:p>
        </w:tc>
        <w:tc>
          <w:tcPr>
            <w:tcW w:w="2080" w:type="dxa"/>
            <w:vAlign w:val="bottom"/>
            <w:tcBorders>
              <w:bottom w:val="single" w:sz="8" w:color="auto"/>
            </w:tcBorders>
            <w:gridSpan w:val="2"/>
          </w:tcPr>
          <w:p>
            <w:pPr>
              <w:jc w:val="center"/>
              <w:ind w:left="912"/>
              <w:spacing w:after="0"/>
              <w:rPr>
                <w:sz w:val="20"/>
                <w:szCs w:val="20"/>
                <w:color w:val="auto"/>
              </w:rPr>
            </w:pPr>
            <w:r>
              <w:rPr>
                <w:rFonts w:ascii="Arial" w:cs="Arial" w:eastAsia="Arial" w:hAnsi="Arial"/>
                <w:sz w:val="22"/>
                <w:szCs w:val="22"/>
                <w:color w:val="auto"/>
                <w:w w:val="86"/>
              </w:rPr>
              <w:t>$76.00</w:t>
            </w:r>
          </w:p>
        </w:tc>
        <w:tc>
          <w:tcPr>
            <w:tcW w:w="1040" w:type="dxa"/>
            <w:vAlign w:val="bottom"/>
            <w:tcBorders>
              <w:bottom w:val="single" w:sz="8" w:color="auto"/>
              <w:right w:val="single" w:sz="8" w:color="auto"/>
            </w:tcBorders>
          </w:tcPr>
          <w:p>
            <w:pPr>
              <w:spacing w:after="0"/>
              <w:rPr>
                <w:sz w:val="24"/>
                <w:szCs w:val="24"/>
                <w:color w:val="auto"/>
              </w:rPr>
            </w:pPr>
          </w:p>
        </w:tc>
        <w:tc>
          <w:tcPr>
            <w:tcW w:w="310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22"/>
                <w:szCs w:val="22"/>
                <w:color w:val="auto"/>
                <w:w w:val="88"/>
              </w:rPr>
              <w:t>$664,050.00</w:t>
            </w:r>
          </w:p>
        </w:tc>
        <w:tc>
          <w:tcPr>
            <w:tcW w:w="0" w:type="dxa"/>
            <w:vAlign w:val="bottom"/>
          </w:tcPr>
          <w:p>
            <w:pPr>
              <w:spacing w:after="0"/>
              <w:rPr>
                <w:sz w:val="1"/>
                <w:szCs w:val="1"/>
                <w:color w:val="auto"/>
              </w:rPr>
            </w:pPr>
          </w:p>
        </w:tc>
      </w:tr>
      <w:tr>
        <w:trPr>
          <w:trHeight w:val="304"/>
        </w:trPr>
        <w:tc>
          <w:tcPr>
            <w:tcW w:w="2660" w:type="dxa"/>
            <w:vAlign w:val="bottom"/>
            <w:tcBorders>
              <w:left w:val="single" w:sz="8" w:color="auto"/>
              <w:bottom w:val="single" w:sz="8" w:color="auto"/>
            </w:tcBorders>
            <w:gridSpan w:val="2"/>
          </w:tcPr>
          <w:p>
            <w:pPr>
              <w:jc w:val="center"/>
              <w:ind w:left="352"/>
              <w:spacing w:after="0"/>
              <w:rPr>
                <w:sz w:val="20"/>
                <w:szCs w:val="20"/>
                <w:color w:val="auto"/>
              </w:rPr>
            </w:pPr>
            <w:r>
              <w:rPr>
                <w:rFonts w:ascii="Arial" w:cs="Arial" w:eastAsia="Arial" w:hAnsi="Arial"/>
                <w:sz w:val="22"/>
                <w:szCs w:val="22"/>
                <w:color w:val="auto"/>
                <w:w w:val="87"/>
              </w:rPr>
              <w:t>13 - 24</w:t>
            </w:r>
          </w:p>
        </w:tc>
        <w:tc>
          <w:tcPr>
            <w:tcW w:w="460" w:type="dxa"/>
            <w:vAlign w:val="bottom"/>
            <w:tcBorders>
              <w:bottom w:val="single" w:sz="8" w:color="auto"/>
              <w:right w:val="single" w:sz="8" w:color="auto"/>
            </w:tcBorders>
          </w:tcPr>
          <w:p>
            <w:pPr>
              <w:spacing w:after="0"/>
              <w:rPr>
                <w:sz w:val="24"/>
                <w:szCs w:val="24"/>
                <w:color w:val="auto"/>
              </w:rPr>
            </w:pPr>
          </w:p>
        </w:tc>
        <w:tc>
          <w:tcPr>
            <w:tcW w:w="2080" w:type="dxa"/>
            <w:vAlign w:val="bottom"/>
            <w:tcBorders>
              <w:bottom w:val="single" w:sz="8" w:color="auto"/>
            </w:tcBorders>
            <w:gridSpan w:val="2"/>
          </w:tcPr>
          <w:p>
            <w:pPr>
              <w:jc w:val="center"/>
              <w:ind w:left="912"/>
              <w:spacing w:after="0"/>
              <w:rPr>
                <w:sz w:val="20"/>
                <w:szCs w:val="20"/>
                <w:color w:val="auto"/>
              </w:rPr>
            </w:pPr>
            <w:r>
              <w:rPr>
                <w:rFonts w:ascii="Arial" w:cs="Arial" w:eastAsia="Arial" w:hAnsi="Arial"/>
                <w:sz w:val="22"/>
                <w:szCs w:val="22"/>
                <w:color w:val="auto"/>
                <w:w w:val="86"/>
              </w:rPr>
              <w:t>$78.28</w:t>
            </w:r>
          </w:p>
        </w:tc>
        <w:tc>
          <w:tcPr>
            <w:tcW w:w="1040" w:type="dxa"/>
            <w:vAlign w:val="bottom"/>
            <w:tcBorders>
              <w:bottom w:val="single" w:sz="8" w:color="auto"/>
              <w:right w:val="single" w:sz="8" w:color="auto"/>
            </w:tcBorders>
          </w:tcPr>
          <w:p>
            <w:pPr>
              <w:spacing w:after="0"/>
              <w:rPr>
                <w:sz w:val="24"/>
                <w:szCs w:val="24"/>
                <w:color w:val="auto"/>
              </w:rPr>
            </w:pPr>
          </w:p>
        </w:tc>
        <w:tc>
          <w:tcPr>
            <w:tcW w:w="310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22"/>
                <w:szCs w:val="22"/>
                <w:color w:val="auto"/>
                <w:w w:val="88"/>
              </w:rPr>
              <w:t>$683,971.50</w:t>
            </w:r>
          </w:p>
        </w:tc>
        <w:tc>
          <w:tcPr>
            <w:tcW w:w="0" w:type="dxa"/>
            <w:vAlign w:val="bottom"/>
          </w:tcPr>
          <w:p>
            <w:pPr>
              <w:spacing w:after="0"/>
              <w:rPr>
                <w:sz w:val="1"/>
                <w:szCs w:val="1"/>
                <w:color w:val="auto"/>
              </w:rPr>
            </w:pPr>
          </w:p>
        </w:tc>
      </w:tr>
      <w:tr>
        <w:trPr>
          <w:trHeight w:val="304"/>
        </w:trPr>
        <w:tc>
          <w:tcPr>
            <w:tcW w:w="2660" w:type="dxa"/>
            <w:vAlign w:val="bottom"/>
            <w:tcBorders>
              <w:left w:val="single" w:sz="8" w:color="auto"/>
              <w:bottom w:val="single" w:sz="8" w:color="auto"/>
            </w:tcBorders>
            <w:gridSpan w:val="2"/>
          </w:tcPr>
          <w:p>
            <w:pPr>
              <w:jc w:val="center"/>
              <w:ind w:left="352"/>
              <w:spacing w:after="0"/>
              <w:rPr>
                <w:sz w:val="20"/>
                <w:szCs w:val="20"/>
                <w:color w:val="auto"/>
              </w:rPr>
            </w:pPr>
            <w:r>
              <w:rPr>
                <w:rFonts w:ascii="Arial" w:cs="Arial" w:eastAsia="Arial" w:hAnsi="Arial"/>
                <w:sz w:val="22"/>
                <w:szCs w:val="22"/>
                <w:color w:val="auto"/>
                <w:w w:val="87"/>
              </w:rPr>
              <w:t>25 - 36</w:t>
            </w:r>
          </w:p>
        </w:tc>
        <w:tc>
          <w:tcPr>
            <w:tcW w:w="460" w:type="dxa"/>
            <w:vAlign w:val="bottom"/>
            <w:tcBorders>
              <w:bottom w:val="single" w:sz="8" w:color="auto"/>
              <w:right w:val="single" w:sz="8" w:color="auto"/>
            </w:tcBorders>
          </w:tcPr>
          <w:p>
            <w:pPr>
              <w:spacing w:after="0"/>
              <w:rPr>
                <w:sz w:val="24"/>
                <w:szCs w:val="24"/>
                <w:color w:val="auto"/>
              </w:rPr>
            </w:pPr>
          </w:p>
        </w:tc>
        <w:tc>
          <w:tcPr>
            <w:tcW w:w="2080" w:type="dxa"/>
            <w:vAlign w:val="bottom"/>
            <w:tcBorders>
              <w:bottom w:val="single" w:sz="8" w:color="auto"/>
            </w:tcBorders>
            <w:gridSpan w:val="2"/>
          </w:tcPr>
          <w:p>
            <w:pPr>
              <w:jc w:val="center"/>
              <w:ind w:left="912"/>
              <w:spacing w:after="0"/>
              <w:rPr>
                <w:sz w:val="20"/>
                <w:szCs w:val="20"/>
                <w:color w:val="auto"/>
              </w:rPr>
            </w:pPr>
            <w:r>
              <w:rPr>
                <w:rFonts w:ascii="Arial" w:cs="Arial" w:eastAsia="Arial" w:hAnsi="Arial"/>
                <w:sz w:val="22"/>
                <w:szCs w:val="22"/>
                <w:color w:val="auto"/>
                <w:w w:val="86"/>
              </w:rPr>
              <w:t>$80.63</w:t>
            </w:r>
          </w:p>
        </w:tc>
        <w:tc>
          <w:tcPr>
            <w:tcW w:w="1040" w:type="dxa"/>
            <w:vAlign w:val="bottom"/>
            <w:tcBorders>
              <w:bottom w:val="single" w:sz="8" w:color="auto"/>
              <w:right w:val="single" w:sz="8" w:color="auto"/>
            </w:tcBorders>
          </w:tcPr>
          <w:p>
            <w:pPr>
              <w:spacing w:after="0"/>
              <w:rPr>
                <w:sz w:val="24"/>
                <w:szCs w:val="24"/>
                <w:color w:val="auto"/>
              </w:rPr>
            </w:pPr>
          </w:p>
        </w:tc>
        <w:tc>
          <w:tcPr>
            <w:tcW w:w="310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22"/>
                <w:szCs w:val="22"/>
                <w:color w:val="auto"/>
                <w:w w:val="88"/>
              </w:rPr>
              <w:t>$704,490.65</w:t>
            </w:r>
          </w:p>
        </w:tc>
        <w:tc>
          <w:tcPr>
            <w:tcW w:w="0" w:type="dxa"/>
            <w:vAlign w:val="bottom"/>
          </w:tcPr>
          <w:p>
            <w:pPr>
              <w:spacing w:after="0"/>
              <w:rPr>
                <w:sz w:val="1"/>
                <w:szCs w:val="1"/>
                <w:color w:val="auto"/>
              </w:rPr>
            </w:pPr>
          </w:p>
        </w:tc>
      </w:tr>
      <w:tr>
        <w:trPr>
          <w:trHeight w:val="304"/>
        </w:trPr>
        <w:tc>
          <w:tcPr>
            <w:tcW w:w="2660" w:type="dxa"/>
            <w:vAlign w:val="bottom"/>
            <w:tcBorders>
              <w:left w:val="single" w:sz="8" w:color="auto"/>
              <w:bottom w:val="single" w:sz="8" w:color="auto"/>
            </w:tcBorders>
            <w:gridSpan w:val="2"/>
          </w:tcPr>
          <w:p>
            <w:pPr>
              <w:jc w:val="center"/>
              <w:ind w:left="352"/>
              <w:spacing w:after="0"/>
              <w:rPr>
                <w:sz w:val="20"/>
                <w:szCs w:val="20"/>
                <w:color w:val="auto"/>
              </w:rPr>
            </w:pPr>
            <w:r>
              <w:rPr>
                <w:rFonts w:ascii="Arial" w:cs="Arial" w:eastAsia="Arial" w:hAnsi="Arial"/>
                <w:sz w:val="22"/>
                <w:szCs w:val="22"/>
                <w:color w:val="auto"/>
                <w:w w:val="87"/>
              </w:rPr>
              <w:t>37 - 48</w:t>
            </w:r>
          </w:p>
        </w:tc>
        <w:tc>
          <w:tcPr>
            <w:tcW w:w="460" w:type="dxa"/>
            <w:vAlign w:val="bottom"/>
            <w:tcBorders>
              <w:bottom w:val="single" w:sz="8" w:color="auto"/>
              <w:right w:val="single" w:sz="8" w:color="auto"/>
            </w:tcBorders>
          </w:tcPr>
          <w:p>
            <w:pPr>
              <w:spacing w:after="0"/>
              <w:rPr>
                <w:sz w:val="24"/>
                <w:szCs w:val="24"/>
                <w:color w:val="auto"/>
              </w:rPr>
            </w:pPr>
          </w:p>
        </w:tc>
        <w:tc>
          <w:tcPr>
            <w:tcW w:w="2080" w:type="dxa"/>
            <w:vAlign w:val="bottom"/>
            <w:tcBorders>
              <w:bottom w:val="single" w:sz="8" w:color="auto"/>
            </w:tcBorders>
            <w:gridSpan w:val="2"/>
          </w:tcPr>
          <w:p>
            <w:pPr>
              <w:jc w:val="center"/>
              <w:ind w:left="912"/>
              <w:spacing w:after="0"/>
              <w:rPr>
                <w:sz w:val="20"/>
                <w:szCs w:val="20"/>
                <w:color w:val="auto"/>
              </w:rPr>
            </w:pPr>
            <w:r>
              <w:rPr>
                <w:rFonts w:ascii="Arial" w:cs="Arial" w:eastAsia="Arial" w:hAnsi="Arial"/>
                <w:sz w:val="22"/>
                <w:szCs w:val="22"/>
                <w:color w:val="auto"/>
                <w:w w:val="86"/>
              </w:rPr>
              <w:t>$83.05</w:t>
            </w:r>
          </w:p>
        </w:tc>
        <w:tc>
          <w:tcPr>
            <w:tcW w:w="1040" w:type="dxa"/>
            <w:vAlign w:val="bottom"/>
            <w:tcBorders>
              <w:bottom w:val="single" w:sz="8" w:color="auto"/>
              <w:right w:val="single" w:sz="8" w:color="auto"/>
            </w:tcBorders>
          </w:tcPr>
          <w:p>
            <w:pPr>
              <w:spacing w:after="0"/>
              <w:rPr>
                <w:sz w:val="24"/>
                <w:szCs w:val="24"/>
                <w:color w:val="auto"/>
              </w:rPr>
            </w:pPr>
          </w:p>
        </w:tc>
        <w:tc>
          <w:tcPr>
            <w:tcW w:w="310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22"/>
                <w:szCs w:val="22"/>
                <w:color w:val="auto"/>
                <w:w w:val="88"/>
              </w:rPr>
              <w:t>$725,625.36</w:t>
            </w:r>
          </w:p>
        </w:tc>
        <w:tc>
          <w:tcPr>
            <w:tcW w:w="0" w:type="dxa"/>
            <w:vAlign w:val="bottom"/>
          </w:tcPr>
          <w:p>
            <w:pPr>
              <w:spacing w:after="0"/>
              <w:rPr>
                <w:sz w:val="1"/>
                <w:szCs w:val="1"/>
                <w:color w:val="auto"/>
              </w:rPr>
            </w:pPr>
          </w:p>
        </w:tc>
      </w:tr>
      <w:tr>
        <w:trPr>
          <w:trHeight w:val="304"/>
        </w:trPr>
        <w:tc>
          <w:tcPr>
            <w:tcW w:w="2660" w:type="dxa"/>
            <w:vAlign w:val="bottom"/>
            <w:tcBorders>
              <w:left w:val="single" w:sz="8" w:color="auto"/>
              <w:bottom w:val="single" w:sz="8" w:color="auto"/>
            </w:tcBorders>
            <w:gridSpan w:val="2"/>
          </w:tcPr>
          <w:p>
            <w:pPr>
              <w:jc w:val="center"/>
              <w:ind w:left="352"/>
              <w:spacing w:after="0"/>
              <w:rPr>
                <w:sz w:val="20"/>
                <w:szCs w:val="20"/>
                <w:color w:val="auto"/>
              </w:rPr>
            </w:pPr>
            <w:r>
              <w:rPr>
                <w:rFonts w:ascii="Arial" w:cs="Arial" w:eastAsia="Arial" w:hAnsi="Arial"/>
                <w:sz w:val="22"/>
                <w:szCs w:val="22"/>
                <w:color w:val="auto"/>
                <w:w w:val="87"/>
              </w:rPr>
              <w:t>49 - 60</w:t>
            </w:r>
          </w:p>
        </w:tc>
        <w:tc>
          <w:tcPr>
            <w:tcW w:w="460" w:type="dxa"/>
            <w:vAlign w:val="bottom"/>
            <w:tcBorders>
              <w:bottom w:val="single" w:sz="8" w:color="auto"/>
              <w:right w:val="single" w:sz="8" w:color="auto"/>
            </w:tcBorders>
          </w:tcPr>
          <w:p>
            <w:pPr>
              <w:spacing w:after="0"/>
              <w:rPr>
                <w:sz w:val="24"/>
                <w:szCs w:val="24"/>
                <w:color w:val="auto"/>
              </w:rPr>
            </w:pPr>
          </w:p>
        </w:tc>
        <w:tc>
          <w:tcPr>
            <w:tcW w:w="2080" w:type="dxa"/>
            <w:vAlign w:val="bottom"/>
            <w:tcBorders>
              <w:bottom w:val="single" w:sz="8" w:color="auto"/>
            </w:tcBorders>
            <w:gridSpan w:val="2"/>
          </w:tcPr>
          <w:p>
            <w:pPr>
              <w:jc w:val="center"/>
              <w:ind w:left="912"/>
              <w:spacing w:after="0"/>
              <w:rPr>
                <w:sz w:val="20"/>
                <w:szCs w:val="20"/>
                <w:color w:val="auto"/>
              </w:rPr>
            </w:pPr>
            <w:r>
              <w:rPr>
                <w:rFonts w:ascii="Arial" w:cs="Arial" w:eastAsia="Arial" w:hAnsi="Arial"/>
                <w:sz w:val="22"/>
                <w:szCs w:val="22"/>
                <w:color w:val="auto"/>
                <w:w w:val="86"/>
              </w:rPr>
              <w:t>$85.54</w:t>
            </w:r>
          </w:p>
        </w:tc>
        <w:tc>
          <w:tcPr>
            <w:tcW w:w="1040" w:type="dxa"/>
            <w:vAlign w:val="bottom"/>
            <w:tcBorders>
              <w:bottom w:val="single" w:sz="8" w:color="auto"/>
              <w:right w:val="single" w:sz="8" w:color="auto"/>
            </w:tcBorders>
          </w:tcPr>
          <w:p>
            <w:pPr>
              <w:spacing w:after="0"/>
              <w:rPr>
                <w:sz w:val="24"/>
                <w:szCs w:val="24"/>
                <w:color w:val="auto"/>
              </w:rPr>
            </w:pPr>
          </w:p>
        </w:tc>
        <w:tc>
          <w:tcPr>
            <w:tcW w:w="310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22"/>
                <w:szCs w:val="22"/>
                <w:color w:val="auto"/>
                <w:w w:val="88"/>
              </w:rPr>
              <w:t>$747,394.75</w:t>
            </w:r>
          </w:p>
        </w:tc>
        <w:tc>
          <w:tcPr>
            <w:tcW w:w="0" w:type="dxa"/>
            <w:vAlign w:val="bottom"/>
          </w:tcPr>
          <w:p>
            <w:pPr>
              <w:spacing w:after="0"/>
              <w:rPr>
                <w:sz w:val="1"/>
                <w:szCs w:val="1"/>
                <w:color w:val="auto"/>
              </w:rPr>
            </w:pPr>
          </w:p>
        </w:tc>
      </w:tr>
    </w:tbl>
    <w:p>
      <w:pPr>
        <w:spacing w:after="0" w:line="249" w:lineRule="exact"/>
        <w:rPr>
          <w:sz w:val="20"/>
          <w:szCs w:val="20"/>
          <w:color w:val="auto"/>
        </w:rPr>
      </w:pPr>
    </w:p>
    <w:p>
      <w:pPr>
        <w:jc w:val="both"/>
        <w:ind w:right="20"/>
        <w:spacing w:after="0" w:line="263" w:lineRule="auto"/>
        <w:rPr>
          <w:sz w:val="20"/>
          <w:szCs w:val="20"/>
          <w:color w:val="auto"/>
        </w:rPr>
      </w:pPr>
      <w:r>
        <w:rPr>
          <w:rFonts w:ascii="Arial" w:cs="Arial" w:eastAsia="Arial" w:hAnsi="Arial"/>
          <w:sz w:val="21"/>
          <w:szCs w:val="21"/>
          <w:color w:val="auto"/>
        </w:rPr>
        <w:t>Base Rent shall be paid in advance on the first day of each month of the Term, except that Subtenant shall pay one (1) month’s Base Rent (i.e., $664,050.00) to Sublandlord upon execution and delivery of this Sublease to Sublandlord; said pre-paid Base Rent will be applied to the first (1st) full month’s Base Rent due and payable hereunder following the Abatement Period (defined below). If the Sublease Term does not begin on the first day of a calendar month or end on the last day of a month, the Base Rent and Additional Rent (hereinafter defined) for any partial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60"/>
          </w:cols>
          <w:pgMar w:left="320" w:top="1427" w:right="319" w:bottom="1440" w:gutter="0" w:footer="0" w:header="0"/>
        </w:sectPr>
      </w:pPr>
    </w:p>
    <w:bookmarkStart w:id="534" w:name="page535"/>
    <w:bookmarkEnd w:id="534"/>
    <w:p>
      <w:pPr>
        <w:jc w:val="both"/>
        <w:spacing w:after="0" w:line="248" w:lineRule="auto"/>
        <w:rPr>
          <w:sz w:val="20"/>
          <w:szCs w:val="20"/>
          <w:color w:val="auto"/>
        </w:rPr>
      </w:pPr>
      <w:r>
        <w:rPr>
          <w:rFonts w:ascii="Arial" w:cs="Arial" w:eastAsia="Arial" w:hAnsi="Arial"/>
          <w:sz w:val="22"/>
          <w:szCs w:val="22"/>
          <w:color w:val="auto"/>
        </w:rPr>
        <w:t>month shall be prorated by multiplying the monthly Base Rent and Additional Rent by a fraction, the numerator of which is the number of days of the partial month included in the Sublease Term and the denominator of which is the total number of days in the full calendar month. All Rent (hereinafter defined) shall be payable in lawful money of the United States by electronic funds transfer, ACH or wire transfer to an account designated by Sublandlord, or by regular bank check of Subtenant, to Sublandlord at the following address:</w:t>
      </w:r>
    </w:p>
    <w:p>
      <w:pPr>
        <w:spacing w:after="0" w:line="13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Twitter, Inc.</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 Portfolio Solutions Group-Twitter</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Dept. #10149</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P.O. Box 87618</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Chicago, Illinois 60680-0618</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or to such other persons or at such other places as Sublandlord may designate in writing.</w:t>
      </w:r>
    </w:p>
    <w:p>
      <w:pPr>
        <w:spacing w:after="0" w:line="166" w:lineRule="exact"/>
        <w:rPr>
          <w:sz w:val="20"/>
          <w:szCs w:val="20"/>
          <w:color w:val="auto"/>
        </w:rPr>
      </w:pPr>
    </w:p>
    <w:p>
      <w:pPr>
        <w:jc w:val="both"/>
        <w:ind w:firstLine="1952"/>
        <w:spacing w:after="0" w:line="288" w:lineRule="auto"/>
        <w:tabs>
          <w:tab w:leader="none" w:pos="2424" w:val="left"/>
        </w:tabs>
        <w:numPr>
          <w:ilvl w:val="1"/>
          <w:numId w:val="508"/>
        </w:numPr>
        <w:rPr>
          <w:rFonts w:ascii="Arial" w:cs="Arial" w:eastAsia="Arial" w:hAnsi="Arial"/>
          <w:sz w:val="19"/>
          <w:szCs w:val="19"/>
          <w:color w:val="auto"/>
        </w:rPr>
      </w:pPr>
      <w:r>
        <w:rPr>
          <w:rFonts w:ascii="Arial" w:cs="Arial" w:eastAsia="Arial" w:hAnsi="Arial"/>
          <w:sz w:val="19"/>
          <w:szCs w:val="19"/>
          <w:u w:val="single" w:color="auto"/>
          <w:color w:val="auto"/>
        </w:rPr>
        <w:t>Abatement</w:t>
      </w:r>
      <w:r>
        <w:rPr>
          <w:rFonts w:ascii="Arial" w:cs="Arial" w:eastAsia="Arial" w:hAnsi="Arial"/>
          <w:sz w:val="19"/>
          <w:szCs w:val="19"/>
          <w:color w:val="auto"/>
        </w:rPr>
        <w:t>. Notwithstanding anything in Section 3(a)(i) above to the contrary, so long as Subtenant is not in Default, Subtenant shall be entitled to an abatement of Base Rent for the first (1st) full calendar month (but not any partial calendar month) of the Term (the “</w:t>
      </w:r>
      <w:r>
        <w:rPr>
          <w:rFonts w:ascii="Arial" w:cs="Arial" w:eastAsia="Arial" w:hAnsi="Arial"/>
          <w:sz w:val="19"/>
          <w:szCs w:val="19"/>
          <w:b w:val="1"/>
          <w:bCs w:val="1"/>
          <w:color w:val="auto"/>
        </w:rPr>
        <w:t>Abatement Period</w:t>
      </w:r>
      <w:r>
        <w:rPr>
          <w:rFonts w:ascii="Arial" w:cs="Arial" w:eastAsia="Arial" w:hAnsi="Arial"/>
          <w:sz w:val="19"/>
          <w:szCs w:val="19"/>
          <w:color w:val="auto"/>
        </w:rPr>
        <w:t>”). The total amount of Base Rent abated during the Abatement Period, in the amount of $664,050.00 is referred to herein as the “</w:t>
      </w:r>
      <w:r>
        <w:rPr>
          <w:rFonts w:ascii="Arial" w:cs="Arial" w:eastAsia="Arial" w:hAnsi="Arial"/>
          <w:sz w:val="19"/>
          <w:szCs w:val="19"/>
          <w:b w:val="1"/>
          <w:bCs w:val="1"/>
          <w:color w:val="auto"/>
        </w:rPr>
        <w:t>Abated Rent</w:t>
      </w:r>
      <w:r>
        <w:rPr>
          <w:rFonts w:ascii="Arial" w:cs="Arial" w:eastAsia="Arial" w:hAnsi="Arial"/>
          <w:sz w:val="19"/>
          <w:szCs w:val="19"/>
          <w:color w:val="auto"/>
        </w:rPr>
        <w:t>”. If Subtenant is in Default at any time during the Sublease Term, then (x) if such Default occurs prior to the expiration of the Abatement Period, there will be no further Abatement of Base Rent pursuant to this Section 3(a)(ii) and (y) at Sublandlord’s option, all then-unamortized Abated Rent (assuming amortization of all Abated Rent on a straight-line basis over the Sublease Term) shall immediately become due and payable. The payment by Subtenant of the Abated Rent in the event of a Default shall not limit or affect any of Sublandlord’s other rights, pursuant to this Sublease or at law or in equity. During the Abatement Period, only Base Rent shall be abated, and all other costs and charges specified in this Sublease shall remain as due and payable pursuant to the provisions of this Sublease.</w:t>
      </w:r>
    </w:p>
    <w:p>
      <w:pPr>
        <w:spacing w:after="0" w:line="105" w:lineRule="exact"/>
        <w:rPr>
          <w:rFonts w:ascii="Arial" w:cs="Arial" w:eastAsia="Arial" w:hAnsi="Arial"/>
          <w:sz w:val="19"/>
          <w:szCs w:val="19"/>
          <w:color w:val="auto"/>
        </w:rPr>
      </w:pPr>
    </w:p>
    <w:p>
      <w:pPr>
        <w:ind w:left="1780" w:hanging="476"/>
        <w:spacing w:after="0"/>
        <w:tabs>
          <w:tab w:leader="none" w:pos="1780" w:val="left"/>
        </w:tabs>
        <w:numPr>
          <w:ilvl w:val="0"/>
          <w:numId w:val="509"/>
        </w:numPr>
        <w:rPr>
          <w:rFonts w:ascii="Arial" w:cs="Arial" w:eastAsia="Arial" w:hAnsi="Arial"/>
          <w:sz w:val="22"/>
          <w:szCs w:val="22"/>
          <w:color w:val="auto"/>
        </w:rPr>
      </w:pPr>
      <w:r>
        <w:rPr>
          <w:rFonts w:ascii="Arial" w:cs="Arial" w:eastAsia="Arial" w:hAnsi="Arial"/>
          <w:sz w:val="22"/>
          <w:szCs w:val="22"/>
          <w:u w:val="single" w:color="auto"/>
          <w:color w:val="auto"/>
        </w:rPr>
        <w:t>Operating Costs</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ind w:firstLine="1952"/>
        <w:spacing w:after="0" w:line="263" w:lineRule="auto"/>
        <w:tabs>
          <w:tab w:leader="none" w:pos="2485" w:val="left"/>
        </w:tabs>
        <w:numPr>
          <w:ilvl w:val="1"/>
          <w:numId w:val="509"/>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Sublease and in addition to the terms defined elsewhere in this Sublease, the following terms shall have the meanings set forth below:</w:t>
      </w:r>
    </w:p>
    <w:p>
      <w:pPr>
        <w:spacing w:after="0" w:line="114" w:lineRule="exact"/>
        <w:rPr>
          <w:rFonts w:ascii="Arial" w:cs="Arial" w:eastAsia="Arial" w:hAnsi="Arial"/>
          <w:sz w:val="22"/>
          <w:szCs w:val="22"/>
          <w:color w:val="auto"/>
        </w:rPr>
      </w:pPr>
    </w:p>
    <w:p>
      <w:pPr>
        <w:ind w:left="3060" w:hanging="460"/>
        <w:spacing w:after="0"/>
        <w:tabs>
          <w:tab w:leader="none" w:pos="3060" w:val="left"/>
        </w:tabs>
        <w:numPr>
          <w:ilvl w:val="2"/>
          <w:numId w:val="509"/>
        </w:numPr>
        <w:rPr>
          <w:rFonts w:ascii="Arial" w:cs="Arial" w:eastAsia="Arial" w:hAnsi="Arial"/>
          <w:sz w:val="22"/>
          <w:szCs w:val="22"/>
          <w:color w:val="auto"/>
        </w:rPr>
      </w:pPr>
      <w:r>
        <w:rPr>
          <w:rFonts w:ascii="Arial" w:cs="Arial" w:eastAsia="Arial" w:hAnsi="Arial"/>
          <w:sz w:val="22"/>
          <w:szCs w:val="22"/>
          <w:u w:val="single" w:color="auto"/>
          <w:color w:val="auto"/>
        </w:rPr>
        <w:t>“</w:t>
      </w:r>
      <w:r>
        <w:rPr>
          <w:rFonts w:ascii="Arial" w:cs="Arial" w:eastAsia="Arial" w:hAnsi="Arial"/>
          <w:sz w:val="22"/>
          <w:szCs w:val="22"/>
          <w:b w:val="1"/>
          <w:bCs w:val="1"/>
          <w:u w:val="single" w:color="auto"/>
          <w:color w:val="auto"/>
        </w:rPr>
        <w:t>Additional Rent</w:t>
      </w:r>
      <w:r>
        <w:rPr>
          <w:rFonts w:ascii="Arial" w:cs="Arial" w:eastAsia="Arial" w:hAnsi="Arial"/>
          <w:sz w:val="22"/>
          <w:szCs w:val="22"/>
          <w:u w:val="single" w:color="auto"/>
          <w:color w:val="auto"/>
        </w:rPr>
        <w:t>”</w:t>
      </w:r>
      <w:r>
        <w:rPr>
          <w:rFonts w:ascii="Arial" w:cs="Arial" w:eastAsia="Arial" w:hAnsi="Arial"/>
          <w:sz w:val="22"/>
          <w:szCs w:val="22"/>
          <w:color w:val="auto"/>
        </w:rPr>
        <w:t xml:space="preserve"> shall mean the sums payable pursuant to Section 3.2(b) below.</w:t>
      </w:r>
    </w:p>
    <w:p>
      <w:pPr>
        <w:spacing w:after="0" w:line="165" w:lineRule="exact"/>
        <w:rPr>
          <w:rFonts w:ascii="Arial" w:cs="Arial" w:eastAsia="Arial" w:hAnsi="Arial"/>
          <w:sz w:val="22"/>
          <w:szCs w:val="22"/>
          <w:color w:val="auto"/>
        </w:rPr>
      </w:pPr>
    </w:p>
    <w:p>
      <w:pPr>
        <w:ind w:right="20" w:firstLine="2600"/>
        <w:spacing w:after="0" w:line="269" w:lineRule="auto"/>
        <w:tabs>
          <w:tab w:leader="none" w:pos="3249" w:val="left"/>
        </w:tabs>
        <w:numPr>
          <w:ilvl w:val="2"/>
          <w:numId w:val="509"/>
        </w:numPr>
        <w:rPr>
          <w:rFonts w:ascii="Arial" w:cs="Arial" w:eastAsia="Arial" w:hAnsi="Arial"/>
          <w:sz w:val="22"/>
          <w:szCs w:val="22"/>
          <w:color w:val="auto"/>
        </w:rPr>
      </w:pPr>
      <w:r>
        <w:rPr>
          <w:rFonts w:ascii="Arial" w:cs="Arial" w:eastAsia="Arial" w:hAnsi="Arial"/>
          <w:sz w:val="22"/>
          <w:szCs w:val="22"/>
          <w:u w:val="single" w:color="auto"/>
          <w:color w:val="auto"/>
        </w:rPr>
        <w:t>“</w:t>
      </w:r>
      <w:r>
        <w:rPr>
          <w:rFonts w:ascii="Arial" w:cs="Arial" w:eastAsia="Arial" w:hAnsi="Arial"/>
          <w:sz w:val="22"/>
          <w:szCs w:val="22"/>
          <w:b w:val="1"/>
          <w:bCs w:val="1"/>
          <w:u w:val="single" w:color="auto"/>
          <w:color w:val="auto"/>
        </w:rPr>
        <w:t>Base Subleased Premises Operating Costs</w:t>
      </w:r>
      <w:r>
        <w:rPr>
          <w:rFonts w:ascii="Arial" w:cs="Arial" w:eastAsia="Arial" w:hAnsi="Arial"/>
          <w:sz w:val="22"/>
          <w:szCs w:val="22"/>
          <w:color w:val="auto"/>
        </w:rPr>
        <w:t>” shall mean Operating Costs payable by Sublandlord to Landlord for the Master Lease Premises during the Base Year.</w:t>
      </w:r>
    </w:p>
    <w:p>
      <w:pPr>
        <w:spacing w:after="0" w:line="107" w:lineRule="exact"/>
        <w:rPr>
          <w:rFonts w:ascii="Arial" w:cs="Arial" w:eastAsia="Arial" w:hAnsi="Arial"/>
          <w:sz w:val="22"/>
          <w:szCs w:val="22"/>
          <w:color w:val="auto"/>
        </w:rPr>
      </w:pPr>
    </w:p>
    <w:p>
      <w:pPr>
        <w:ind w:left="3060" w:hanging="460"/>
        <w:spacing w:after="0"/>
        <w:tabs>
          <w:tab w:leader="none" w:pos="3060" w:val="left"/>
        </w:tabs>
        <w:numPr>
          <w:ilvl w:val="2"/>
          <w:numId w:val="509"/>
        </w:numPr>
        <w:rPr>
          <w:rFonts w:ascii="Arial" w:cs="Arial" w:eastAsia="Arial" w:hAnsi="Arial"/>
          <w:sz w:val="22"/>
          <w:szCs w:val="22"/>
          <w:color w:val="auto"/>
        </w:rPr>
      </w:pPr>
      <w:r>
        <w:rPr>
          <w:rFonts w:ascii="Arial" w:cs="Arial" w:eastAsia="Arial" w:hAnsi="Arial"/>
          <w:sz w:val="22"/>
          <w:szCs w:val="22"/>
          <w:u w:val="single" w:color="auto"/>
          <w:color w:val="auto"/>
        </w:rPr>
        <w:t>“</w:t>
      </w:r>
      <w:r>
        <w:rPr>
          <w:rFonts w:ascii="Arial" w:cs="Arial" w:eastAsia="Arial" w:hAnsi="Arial"/>
          <w:sz w:val="22"/>
          <w:szCs w:val="22"/>
          <w:b w:val="1"/>
          <w:bCs w:val="1"/>
          <w:u w:val="single" w:color="auto"/>
          <w:color w:val="auto"/>
        </w:rPr>
        <w:t>Base Year</w:t>
      </w:r>
      <w:r>
        <w:rPr>
          <w:rFonts w:ascii="Arial" w:cs="Arial" w:eastAsia="Arial" w:hAnsi="Arial"/>
          <w:sz w:val="22"/>
          <w:szCs w:val="22"/>
          <w:u w:val="single" w:color="auto"/>
          <w:color w:val="auto"/>
        </w:rPr>
        <w:t>”</w:t>
      </w:r>
      <w:r>
        <w:rPr>
          <w:rFonts w:ascii="Arial" w:cs="Arial" w:eastAsia="Arial" w:hAnsi="Arial"/>
          <w:sz w:val="22"/>
          <w:szCs w:val="22"/>
          <w:color w:val="auto"/>
        </w:rPr>
        <w:t xml:space="preserve"> shall mean the calendar year 2017.</w:t>
      </w:r>
    </w:p>
    <w:p>
      <w:pPr>
        <w:spacing w:after="0" w:line="165" w:lineRule="exact"/>
        <w:rPr>
          <w:rFonts w:ascii="Arial" w:cs="Arial" w:eastAsia="Arial" w:hAnsi="Arial"/>
          <w:sz w:val="22"/>
          <w:szCs w:val="22"/>
          <w:color w:val="auto"/>
        </w:rPr>
      </w:pPr>
    </w:p>
    <w:p>
      <w:pPr>
        <w:ind w:firstLine="2600"/>
        <w:spacing w:after="0" w:line="349" w:lineRule="auto"/>
        <w:tabs>
          <w:tab w:leader="none" w:pos="3141" w:val="left"/>
        </w:tabs>
        <w:numPr>
          <w:ilvl w:val="2"/>
          <w:numId w:val="509"/>
        </w:numPr>
        <w:rPr>
          <w:rFonts w:ascii="Arial" w:cs="Arial" w:eastAsia="Arial" w:hAnsi="Arial"/>
          <w:sz w:val="19"/>
          <w:szCs w:val="19"/>
          <w:color w:val="auto"/>
        </w:rPr>
      </w:pPr>
      <w:r>
        <w:rPr>
          <w:rFonts w:ascii="Arial" w:cs="Arial" w:eastAsia="Arial" w:hAnsi="Arial"/>
          <w:sz w:val="19"/>
          <w:szCs w:val="19"/>
          <w:u w:val="single" w:color="auto"/>
          <w:color w:val="auto"/>
        </w:rPr>
        <w:t>“</w:t>
      </w:r>
      <w:r>
        <w:rPr>
          <w:rFonts w:ascii="Arial" w:cs="Arial" w:eastAsia="Arial" w:hAnsi="Arial"/>
          <w:sz w:val="19"/>
          <w:szCs w:val="19"/>
          <w:b w:val="1"/>
          <w:bCs w:val="1"/>
          <w:u w:val="single" w:color="auto"/>
          <w:color w:val="auto"/>
        </w:rPr>
        <w:t>Operating Costs</w:t>
      </w:r>
      <w:r>
        <w:rPr>
          <w:rFonts w:ascii="Arial" w:cs="Arial" w:eastAsia="Arial" w:hAnsi="Arial"/>
          <w:sz w:val="19"/>
          <w:szCs w:val="19"/>
          <w:u w:val="single" w:color="auto"/>
          <w:color w:val="auto"/>
        </w:rPr>
        <w:t>”</w:t>
      </w:r>
      <w:r>
        <w:rPr>
          <w:rFonts w:ascii="Arial" w:cs="Arial" w:eastAsia="Arial" w:hAnsi="Arial"/>
          <w:sz w:val="19"/>
          <w:szCs w:val="19"/>
          <w:color w:val="auto"/>
        </w:rPr>
        <w:t xml:space="preserve"> shall mean the aggregate of Operating Expenses and Tax Expenses (as such terms are defined in the Master Lease) charged by Landlord to Sublandlord pursuant to the Master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7" w:right="339" w:bottom="1440" w:gutter="0" w:footer="0" w:header="0"/>
        </w:sectPr>
      </w:pPr>
    </w:p>
    <w:bookmarkStart w:id="535" w:name="page536"/>
    <w:bookmarkEnd w:id="535"/>
    <w:p>
      <w:pPr>
        <w:jc w:val="both"/>
        <w:ind w:firstLine="2600"/>
        <w:spacing w:after="0" w:line="256" w:lineRule="auto"/>
        <w:tabs>
          <w:tab w:leader="none" w:pos="3114" w:val="left"/>
        </w:tabs>
        <w:numPr>
          <w:ilvl w:val="2"/>
          <w:numId w:val="510"/>
        </w:numPr>
        <w:rPr>
          <w:rFonts w:ascii="Arial" w:cs="Arial" w:eastAsia="Arial" w:hAnsi="Arial"/>
          <w:sz w:val="22"/>
          <w:szCs w:val="22"/>
          <w:color w:val="auto"/>
        </w:rPr>
      </w:pPr>
      <w:r>
        <w:rPr>
          <w:rFonts w:ascii="Arial" w:cs="Arial" w:eastAsia="Arial" w:hAnsi="Arial"/>
          <w:sz w:val="22"/>
          <w:szCs w:val="22"/>
          <w:u w:val="single" w:color="auto"/>
          <w:color w:val="auto"/>
        </w:rPr>
        <w:t>“</w:t>
      </w:r>
      <w:r>
        <w:rPr>
          <w:rFonts w:ascii="Arial" w:cs="Arial" w:eastAsia="Arial" w:hAnsi="Arial"/>
          <w:sz w:val="22"/>
          <w:szCs w:val="22"/>
          <w:b w:val="1"/>
          <w:bCs w:val="1"/>
          <w:u w:val="single" w:color="auto"/>
          <w:color w:val="auto"/>
        </w:rPr>
        <w:t>Rent</w:t>
      </w:r>
      <w:r>
        <w:rPr>
          <w:rFonts w:ascii="Arial" w:cs="Arial" w:eastAsia="Arial" w:hAnsi="Arial"/>
          <w:sz w:val="22"/>
          <w:szCs w:val="22"/>
          <w:u w:val="single" w:color="auto"/>
          <w:color w:val="auto"/>
        </w:rPr>
        <w:t>”</w:t>
      </w:r>
      <w:r>
        <w:rPr>
          <w:rFonts w:ascii="Arial" w:cs="Arial" w:eastAsia="Arial" w:hAnsi="Arial"/>
          <w:sz w:val="22"/>
          <w:szCs w:val="22"/>
          <w:color w:val="auto"/>
        </w:rPr>
        <w:t xml:space="preserve"> shall mean, collectively, Base Rent, Additional Rent, and all other sums payable by Subtenant to Sublandlord under this Sublease, whether or not expressly designated as “rent”, all of which are deemed and designated as Rent pursuant to the terms of this Sublease.</w:t>
      </w:r>
    </w:p>
    <w:p>
      <w:pPr>
        <w:spacing w:after="0" w:line="122" w:lineRule="exact"/>
        <w:rPr>
          <w:rFonts w:ascii="Arial" w:cs="Arial" w:eastAsia="Arial" w:hAnsi="Arial"/>
          <w:sz w:val="22"/>
          <w:szCs w:val="22"/>
          <w:color w:val="auto"/>
        </w:rPr>
      </w:pPr>
    </w:p>
    <w:p>
      <w:pPr>
        <w:jc w:val="both"/>
        <w:ind w:firstLine="2600"/>
        <w:spacing w:after="0" w:line="274" w:lineRule="auto"/>
        <w:tabs>
          <w:tab w:leader="none" w:pos="3222" w:val="left"/>
        </w:tabs>
        <w:numPr>
          <w:ilvl w:val="2"/>
          <w:numId w:val="510"/>
        </w:numPr>
        <w:rPr>
          <w:rFonts w:ascii="Arial" w:cs="Arial" w:eastAsia="Arial" w:hAnsi="Arial"/>
          <w:sz w:val="21"/>
          <w:szCs w:val="21"/>
          <w:color w:val="auto"/>
        </w:rPr>
      </w:pPr>
      <w:r>
        <w:rPr>
          <w:rFonts w:ascii="Arial" w:cs="Arial" w:eastAsia="Arial" w:hAnsi="Arial"/>
          <w:sz w:val="21"/>
          <w:szCs w:val="21"/>
          <w:u w:val="single" w:color="auto"/>
          <w:color w:val="auto"/>
        </w:rPr>
        <w:t>“</w:t>
      </w:r>
      <w:r>
        <w:rPr>
          <w:rFonts w:ascii="Arial" w:cs="Arial" w:eastAsia="Arial" w:hAnsi="Arial"/>
          <w:sz w:val="21"/>
          <w:szCs w:val="21"/>
          <w:b w:val="1"/>
          <w:bCs w:val="1"/>
          <w:u w:val="single" w:color="auto"/>
          <w:color w:val="auto"/>
        </w:rPr>
        <w:t>Subtenant’s Percentage Share</w:t>
      </w:r>
      <w:r>
        <w:rPr>
          <w:rFonts w:ascii="Arial" w:cs="Arial" w:eastAsia="Arial" w:hAnsi="Arial"/>
          <w:sz w:val="21"/>
          <w:szCs w:val="21"/>
          <w:u w:val="single" w:color="auto"/>
          <w:color w:val="auto"/>
        </w:rPr>
        <w:t>”</w:t>
      </w:r>
      <w:r>
        <w:rPr>
          <w:rFonts w:ascii="Arial" w:cs="Arial" w:eastAsia="Arial" w:hAnsi="Arial"/>
          <w:sz w:val="21"/>
          <w:szCs w:val="21"/>
          <w:color w:val="auto"/>
        </w:rPr>
        <w:t xml:space="preserve"> shall initially mean 33.49% (i.e., 104,850/313,063) of Operating Costs. If Subtenant timely exercises the Option to Expand, then on the Expansion Date, Subtenant’s Percentage Share shall be increased to reflect the addition of the Expansion Space to the Subleased Premises.</w:t>
      </w:r>
    </w:p>
    <w:p>
      <w:pPr>
        <w:spacing w:after="0" w:line="110" w:lineRule="exact"/>
        <w:rPr>
          <w:rFonts w:ascii="Arial" w:cs="Arial" w:eastAsia="Arial" w:hAnsi="Arial"/>
          <w:sz w:val="21"/>
          <w:szCs w:val="21"/>
          <w:color w:val="auto"/>
        </w:rPr>
      </w:pPr>
    </w:p>
    <w:p>
      <w:pPr>
        <w:jc w:val="both"/>
        <w:ind w:firstLine="1952"/>
        <w:spacing w:after="0" w:line="284" w:lineRule="auto"/>
        <w:tabs>
          <w:tab w:leader="none" w:pos="2532" w:val="left"/>
        </w:tabs>
        <w:numPr>
          <w:ilvl w:val="1"/>
          <w:numId w:val="511"/>
        </w:numPr>
        <w:rPr>
          <w:rFonts w:ascii="Arial" w:cs="Arial" w:eastAsia="Arial" w:hAnsi="Arial"/>
          <w:sz w:val="19"/>
          <w:szCs w:val="19"/>
          <w:color w:val="auto"/>
        </w:rPr>
      </w:pPr>
      <w:r>
        <w:rPr>
          <w:rFonts w:ascii="Arial" w:cs="Arial" w:eastAsia="Arial" w:hAnsi="Arial"/>
          <w:sz w:val="19"/>
          <w:szCs w:val="19"/>
          <w:u w:val="single" w:color="auto"/>
          <w:color w:val="auto"/>
        </w:rPr>
        <w:t>Payment of Additional Rent</w:t>
      </w:r>
      <w:r>
        <w:rPr>
          <w:rFonts w:ascii="Arial" w:cs="Arial" w:eastAsia="Arial" w:hAnsi="Arial"/>
          <w:sz w:val="19"/>
          <w:szCs w:val="19"/>
          <w:color w:val="auto"/>
        </w:rPr>
        <w:t>. In addition to the Base Rent payable hereunder, from and after the expiration of the Base Year, for each calendar year of the Sublease Term, Subtenant shall pay, as Additional Rent, Subtenant’s Percentage Share of the amount by which Operating Costs payable by Sublandlord for the then current calendar year exceed Base Operating Costs. Sublandlord shall provide Subtenant with written notice of Sublandlord’s estimate of the amount of Additional Rent per month payable pursuant to this Section 3(b)(ii) for each calendar year after the Base Year promptly following the Sublandlord’s receipt of Landlord’s estimate of the Operating Costs payable under the Master Lease. Thereafter, the Additional Rent payable pursuant to this Section 3(b)(ii) shall be determined and adjusted in accordance with the provisions of Section 3(b)</w:t>
      </w:r>
    </w:p>
    <w:p>
      <w:pPr>
        <w:spacing w:after="0" w:line="3" w:lineRule="exact"/>
        <w:rPr>
          <w:rFonts w:ascii="Arial" w:cs="Arial" w:eastAsia="Arial" w:hAnsi="Arial"/>
          <w:sz w:val="19"/>
          <w:szCs w:val="19"/>
          <w:color w:val="auto"/>
        </w:rPr>
      </w:pPr>
    </w:p>
    <w:p>
      <w:pPr>
        <w:ind w:left="380" w:hanging="372"/>
        <w:spacing w:after="0"/>
        <w:tabs>
          <w:tab w:leader="none" w:pos="380" w:val="left"/>
        </w:tabs>
        <w:numPr>
          <w:ilvl w:val="0"/>
          <w:numId w:val="512"/>
        </w:numPr>
        <w:rPr>
          <w:rFonts w:ascii="Arial" w:cs="Arial" w:eastAsia="Arial" w:hAnsi="Arial"/>
          <w:sz w:val="22"/>
          <w:szCs w:val="22"/>
          <w:color w:val="auto"/>
        </w:rPr>
      </w:pPr>
      <w:r>
        <w:rPr>
          <w:rFonts w:ascii="Arial" w:cs="Arial" w:eastAsia="Arial" w:hAnsi="Arial"/>
          <w:sz w:val="22"/>
          <w:szCs w:val="22"/>
          <w:color w:val="auto"/>
        </w:rPr>
        <w:t>below.</w:t>
      </w:r>
    </w:p>
    <w:p>
      <w:pPr>
        <w:spacing w:after="0" w:line="147" w:lineRule="exact"/>
        <w:rPr>
          <w:rFonts w:ascii="Arial" w:cs="Arial" w:eastAsia="Arial" w:hAnsi="Arial"/>
          <w:sz w:val="22"/>
          <w:szCs w:val="22"/>
          <w:color w:val="auto"/>
        </w:rPr>
      </w:pPr>
    </w:p>
    <w:p>
      <w:pPr>
        <w:ind w:firstLine="1952"/>
        <w:spacing w:after="0" w:line="263" w:lineRule="auto"/>
        <w:tabs>
          <w:tab w:leader="none" w:pos="2484" w:val="left"/>
        </w:tabs>
        <w:numPr>
          <w:ilvl w:val="1"/>
          <w:numId w:val="512"/>
        </w:numPr>
        <w:rPr>
          <w:rFonts w:ascii="Arial" w:cs="Arial" w:eastAsia="Arial" w:hAnsi="Arial"/>
          <w:sz w:val="22"/>
          <w:szCs w:val="22"/>
          <w:color w:val="auto"/>
        </w:rPr>
      </w:pPr>
      <w:r>
        <w:rPr>
          <w:rFonts w:ascii="Arial" w:cs="Arial" w:eastAsia="Arial" w:hAnsi="Arial"/>
          <w:sz w:val="22"/>
          <w:szCs w:val="22"/>
          <w:u w:val="single" w:color="auto"/>
          <w:color w:val="auto"/>
        </w:rPr>
        <w:t>Procedure</w:t>
      </w:r>
      <w:r>
        <w:rPr>
          <w:rFonts w:ascii="Arial" w:cs="Arial" w:eastAsia="Arial" w:hAnsi="Arial"/>
          <w:sz w:val="22"/>
          <w:szCs w:val="22"/>
          <w:color w:val="auto"/>
        </w:rPr>
        <w:t>. The determination and adjustment of Additional Rent payable hereunder shall be made in accordance with the following procedures:</w:t>
      </w:r>
    </w:p>
    <w:p>
      <w:pPr>
        <w:spacing w:after="0" w:line="120" w:lineRule="exact"/>
        <w:rPr>
          <w:rFonts w:ascii="Arial" w:cs="Arial" w:eastAsia="Arial" w:hAnsi="Arial"/>
          <w:sz w:val="22"/>
          <w:szCs w:val="22"/>
          <w:color w:val="auto"/>
        </w:rPr>
      </w:pPr>
    </w:p>
    <w:p>
      <w:pPr>
        <w:jc w:val="both"/>
        <w:ind w:firstLine="2600"/>
        <w:spacing w:after="0" w:line="260" w:lineRule="auto"/>
        <w:tabs>
          <w:tab w:leader="none" w:pos="3154" w:val="left"/>
        </w:tabs>
        <w:numPr>
          <w:ilvl w:val="2"/>
          <w:numId w:val="512"/>
        </w:numPr>
        <w:rPr>
          <w:rFonts w:ascii="Arial" w:cs="Arial" w:eastAsia="Arial" w:hAnsi="Arial"/>
          <w:sz w:val="21"/>
          <w:szCs w:val="21"/>
          <w:color w:val="auto"/>
        </w:rPr>
      </w:pPr>
      <w:r>
        <w:rPr>
          <w:rFonts w:ascii="Arial" w:cs="Arial" w:eastAsia="Arial" w:hAnsi="Arial"/>
          <w:sz w:val="21"/>
          <w:szCs w:val="21"/>
          <w:u w:val="single" w:color="auto"/>
          <w:color w:val="auto"/>
        </w:rPr>
        <w:t>Delivery of Estimate; Payment</w:t>
      </w:r>
      <w:r>
        <w:rPr>
          <w:rFonts w:ascii="Arial" w:cs="Arial" w:eastAsia="Arial" w:hAnsi="Arial"/>
          <w:sz w:val="21"/>
          <w:szCs w:val="21"/>
          <w:color w:val="auto"/>
        </w:rPr>
        <w:t>. Upon receipt of a statement from Landlord specifying the estimated Operating Costs to be charged to Sublandlord under the Master Lease with respect to each calendar year, or as soon after receipt of such statement as practicable, Sublandlord shall give Subtenant written notice of its estimate of Additional Rent payable hereunder for the ensuing calendar year, which estimate shall be prepared based on the estimate received from Landlord (as Landlord’s estimate may change from time to time), together with a copy of the statement received from Landlord. On or before the first day of each month during each calendar year, Subtenant shall pay to Sublandlord as Additional Rent one-twelfth (1/12th) of such estimated amount together with the Base Rent.</w:t>
      </w:r>
    </w:p>
    <w:p>
      <w:pPr>
        <w:spacing w:after="0" w:line="126" w:lineRule="exact"/>
        <w:rPr>
          <w:rFonts w:ascii="Arial" w:cs="Arial" w:eastAsia="Arial" w:hAnsi="Arial"/>
          <w:sz w:val="21"/>
          <w:szCs w:val="21"/>
          <w:color w:val="auto"/>
        </w:rPr>
      </w:pPr>
    </w:p>
    <w:p>
      <w:pPr>
        <w:jc w:val="both"/>
        <w:ind w:firstLine="2600"/>
        <w:spacing w:after="0" w:line="288" w:lineRule="auto"/>
        <w:tabs>
          <w:tab w:leader="none" w:pos="3208" w:val="left"/>
        </w:tabs>
        <w:numPr>
          <w:ilvl w:val="2"/>
          <w:numId w:val="512"/>
        </w:numPr>
        <w:rPr>
          <w:rFonts w:ascii="Arial" w:cs="Arial" w:eastAsia="Arial" w:hAnsi="Arial"/>
          <w:sz w:val="19"/>
          <w:szCs w:val="19"/>
          <w:color w:val="auto"/>
        </w:rPr>
      </w:pPr>
      <w:r>
        <w:rPr>
          <w:rFonts w:ascii="Arial" w:cs="Arial" w:eastAsia="Arial" w:hAnsi="Arial"/>
          <w:sz w:val="19"/>
          <w:szCs w:val="19"/>
          <w:u w:val="single" w:color="auto"/>
          <w:color w:val="auto"/>
        </w:rPr>
        <w:t>Sublandlord’s Failure to Deliver Estimate</w:t>
      </w:r>
      <w:r>
        <w:rPr>
          <w:rFonts w:ascii="Arial" w:cs="Arial" w:eastAsia="Arial" w:hAnsi="Arial"/>
          <w:sz w:val="19"/>
          <w:szCs w:val="19"/>
          <w:color w:val="auto"/>
        </w:rPr>
        <w:t>. In the event Sublandlord’s notice set forth in Subsection 3(b)(iii)(1) is not given on or before December 1 of the calendar year preceding the calendar year for which Sublandlord’s notice is applicable, as the case may be, then until the calendar month after such notice is delivered by Sublandlord, Subtenant shall continue to pay to Sublandlord monthly, during the ensuing calendar year, estimated payments equal to the amounts payable hereunder during the calendar year just ended. Upon receipt of any such post-December 1 notice Subtenant shall (1) commence as of the immediately following calendar month, and continue for the remainder of the calendar year, to pay to Sublandlord monthly such new estimated payments and (2) if the monthly installment of the new estimate of such Additional Rent is greater than the monthly installment of the estimate for the previous calendar year, pay to Sublandlord within thirty (30) days of the receipt of such notice an amount equal to the difference of such monthly installment multiplied by the number of full and partial calendar months of such year preceding the delivery of such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1" w:right="339" w:bottom="1440" w:gutter="0" w:footer="0" w:header="0"/>
        </w:sectPr>
      </w:pPr>
    </w:p>
    <w:bookmarkStart w:id="536" w:name="page537"/>
    <w:bookmarkEnd w:id="536"/>
    <w:p>
      <w:pPr>
        <w:jc w:val="both"/>
        <w:ind w:firstLine="1304"/>
        <w:spacing w:after="0" w:line="288" w:lineRule="auto"/>
        <w:tabs>
          <w:tab w:leader="none" w:pos="1779" w:val="left"/>
        </w:tabs>
        <w:numPr>
          <w:ilvl w:val="0"/>
          <w:numId w:val="513"/>
        </w:numPr>
        <w:rPr>
          <w:rFonts w:ascii="Arial" w:cs="Arial" w:eastAsia="Arial" w:hAnsi="Arial"/>
          <w:sz w:val="19"/>
          <w:szCs w:val="19"/>
          <w:color w:val="auto"/>
        </w:rPr>
      </w:pPr>
      <w:r>
        <w:rPr>
          <w:rFonts w:ascii="Arial" w:cs="Arial" w:eastAsia="Arial" w:hAnsi="Arial"/>
          <w:sz w:val="19"/>
          <w:szCs w:val="19"/>
          <w:u w:val="single" w:color="auto"/>
          <w:color w:val="auto"/>
        </w:rPr>
        <w:t>Year End Reconciliation</w:t>
      </w:r>
      <w:r>
        <w:rPr>
          <w:rFonts w:ascii="Arial" w:cs="Arial" w:eastAsia="Arial" w:hAnsi="Arial"/>
          <w:sz w:val="19"/>
          <w:szCs w:val="19"/>
          <w:color w:val="auto"/>
        </w:rPr>
        <w:t>. Following the receipt by Sublandlord of a final statement of Operating Costs from Landlord with respect to each calendar year, Sublandlord shall deliver to Subtenant a statement of the adjustment to be made pursuant to Section 3(b) above for the calendar year just ended, together with a copy of any corresponding Landlord’s Statement (as defined in the Master Lease) received by Sublandlord from Landlord (“</w:t>
      </w:r>
      <w:r>
        <w:rPr>
          <w:rFonts w:ascii="Arial" w:cs="Arial" w:eastAsia="Arial" w:hAnsi="Arial"/>
          <w:sz w:val="19"/>
          <w:szCs w:val="19"/>
          <w:b w:val="1"/>
          <w:bCs w:val="1"/>
          <w:color w:val="auto"/>
        </w:rPr>
        <w:t>Sublandlord’s Annual Statement</w:t>
      </w:r>
      <w:r>
        <w:rPr>
          <w:rFonts w:ascii="Arial" w:cs="Arial" w:eastAsia="Arial" w:hAnsi="Arial"/>
          <w:sz w:val="19"/>
          <w:szCs w:val="19"/>
          <w:color w:val="auto"/>
        </w:rPr>
        <w:t>”). If on the basis of such statement Subtenant owes an amount that is less than the estimated payments actually made by Subtenant for the calendar year just ended, Sublandlord shall credit such excess to the next payments of Rent coming due or, if the Sublease Term will expire before such credit offsets the full excess, refund any remaining excess to Subtenant within thirty (30) days after the expiration of the Sublease Term. If on the basis of such Sublandlord’s Annual Statement Subtenant owes an amount that is more than the estimated payments for the calendar year just ended previously made by Subtenant, Subtenant shall pay the deficiency to Sublandlord within thirty (30) days after delivery of the Sublandlord’s Annual Statement from Sublandlord to Subtenant.</w:t>
      </w:r>
    </w:p>
    <w:p>
      <w:pPr>
        <w:spacing w:after="0" w:line="105" w:lineRule="exact"/>
        <w:rPr>
          <w:rFonts w:ascii="Arial" w:cs="Arial" w:eastAsia="Arial" w:hAnsi="Arial"/>
          <w:sz w:val="19"/>
          <w:szCs w:val="19"/>
          <w:color w:val="auto"/>
        </w:rPr>
      </w:pPr>
    </w:p>
    <w:p>
      <w:pPr>
        <w:ind w:left="1780" w:hanging="476"/>
        <w:spacing w:after="0"/>
        <w:tabs>
          <w:tab w:leader="none" w:pos="1780" w:val="left"/>
        </w:tabs>
        <w:numPr>
          <w:ilvl w:val="0"/>
          <w:numId w:val="513"/>
        </w:numPr>
        <w:rPr>
          <w:rFonts w:ascii="Arial" w:cs="Arial" w:eastAsia="Arial" w:hAnsi="Arial"/>
          <w:sz w:val="22"/>
          <w:szCs w:val="22"/>
          <w:color w:val="auto"/>
        </w:rPr>
      </w:pPr>
      <w:r>
        <w:rPr>
          <w:rFonts w:ascii="Arial" w:cs="Arial" w:eastAsia="Arial" w:hAnsi="Arial"/>
          <w:sz w:val="22"/>
          <w:szCs w:val="22"/>
          <w:u w:val="single" w:color="auto"/>
          <w:color w:val="auto"/>
        </w:rPr>
        <w:t>Review of Operating Costs</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jc w:val="both"/>
        <w:ind w:firstLine="1952"/>
        <w:spacing w:after="0" w:line="289" w:lineRule="auto"/>
        <w:tabs>
          <w:tab w:leader="none" w:pos="2377" w:val="left"/>
        </w:tabs>
        <w:numPr>
          <w:ilvl w:val="1"/>
          <w:numId w:val="513"/>
        </w:numPr>
        <w:rPr>
          <w:rFonts w:ascii="Arial" w:cs="Arial" w:eastAsia="Arial" w:hAnsi="Arial"/>
          <w:sz w:val="19"/>
          <w:szCs w:val="19"/>
          <w:color w:val="auto"/>
        </w:rPr>
      </w:pPr>
      <w:r>
        <w:rPr>
          <w:rFonts w:ascii="Arial" w:cs="Arial" w:eastAsia="Arial" w:hAnsi="Arial"/>
          <w:sz w:val="19"/>
          <w:szCs w:val="19"/>
          <w:u w:val="single" w:color="auto"/>
          <w:color w:val="auto"/>
        </w:rPr>
        <w:t>Reliance on Landlord’s Calculations</w:t>
      </w:r>
      <w:r>
        <w:rPr>
          <w:rFonts w:ascii="Arial" w:cs="Arial" w:eastAsia="Arial" w:hAnsi="Arial"/>
          <w:sz w:val="19"/>
          <w:szCs w:val="19"/>
          <w:color w:val="auto"/>
        </w:rPr>
        <w:t>. In calculating Operating Costs payable hereunder by Subtenant, Sublandlord shall have the right to rely upon the calculations of Landlord made in determining Operating Expenses and Tax Expenses pursuant to the provisions of the Master Lease and Subtenant shall have no direct right to audit or review Landlord’s calculation of Operating Expenses and Tax Expenses; however, if Subtenant reasonably disputes an item on the Sublandlord’s Annual Statement within thirty (30) days after Subtenant’s receipt of Sublandlord’s Annual Statement, Sublandlord shall submit to, and reasonably pursue such item with, Landlord on Subtenant’s behalf; provided, however, that Subtenant shall bear any and all costs reasonably incurred by Sublandlord in connection with such efforts and Sublandlord shall not have any obligation to institute (x) the full audit procedure described in Paragraph 7.h of the Original Master Lease or (y) any legal action or proceeding on Subtenant’s behalf with respect to such disputed item.</w:t>
      </w:r>
    </w:p>
    <w:p>
      <w:pPr>
        <w:spacing w:after="0" w:line="102" w:lineRule="exact"/>
        <w:rPr>
          <w:rFonts w:ascii="Arial" w:cs="Arial" w:eastAsia="Arial" w:hAnsi="Arial"/>
          <w:sz w:val="19"/>
          <w:szCs w:val="19"/>
          <w:color w:val="auto"/>
        </w:rPr>
      </w:pPr>
    </w:p>
    <w:p>
      <w:pPr>
        <w:ind w:left="2440" w:hanging="488"/>
        <w:spacing w:after="0"/>
        <w:tabs>
          <w:tab w:leader="none" w:pos="2440" w:val="left"/>
        </w:tabs>
        <w:numPr>
          <w:ilvl w:val="1"/>
          <w:numId w:val="513"/>
        </w:numPr>
        <w:rPr>
          <w:rFonts w:ascii="Arial" w:cs="Arial" w:eastAsia="Arial" w:hAnsi="Arial"/>
          <w:sz w:val="22"/>
          <w:szCs w:val="22"/>
          <w:color w:val="auto"/>
        </w:rPr>
      </w:pPr>
      <w:r>
        <w:rPr>
          <w:rFonts w:ascii="Arial" w:cs="Arial" w:eastAsia="Arial" w:hAnsi="Arial"/>
          <w:sz w:val="22"/>
          <w:szCs w:val="22"/>
          <w:u w:val="single" w:color="auto"/>
          <w:color w:val="auto"/>
        </w:rPr>
        <w:t>Subtenant’s Right to Request Audit</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jc w:val="both"/>
        <w:ind w:firstLine="2600"/>
        <w:spacing w:after="0" w:line="287" w:lineRule="auto"/>
        <w:tabs>
          <w:tab w:leader="none" w:pos="3060" w:val="left"/>
        </w:tabs>
        <w:numPr>
          <w:ilvl w:val="2"/>
          <w:numId w:val="513"/>
        </w:numPr>
        <w:rPr>
          <w:rFonts w:ascii="Arial" w:cs="Arial" w:eastAsia="Arial" w:hAnsi="Arial"/>
          <w:sz w:val="19"/>
          <w:szCs w:val="19"/>
          <w:color w:val="auto"/>
        </w:rPr>
      </w:pPr>
      <w:r>
        <w:rPr>
          <w:rFonts w:ascii="Arial" w:cs="Arial" w:eastAsia="Arial" w:hAnsi="Arial"/>
          <w:sz w:val="19"/>
          <w:szCs w:val="19"/>
          <w:color w:val="auto"/>
        </w:rPr>
        <w:t>Notwithstanding the provisions of Section 3.2(d(i) above, provided Subtenant is not in Default hereunder and no notice of Default from Sublandlord to Subtenant is then currently outstanding and uncured, and further provided that Subtenant delivers Subtenant’s Audit Request Notice (defined below) at least thirty (30) days prior to the date of expiration of Sublandlord’s right to request a review of Landlord’s books and records pursuant to the provisions of Paragraph 7.h of the Original Master Lease, Subtenant shall have the right, to be exercised by written notice delivered to Sublandlord (“</w:t>
      </w:r>
      <w:r>
        <w:rPr>
          <w:rFonts w:ascii="Arial" w:cs="Arial" w:eastAsia="Arial" w:hAnsi="Arial"/>
          <w:sz w:val="19"/>
          <w:szCs w:val="19"/>
          <w:b w:val="1"/>
          <w:bCs w:val="1"/>
          <w:color w:val="auto"/>
        </w:rPr>
        <w:t>Subtenant’s Audit Request Notice</w:t>
      </w:r>
      <w:r>
        <w:rPr>
          <w:rFonts w:ascii="Arial" w:cs="Arial" w:eastAsia="Arial" w:hAnsi="Arial"/>
          <w:sz w:val="19"/>
          <w:szCs w:val="19"/>
          <w:color w:val="auto"/>
        </w:rPr>
        <w:t>”) certifying that Subtenant has determined, in good faith, that Landlord has overstated Operating Expenses or Tax Expenses (as said terms are defined in the Master Lease) in its statement upon which Sublandlord’s Annual Statement is based by more than fifteen percent (15%) and requesting that Sublandlord exercise its rights to review Landlord’s books and records regarding Operating Expenses and Tax Expenses as set forth in Paragraph 7.h of the Original Master Lease. Any Subtenant’s Audit Request Notice will set forth in reasonable detail the basis of Sublandlord’s contention that Landlord has so overstated Operating Expenses or Tax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7" w:right="339" w:bottom="1440" w:gutter="0" w:footer="0" w:header="0"/>
        </w:sectPr>
      </w:pPr>
    </w:p>
    <w:bookmarkStart w:id="537" w:name="page538"/>
    <w:bookmarkEnd w:id="537"/>
    <w:p>
      <w:pPr>
        <w:spacing w:after="0"/>
        <w:rPr>
          <w:sz w:val="20"/>
          <w:szCs w:val="20"/>
          <w:color w:val="auto"/>
        </w:rPr>
      </w:pPr>
      <w:r>
        <w:rPr>
          <w:rFonts w:ascii="Arial" w:cs="Arial" w:eastAsia="Arial" w:hAnsi="Arial"/>
          <w:sz w:val="19"/>
          <w:szCs w:val="19"/>
          <w:color w:val="auto"/>
        </w:rPr>
        <w:t>In such event, provided Sublandlord does not in good faith believe that Subtenant’s calculations as set forth in Subtenant’s Audit</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Request Notice are in error (and if Sublandlord so believes that Subtenant’s calculations are incorrect, Sublandlord shall specify</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the basis for such belief in a notice to Subtenant), Sublandlord will promptly exercise Sublandlord’s rights set forth in Paragraph</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7.h of the Original Master Lease. In the event of any such exercise by Sublandlord pursuant to the provisions of this Section</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3.2(d)(ii), the following provisions will apply:</w:t>
      </w:r>
    </w:p>
    <w:p>
      <w:pPr>
        <w:spacing w:after="0" w:line="148" w:lineRule="exact"/>
        <w:rPr>
          <w:sz w:val="20"/>
          <w:szCs w:val="20"/>
          <w:color w:val="auto"/>
        </w:rPr>
      </w:pPr>
    </w:p>
    <w:p>
      <w:pPr>
        <w:jc w:val="both"/>
        <w:ind w:firstLine="2600"/>
        <w:spacing w:after="0" w:line="282" w:lineRule="auto"/>
        <w:tabs>
          <w:tab w:leader="none" w:pos="3089" w:val="left"/>
        </w:tabs>
        <w:numPr>
          <w:ilvl w:val="1"/>
          <w:numId w:val="514"/>
        </w:numPr>
        <w:rPr>
          <w:rFonts w:ascii="Arial" w:cs="Arial" w:eastAsia="Arial" w:hAnsi="Arial"/>
          <w:sz w:val="19"/>
          <w:szCs w:val="19"/>
          <w:color w:val="auto"/>
        </w:rPr>
      </w:pPr>
      <w:r>
        <w:rPr>
          <w:rFonts w:ascii="Arial" w:cs="Arial" w:eastAsia="Arial" w:hAnsi="Arial"/>
          <w:sz w:val="19"/>
          <w:szCs w:val="19"/>
          <w:color w:val="auto"/>
        </w:rPr>
        <w:t>Sublandlord (together with Subtenant, if Landlord permits) will review Landlord’s books and records in Landlord’s office in accordance with the provisions of clause (I) of Paragraph 7.h of the Original Master Lease, following which Sublandlord and Subtenant will confer in good faith regarding the results of such review; thereafter, if the parties deem it necessary, then Sublandlord, in accordance with the provisions of clause (ii) of Paragraph 7.h of the Original Master Lease, will endeavor in good faith to resolve with Landlord any necessary clarification or dispute raised by Subtenant in Subtenant’s Audit Request Notice. Promptly following any such review, Sublandlord will again confer in good faith with Subtenant; if Sublandlord and Subtenant jointly agree (each party acting reasonably) that the applicable uncertainty or dispute is not resolved as a consequence of Sublandlord’s meeting(s) with Landlord, then Sublandlord will exercise its rights, set forth in Paragraph 7.h of the Original Master Lease, to cause a nationally recognized independent certified public accounting firm designated by Sublandlord and reasonably acceptable to Subtenant (and further subject to the approval of Sublandlord and Landlord as described in the Master Lease) to review Landlord’s books and records in accordance with the provisions of Paragraph 7.h of the Original Master Lease. All costs of any such review shall be borne solely by Subtenant as additional Rent hereunder, unless Landlord is liable for the costs of the audit pursuant to Paragraph 7.h of the Original Master Lease. Any additional amounts will be due within thirty (30) days after Sublandlord’s delivery of an invoice to Subtenant. If, following the completion of any such audit, it is determined that Sublandlord is entitled to the reimbursement of Operating Expenses and Tax Expenses under the Master Lease, any such reimbursement shall be applied, first, to the audit costs previously paid by Subtenant, and second, to any such reasonable out of pocket cost incurred by Sublandlord which have not then been reimbursed by Subtenant or Landlord to Sublandlord, and, thereafter, the remaining refund will be equitably allocated between Sublandlord and Subtenant in accordance with the ratio that their respective overpayments of Operating Expenses and Tax Expenses (in the case of Sublandlord) and Operating Costs (in the case of Subtenant) compare to each other. For avoidance of doubt, if, as of the date that Subtenant delivers a Subtenant’s Audit Request, Sublandlord has already notified Landlord of Sublandlord’s exercise of the review rights described in Paragraph 7.h of the Original Master Lease, then Subtenant shall have no independent right to require any such review of Landlord’s books and records, but Sublandlord agrees to: (A) promptly provide Subtenant with any report prepared by Sublandlord’s accounting firm or accountant on the basis of any such review of Landlord’s books and records and,</w:t>
      </w:r>
    </w:p>
    <w:p>
      <w:pPr>
        <w:spacing w:after="0" w:line="12" w:lineRule="exact"/>
        <w:rPr>
          <w:rFonts w:ascii="Arial" w:cs="Arial" w:eastAsia="Arial" w:hAnsi="Arial"/>
          <w:sz w:val="19"/>
          <w:szCs w:val="19"/>
          <w:color w:val="auto"/>
        </w:rPr>
      </w:pPr>
    </w:p>
    <w:p>
      <w:pPr>
        <w:jc w:val="both"/>
        <w:ind w:firstLine="8"/>
        <w:spacing w:after="0" w:line="259" w:lineRule="auto"/>
        <w:tabs>
          <w:tab w:leader="none" w:pos="345" w:val="left"/>
        </w:tabs>
        <w:numPr>
          <w:ilvl w:val="0"/>
          <w:numId w:val="515"/>
        </w:numPr>
        <w:rPr>
          <w:rFonts w:ascii="Arial" w:cs="Arial" w:eastAsia="Arial" w:hAnsi="Arial"/>
          <w:sz w:val="21"/>
          <w:szCs w:val="21"/>
          <w:color w:val="auto"/>
        </w:rPr>
      </w:pPr>
      <w:r>
        <w:rPr>
          <w:rFonts w:ascii="Arial" w:cs="Arial" w:eastAsia="Arial" w:hAnsi="Arial"/>
          <w:sz w:val="21"/>
          <w:szCs w:val="21"/>
          <w:color w:val="auto"/>
        </w:rPr>
        <w:t>allocate to Subtenant any net refund of Operating Expenses and Tax Expenses attributable to an overpayment by Sublandlord following Sublandlord’s recovery from any aggregate refund of all costs associated with such review, as may then be equitable given any corresponding overpayment of Operating Costs by Subtenant and in such event, Subtenant shall have no obligation to reimburse Sublandlord for the costs of the review initiated solely by Sublandlord.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7" w:right="339" w:bottom="1440" w:gutter="0" w:footer="0" w:header="0"/>
        </w:sectPr>
      </w:pPr>
    </w:p>
    <w:bookmarkStart w:id="538" w:name="page539"/>
    <w:bookmarkEnd w:id="538"/>
    <w:p>
      <w:pPr>
        <w:jc w:val="both"/>
        <w:ind w:firstLine="1304"/>
        <w:spacing w:after="0" w:line="302" w:lineRule="auto"/>
        <w:tabs>
          <w:tab w:leader="none" w:pos="1752" w:val="left"/>
        </w:tabs>
        <w:numPr>
          <w:ilvl w:val="1"/>
          <w:numId w:val="516"/>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The expiration or earlier termination of this Sublease shall not affect the obligations of Sublandlord and Subtenant pursuant to this Section, and such obligations shall survive, remain to be performed after, any expiration or earlier termination of this Sublease through and until the receipt of the Sublandlord’s Annual Statement covering the year in which the Sublease expires or is terminated and the full and final payment of any amounts due hereunder.</w:t>
      </w:r>
    </w:p>
    <w:p>
      <w:pPr>
        <w:spacing w:after="0" w:line="88" w:lineRule="exact"/>
        <w:rPr>
          <w:rFonts w:ascii="Arial" w:cs="Arial" w:eastAsia="Arial" w:hAnsi="Arial"/>
          <w:sz w:val="19"/>
          <w:szCs w:val="19"/>
          <w:color w:val="auto"/>
        </w:rPr>
      </w:pPr>
    </w:p>
    <w:p>
      <w:pPr>
        <w:ind w:left="1040" w:hanging="384"/>
        <w:spacing w:after="0"/>
        <w:tabs>
          <w:tab w:leader="none" w:pos="1040" w:val="left"/>
        </w:tabs>
        <w:numPr>
          <w:ilvl w:val="0"/>
          <w:numId w:val="517"/>
        </w:numPr>
        <w:rPr>
          <w:rFonts w:ascii="Arial" w:cs="Arial" w:eastAsia="Arial" w:hAnsi="Arial"/>
          <w:sz w:val="22"/>
          <w:szCs w:val="22"/>
          <w:color w:val="auto"/>
        </w:rPr>
      </w:pPr>
      <w:r>
        <w:rPr>
          <w:rFonts w:ascii="Arial" w:cs="Arial" w:eastAsia="Arial" w:hAnsi="Arial"/>
          <w:sz w:val="22"/>
          <w:szCs w:val="22"/>
          <w:u w:val="single" w:color="auto"/>
          <w:color w:val="auto"/>
        </w:rPr>
        <w:t>Letter of Credit</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jc w:val="both"/>
        <w:ind w:firstLine="1304"/>
        <w:spacing w:after="0" w:line="286" w:lineRule="auto"/>
        <w:tabs>
          <w:tab w:leader="none" w:pos="1954" w:val="left"/>
        </w:tabs>
        <w:numPr>
          <w:ilvl w:val="1"/>
          <w:numId w:val="517"/>
        </w:numPr>
        <w:rPr>
          <w:rFonts w:ascii="Arial" w:cs="Arial" w:eastAsia="Arial" w:hAnsi="Arial"/>
          <w:sz w:val="19"/>
          <w:szCs w:val="19"/>
          <w:color w:val="auto"/>
        </w:rPr>
      </w:pPr>
      <w:r>
        <w:rPr>
          <w:rFonts w:ascii="Arial" w:cs="Arial" w:eastAsia="Arial" w:hAnsi="Arial"/>
          <w:sz w:val="19"/>
          <w:szCs w:val="19"/>
          <w:u w:val="single" w:color="auto"/>
          <w:color w:val="auto"/>
        </w:rPr>
        <w:t>Initial Letter of Credit</w:t>
      </w:r>
      <w:r>
        <w:rPr>
          <w:rFonts w:ascii="Arial" w:cs="Arial" w:eastAsia="Arial" w:hAnsi="Arial"/>
          <w:sz w:val="19"/>
          <w:szCs w:val="19"/>
          <w:color w:val="auto"/>
        </w:rPr>
        <w:t>. Concurrently with Subtenant’s execution and delivery to Sublandlord of this Sublease, Subtenant shall deliver to Sublandlord, as collateral for the full performance by Subtenant of all of its obligations under this Sublease and for all losses and damages Sublandlord may suffer as a result of Subtenant’s failure to comply with one or more provisions of this Sublease, including, but not limited to, any post lease termination damages under section 1951.2 of the California Civil Code an unconditional, irrevocable, transferable standby letter of credit (the “</w:t>
      </w:r>
      <w:r>
        <w:rPr>
          <w:rFonts w:ascii="Arial" w:cs="Arial" w:eastAsia="Arial" w:hAnsi="Arial"/>
          <w:sz w:val="19"/>
          <w:szCs w:val="19"/>
          <w:b w:val="1"/>
          <w:bCs w:val="1"/>
          <w:color w:val="auto"/>
        </w:rPr>
        <w:t>Initial Letter of Credit</w:t>
      </w:r>
      <w:r>
        <w:rPr>
          <w:rFonts w:ascii="Arial" w:cs="Arial" w:eastAsia="Arial" w:hAnsi="Arial"/>
          <w:sz w:val="19"/>
          <w:szCs w:val="19"/>
          <w:color w:val="auto"/>
        </w:rPr>
        <w:t>”) in the amount of $3,984,300.00 (the “</w:t>
      </w:r>
      <w:r>
        <w:rPr>
          <w:rFonts w:ascii="Arial" w:cs="Arial" w:eastAsia="Arial" w:hAnsi="Arial"/>
          <w:sz w:val="19"/>
          <w:szCs w:val="19"/>
          <w:b w:val="1"/>
          <w:bCs w:val="1"/>
          <w:color w:val="auto"/>
        </w:rPr>
        <w:t>Letter of Credit Amount</w:t>
      </w:r>
      <w:r>
        <w:rPr>
          <w:rFonts w:ascii="Arial" w:cs="Arial" w:eastAsia="Arial" w:hAnsi="Arial"/>
          <w:sz w:val="19"/>
          <w:szCs w:val="19"/>
          <w:color w:val="auto"/>
        </w:rPr>
        <w:t>”), issued by a financial institution (the “</w:t>
      </w:r>
      <w:r>
        <w:rPr>
          <w:rFonts w:ascii="Arial" w:cs="Arial" w:eastAsia="Arial" w:hAnsi="Arial"/>
          <w:sz w:val="19"/>
          <w:szCs w:val="19"/>
          <w:b w:val="1"/>
          <w:bCs w:val="1"/>
          <w:color w:val="auto"/>
        </w:rPr>
        <w:t>Issuing Bank</w:t>
      </w:r>
      <w:r>
        <w:rPr>
          <w:rFonts w:ascii="Arial" w:cs="Arial" w:eastAsia="Arial" w:hAnsi="Arial"/>
          <w:sz w:val="19"/>
          <w:szCs w:val="19"/>
          <w:color w:val="auto"/>
        </w:rPr>
        <w:t xml:space="preserve">”) acceptable to Sublandlord. Notwithstanding anything contained herein to the contrary, Sublandlord hereby approves Silicon Valley Bank as the initial Issuing Bank for the Letter of Credit and agrees to accept an Initial Letter of Credit in the form attached hereto as </w:t>
      </w:r>
      <w:r>
        <w:rPr>
          <w:rFonts w:ascii="Arial" w:cs="Arial" w:eastAsia="Arial" w:hAnsi="Arial"/>
          <w:sz w:val="19"/>
          <w:szCs w:val="19"/>
          <w:b w:val="1"/>
          <w:bCs w:val="1"/>
          <w:color w:val="auto"/>
        </w:rPr>
        <w:t>Exhibit</w:t>
      </w:r>
      <w:r>
        <w:rPr>
          <w:rFonts w:ascii="Arial" w:cs="Arial" w:eastAsia="Arial" w:hAnsi="Arial"/>
          <w:sz w:val="19"/>
          <w:szCs w:val="19"/>
          <w:color w:val="auto"/>
        </w:rPr>
        <w:t xml:space="preserve"> </w:t>
      </w:r>
      <w:r>
        <w:rPr>
          <w:rFonts w:ascii="Arial" w:cs="Arial" w:eastAsia="Arial" w:hAnsi="Arial"/>
          <w:sz w:val="19"/>
          <w:szCs w:val="19"/>
          <w:b w:val="1"/>
          <w:bCs w:val="1"/>
          <w:color w:val="auto"/>
        </w:rPr>
        <w:t>C-1</w:t>
      </w:r>
      <w:r>
        <w:rPr>
          <w:rFonts w:ascii="Arial" w:cs="Arial" w:eastAsia="Arial" w:hAnsi="Arial"/>
          <w:sz w:val="19"/>
          <w:szCs w:val="19"/>
          <w:color w:val="auto"/>
        </w:rPr>
        <w:t>; any Replacement Letter of Credit (defined below) must meet the requirements of Section 4(c) below. The Letter of Credit</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“callable” at sight, permit partial draws and multiple presentations and drawings, and be otherwise subject to the International Standby Practices ISP 98, International Chamber of Commerce Publication #590. Subtenant shall cause the Letter of Credit to be continuously maintained in effect (whether through a Replacement Letter of Credit (defined below), amendment, renewal or extension) through the date (the “</w:t>
      </w:r>
      <w:r>
        <w:rPr>
          <w:rFonts w:ascii="Arial" w:cs="Arial" w:eastAsia="Arial" w:hAnsi="Arial"/>
          <w:sz w:val="19"/>
          <w:szCs w:val="19"/>
          <w:b w:val="1"/>
          <w:bCs w:val="1"/>
          <w:color w:val="auto"/>
        </w:rPr>
        <w:t>Final Letter of Credit Expiration Date</w:t>
      </w:r>
      <w:r>
        <w:rPr>
          <w:rFonts w:ascii="Arial" w:cs="Arial" w:eastAsia="Arial" w:hAnsi="Arial"/>
          <w:sz w:val="19"/>
          <w:szCs w:val="19"/>
          <w:color w:val="auto"/>
        </w:rPr>
        <w:t>”) that is the later to occur of (i) the date that is sixty (60) days after the scheduled expiration date of the Sublease Term and (ii) the date that is sixty (60) days after Subtenant vacates the Subleased Premises and completes any removal, restoration or repair obligations.</w:t>
      </w:r>
    </w:p>
    <w:p>
      <w:pPr>
        <w:spacing w:after="0" w:line="104" w:lineRule="exact"/>
        <w:rPr>
          <w:rFonts w:ascii="Arial" w:cs="Arial" w:eastAsia="Arial" w:hAnsi="Arial"/>
          <w:sz w:val="19"/>
          <w:szCs w:val="19"/>
          <w:color w:val="auto"/>
        </w:rPr>
      </w:pPr>
    </w:p>
    <w:p>
      <w:pPr>
        <w:jc w:val="both"/>
        <w:ind w:firstLine="1304"/>
        <w:spacing w:after="0" w:line="257" w:lineRule="auto"/>
        <w:tabs>
          <w:tab w:leader="none" w:pos="1791" w:val="left"/>
        </w:tabs>
        <w:numPr>
          <w:ilvl w:val="1"/>
          <w:numId w:val="517"/>
        </w:numPr>
        <w:rPr>
          <w:rFonts w:ascii="Arial" w:cs="Arial" w:eastAsia="Arial" w:hAnsi="Arial"/>
          <w:sz w:val="21"/>
          <w:szCs w:val="21"/>
          <w:color w:val="auto"/>
        </w:rPr>
      </w:pPr>
      <w:r>
        <w:rPr>
          <w:rFonts w:ascii="Arial" w:cs="Arial" w:eastAsia="Arial" w:hAnsi="Arial"/>
          <w:sz w:val="21"/>
          <w:szCs w:val="21"/>
          <w:u w:val="single" w:color="auto"/>
          <w:color w:val="auto"/>
        </w:rPr>
        <w:t>Drawing Under Letter of Credit</w:t>
      </w:r>
      <w:r>
        <w:rPr>
          <w:rFonts w:ascii="Arial" w:cs="Arial" w:eastAsia="Arial" w:hAnsi="Arial"/>
          <w:sz w:val="21"/>
          <w:szCs w:val="21"/>
          <w:color w:val="auto"/>
        </w:rPr>
        <w:t>. Without prejudice to any other remedy available to Sublandlord under this Sublease or at law, Sublandlord may draw upon the Initial Letter of Credit or any Replacement Letter of Credit on or after the occurrence of either: (i) any Default; (ii) any failure by Subtenant to deliver to Sublandlord a Replacement Letter of Credit as and when required pursuant to this Section 4; (iii) an uncured failure by Subtenant to perform one or more of its obligations under this Sublease and the existence of circumstances in which Sublandlord is enjoined or otherwise prevented by operation of law from giving to Subtenant a written notice which would be necessary for such failure of performance to constitute an event of default, or (iv) the appointment of a receiver to take possession of all or substantially all of the assets of Subtenant, or an assignment of Subtenant for the benefit of creditors, or any action taken or suffered by Subtenant under any insolvency, bankruptcy, reorganization or other debtor relief proceedings, whether now existing or hereafter amended or enacted; provided that in the event of (i) or (iii), Sublandlord may, at Sublandlord’s sole option, draw upon a portion of the face amount of the Initial Letter of Credit or any Replacement Letter of Credit, as applicable, as required to compensate Sublandlord for damages incurred (with subsequent demands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7" w:right="339" w:bottom="1440" w:gutter="0" w:footer="0" w:header="0"/>
        </w:sectPr>
      </w:pPr>
    </w:p>
    <w:bookmarkStart w:id="539" w:name="page540"/>
    <w:bookmarkEnd w:id="539"/>
    <w:p>
      <w:pPr>
        <w:jc w:val="both"/>
        <w:spacing w:after="0" w:line="297" w:lineRule="auto"/>
        <w:rPr>
          <w:sz w:val="20"/>
          <w:szCs w:val="20"/>
          <w:color w:val="auto"/>
        </w:rPr>
      </w:pPr>
      <w:r>
        <w:rPr>
          <w:rFonts w:ascii="Arial" w:cs="Arial" w:eastAsia="Arial" w:hAnsi="Arial"/>
          <w:sz w:val="19"/>
          <w:szCs w:val="19"/>
          <w:color w:val="auto"/>
        </w:rPr>
        <w:t>Sublandlord’s sole election as Sublandlord incurs further damage). Subtenant will not interfere in any way with payment to Sublandlord of the proceeds of the Letter of Credit, either prior to or following a draw by Sublandlord of any portion of the Letter of Credit, regardless of whether any dispute exists between Subtenant and Sublandlord as to Sublandlord 's right to draw upon the Letter of Credit. No condition or term of this Sublease shall be deemed to render the Letter of Credit conditional to justify the issuer of the Letter of Credit in failing to honor a drawing upon such Letter of Credit in a timely manner.</w:t>
      </w:r>
    </w:p>
    <w:p>
      <w:pPr>
        <w:spacing w:after="0" w:line="93" w:lineRule="exact"/>
        <w:rPr>
          <w:sz w:val="20"/>
          <w:szCs w:val="20"/>
          <w:color w:val="auto"/>
        </w:rPr>
      </w:pPr>
    </w:p>
    <w:p>
      <w:pPr>
        <w:jc w:val="both"/>
        <w:ind w:firstLine="1304"/>
        <w:spacing w:after="0" w:line="288" w:lineRule="auto"/>
        <w:tabs>
          <w:tab w:leader="none" w:pos="1833" w:val="left"/>
        </w:tabs>
        <w:numPr>
          <w:ilvl w:val="1"/>
          <w:numId w:val="518"/>
        </w:numPr>
        <w:rPr>
          <w:rFonts w:ascii="Arial" w:cs="Arial" w:eastAsia="Arial" w:hAnsi="Arial"/>
          <w:sz w:val="19"/>
          <w:szCs w:val="19"/>
          <w:color w:val="auto"/>
        </w:rPr>
      </w:pPr>
      <w:r>
        <w:rPr>
          <w:rFonts w:ascii="Arial" w:cs="Arial" w:eastAsia="Arial" w:hAnsi="Arial"/>
          <w:sz w:val="19"/>
          <w:szCs w:val="19"/>
          <w:u w:val="single" w:color="auto"/>
          <w:color w:val="auto"/>
        </w:rPr>
        <w:t>Delivery of Replacement Letter of Credit</w:t>
      </w:r>
      <w:r>
        <w:rPr>
          <w:rFonts w:ascii="Arial" w:cs="Arial" w:eastAsia="Arial" w:hAnsi="Arial"/>
          <w:sz w:val="19"/>
          <w:szCs w:val="19"/>
          <w:color w:val="auto"/>
        </w:rPr>
        <w:t>. Subtenant shall deliver to Sublandlord a new letter of credit (a “</w:t>
      </w:r>
      <w:r>
        <w:rPr>
          <w:rFonts w:ascii="Arial" w:cs="Arial" w:eastAsia="Arial" w:hAnsi="Arial"/>
          <w:sz w:val="19"/>
          <w:szCs w:val="19"/>
          <w:b w:val="1"/>
          <w:bCs w:val="1"/>
          <w:color w:val="auto"/>
        </w:rPr>
        <w:t>Replacement Letter of Credit</w:t>
      </w:r>
      <w:r>
        <w:rPr>
          <w:rFonts w:ascii="Arial" w:cs="Arial" w:eastAsia="Arial" w:hAnsi="Arial"/>
          <w:sz w:val="19"/>
          <w:szCs w:val="19"/>
          <w:color w:val="auto"/>
        </w:rPr>
        <w:t>”) (the Initial Letter of Credit and/or any Replacement Letter of Credit being referred to herein as a “</w:t>
      </w:r>
      <w:r>
        <w:rPr>
          <w:rFonts w:ascii="Arial" w:cs="Arial" w:eastAsia="Arial" w:hAnsi="Arial"/>
          <w:sz w:val="19"/>
          <w:szCs w:val="19"/>
          <w:b w:val="1"/>
          <w:bCs w:val="1"/>
          <w:color w:val="auto"/>
        </w:rPr>
        <w:t>Letter of Credit</w:t>
      </w:r>
      <w:r>
        <w:rPr>
          <w:rFonts w:ascii="Arial" w:cs="Arial" w:eastAsia="Arial" w:hAnsi="Arial"/>
          <w:sz w:val="19"/>
          <w:szCs w:val="19"/>
          <w:color w:val="auto"/>
        </w:rPr>
        <w:t xml:space="preserve">”) at least thirty (30) days prior to the expiry date of the Initial Letter of Credit or of any Replacement Letter of Credit held by Sublandlord. Each Replacement Letter of Credit delivered by Subtenant to Sublandlord shall: (i) be issued by a banking institution acceptable to Sublandlord; (ii) be in a substantially similar form as the letter of credit attached to this Sublease as </w:t>
      </w:r>
      <w:r>
        <w:rPr>
          <w:rFonts w:ascii="Arial" w:cs="Arial" w:eastAsia="Arial" w:hAnsi="Arial"/>
          <w:sz w:val="19"/>
          <w:szCs w:val="19"/>
          <w:b w:val="1"/>
          <w:bCs w:val="1"/>
          <w:color w:val="auto"/>
        </w:rPr>
        <w:t>Exhibit C-2</w:t>
      </w:r>
      <w:r>
        <w:rPr>
          <w:rFonts w:ascii="Arial" w:cs="Arial" w:eastAsia="Arial" w:hAnsi="Arial"/>
          <w:sz w:val="19"/>
          <w:szCs w:val="19"/>
          <w:color w:val="auto"/>
        </w:rPr>
        <w:t xml:space="preserve">; provided that any material variations from the form attached hereto as </w:t>
      </w:r>
      <w:r>
        <w:rPr>
          <w:rFonts w:ascii="Arial" w:cs="Arial" w:eastAsia="Arial" w:hAnsi="Arial"/>
          <w:sz w:val="19"/>
          <w:szCs w:val="19"/>
          <w:b w:val="1"/>
          <w:bCs w:val="1"/>
          <w:color w:val="auto"/>
        </w:rPr>
        <w:t>Exhibit C-2</w:t>
      </w:r>
      <w:r>
        <w:rPr>
          <w:rFonts w:ascii="Arial" w:cs="Arial" w:eastAsia="Arial" w:hAnsi="Arial"/>
          <w:sz w:val="19"/>
          <w:szCs w:val="19"/>
          <w:color w:val="auto"/>
        </w:rPr>
        <w:t xml:space="preserve"> will be subject to Sublandlord’s prior written consent; (iii) bear an expiry date not earlier than one (1) year from the date when such Replacement Letter of Credit is delivered to Sublandlord; and (iv) be in an amount not less than the Letter of Credit Amount. Upon the delivery to Sublandlord of a Replacement Letter of Credit as described in this Section 4, Sublandlord shall return to Subtenant the Initial Letter of Credit or any previous Replacement Letter of Credit then held by Sublandlord.</w:t>
      </w:r>
    </w:p>
    <w:p>
      <w:pPr>
        <w:spacing w:after="0" w:line="105" w:lineRule="exact"/>
        <w:rPr>
          <w:rFonts w:ascii="Arial" w:cs="Arial" w:eastAsia="Arial" w:hAnsi="Arial"/>
          <w:sz w:val="19"/>
          <w:szCs w:val="19"/>
          <w:color w:val="auto"/>
        </w:rPr>
      </w:pPr>
    </w:p>
    <w:p>
      <w:pPr>
        <w:jc w:val="both"/>
        <w:ind w:firstLine="1304"/>
        <w:spacing w:after="0" w:line="291" w:lineRule="auto"/>
        <w:tabs>
          <w:tab w:leader="none" w:pos="1993" w:val="left"/>
        </w:tabs>
        <w:numPr>
          <w:ilvl w:val="1"/>
          <w:numId w:val="518"/>
        </w:numPr>
        <w:rPr>
          <w:rFonts w:ascii="Arial" w:cs="Arial" w:eastAsia="Arial" w:hAnsi="Arial"/>
          <w:sz w:val="19"/>
          <w:szCs w:val="19"/>
          <w:color w:val="auto"/>
        </w:rPr>
      </w:pPr>
      <w:r>
        <w:rPr>
          <w:rFonts w:ascii="Arial" w:cs="Arial" w:eastAsia="Arial" w:hAnsi="Arial"/>
          <w:sz w:val="19"/>
          <w:szCs w:val="19"/>
          <w:u w:val="single" w:color="auto"/>
          <w:color w:val="auto"/>
        </w:rPr>
        <w:t>Proceeds of Draw</w:t>
      </w:r>
      <w:r>
        <w:rPr>
          <w:rFonts w:ascii="Arial" w:cs="Arial" w:eastAsia="Arial" w:hAnsi="Arial"/>
          <w:sz w:val="19"/>
          <w:szCs w:val="19"/>
          <w:color w:val="auto"/>
        </w:rPr>
        <w:t>. Subtenant acknowledges that (i) the Letter of Credit constitutes a separate and independent contract between Sublandlord and the Issuing Bank, (ii) Subtenant is not a third party beneficiary of such contract,</w:t>
      </w:r>
    </w:p>
    <w:p>
      <w:pPr>
        <w:spacing w:after="0" w:line="1" w:lineRule="exact"/>
        <w:rPr>
          <w:rFonts w:ascii="Arial" w:cs="Arial" w:eastAsia="Arial" w:hAnsi="Arial"/>
          <w:sz w:val="19"/>
          <w:szCs w:val="19"/>
          <w:color w:val="auto"/>
        </w:rPr>
      </w:pPr>
    </w:p>
    <w:p>
      <w:pPr>
        <w:jc w:val="both"/>
        <w:ind w:firstLine="8"/>
        <w:spacing w:after="0" w:line="284" w:lineRule="auto"/>
        <w:tabs>
          <w:tab w:leader="none" w:pos="384" w:val="left"/>
        </w:tabs>
        <w:numPr>
          <w:ilvl w:val="0"/>
          <w:numId w:val="519"/>
        </w:numPr>
        <w:rPr>
          <w:rFonts w:ascii="Arial" w:cs="Arial" w:eastAsia="Arial" w:hAnsi="Arial"/>
          <w:sz w:val="19"/>
          <w:szCs w:val="19"/>
          <w:color w:val="auto"/>
        </w:rPr>
      </w:pPr>
      <w:r>
        <w:rPr>
          <w:rFonts w:ascii="Arial" w:cs="Arial" w:eastAsia="Arial" w:hAnsi="Arial"/>
          <w:sz w:val="19"/>
          <w:szCs w:val="19"/>
          <w:color w:val="auto"/>
        </w:rPr>
        <w:t>Subtenant has no property interest whatsoever in the Letter of Credit or the proceeds thereof, and (iv) in the event Subtenant becomes a debtor under any chapter of the U.S. Bankruptcy Code (the “</w:t>
      </w:r>
      <w:r>
        <w:rPr>
          <w:rFonts w:ascii="Arial" w:cs="Arial" w:eastAsia="Arial" w:hAnsi="Arial"/>
          <w:sz w:val="19"/>
          <w:szCs w:val="19"/>
          <w:b w:val="1"/>
          <w:bCs w:val="1"/>
          <w:color w:val="auto"/>
        </w:rPr>
        <w:t>Bankruptcy Code</w:t>
      </w:r>
      <w:r>
        <w:rPr>
          <w:rFonts w:ascii="Arial" w:cs="Arial" w:eastAsia="Arial" w:hAnsi="Arial"/>
          <w:sz w:val="19"/>
          <w:szCs w:val="19"/>
          <w:color w:val="auto"/>
        </w:rPr>
        <w:t>”), neither Subtenant, any trustee, nor Subtenant 's bankruptcy estate shall have any right to restrict or limit Sublandlord 's claim and/or rights to the Letter of Credit and/or the proceeds thereof by application of Section 502(b)(6) of the Bankruptcy Code or otherwise. Sublandlord may immediately upon any draw permitted hereunder (and without notice to Subtenant except as may be expressly provided in this Sublease) apply or offset the proceeds of the Letter of Credit: (i) against any Rent payable by Subtenant under this Sublease that is not paid when due following any applicable notice and cure periods; (ii) against all losses and damages that Sublandlord has suffered or that Sublandlord reasonably estimates that it may suffer as a result of Subtenant’s failure to comply with one or more provisions of this Sublease, including any damages arising under section 1951.2 of the California Civil Code following termination of this Sublease, to the extent permitted by this Sublease; (iii) against any costs incurred by Sublandlord permitted to be reimbursed pursuant to this Sublease (including attorneys’ fees); and (iv) against any other amount that Sublandlord may spend or become obligated to spend by reason of Subtenant’s default for which Sublandlord shall be entitled to seek reimbursement in accordance with this Sublease. Subtenant (i) agrees that the proceeds of any draw by Sublandlord will not be deemed to be or treated as a "security deposit" under the Security Deposit Laws (defined below), and (ii) waives all rights, duties and obligations either party may now or, in the future, will have relating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7" w:right="339" w:bottom="1440" w:gutter="0" w:footer="0" w:header="0"/>
        </w:sectPr>
      </w:pPr>
    </w:p>
    <w:bookmarkStart w:id="540" w:name="page541"/>
    <w:bookmarkEnd w:id="540"/>
    <w:p>
      <w:pPr>
        <w:jc w:val="both"/>
        <w:spacing w:after="0" w:line="257" w:lineRule="auto"/>
        <w:rPr>
          <w:sz w:val="20"/>
          <w:szCs w:val="20"/>
          <w:color w:val="auto"/>
        </w:rPr>
      </w:pPr>
      <w:r>
        <w:rPr>
          <w:rFonts w:ascii="Arial" w:cs="Arial" w:eastAsia="Arial" w:hAnsi="Arial"/>
          <w:sz w:val="21"/>
          <w:szCs w:val="21"/>
          <w:color w:val="auto"/>
        </w:rPr>
        <w:t>to or arising from the Security Deposit Laws. The amount of any proceeds of a draw upon the Letter of Credit received by Sublandlord, and not (a) applied against any Rent payable by Subtenant under this Lease that was not paid when due or (b) used to pay for any losses and/or damages suffered by Sublandlord (or reasonably estimated by Sublandlord that it will suffer) as a result of any breach or Default by Subtenant (the “</w:t>
      </w:r>
      <w:r>
        <w:rPr>
          <w:rFonts w:ascii="Arial" w:cs="Arial" w:eastAsia="Arial" w:hAnsi="Arial"/>
          <w:sz w:val="21"/>
          <w:szCs w:val="21"/>
          <w:b w:val="1"/>
          <w:bCs w:val="1"/>
          <w:color w:val="auto"/>
        </w:rPr>
        <w:t>Unused L-C Proceeds</w:t>
      </w:r>
      <w:r>
        <w:rPr>
          <w:rFonts w:ascii="Arial" w:cs="Arial" w:eastAsia="Arial" w:hAnsi="Arial"/>
          <w:sz w:val="21"/>
          <w:szCs w:val="21"/>
          <w:color w:val="auto"/>
        </w:rPr>
        <w:t>”), shall be paid by Sublandlord to Subtenant (x) upon receipt by Sublandlord of a Replacement Letter of Credit in the full Letter of Credit Amount, which Replacement Letter of Credit shall comply in all respects with the requirements of this Section 4, or (y) within thirty (30) days after the Final Letter of Credit Expiration Date; provided, however, that if prior to the Final Letter of Credit Expiration Date a voluntary petition is filed by Subtenant, or an involuntary petition is filed against Subtenant by any of Subtenant 's creditors, under the Bankruptcy Code, then Sublandlord shall not be obligated to make such payment in the amount of the Unused L-C Proceeds until either all preference issues relating to payments under this Sublease have been resolved in such bankruptcy or reorganization case or such bankruptcy or reorganization case has been dismissed. Sublandlord’s obligations hereunder shall survive the expiration or earlier termination hereof.</w:t>
      </w:r>
    </w:p>
    <w:p>
      <w:pPr>
        <w:spacing w:after="0" w:line="137" w:lineRule="exact"/>
        <w:rPr>
          <w:sz w:val="20"/>
          <w:szCs w:val="20"/>
          <w:color w:val="auto"/>
        </w:rPr>
      </w:pPr>
    </w:p>
    <w:p>
      <w:pPr>
        <w:jc w:val="both"/>
        <w:ind w:firstLine="1304"/>
        <w:spacing w:after="0" w:line="292" w:lineRule="auto"/>
        <w:tabs>
          <w:tab w:leader="none" w:pos="1806" w:val="left"/>
        </w:tabs>
        <w:numPr>
          <w:ilvl w:val="0"/>
          <w:numId w:val="520"/>
        </w:numPr>
        <w:rPr>
          <w:rFonts w:ascii="Arial" w:cs="Arial" w:eastAsia="Arial" w:hAnsi="Arial"/>
          <w:sz w:val="19"/>
          <w:szCs w:val="19"/>
          <w:color w:val="auto"/>
        </w:rPr>
      </w:pPr>
      <w:r>
        <w:rPr>
          <w:rFonts w:ascii="Arial" w:cs="Arial" w:eastAsia="Arial" w:hAnsi="Arial"/>
          <w:sz w:val="19"/>
          <w:szCs w:val="19"/>
          <w:u w:val="single" w:color="auto"/>
          <w:color w:val="auto"/>
        </w:rPr>
        <w:t>Sublandlord’s Transfer</w:t>
      </w:r>
      <w:r>
        <w:rPr>
          <w:rFonts w:ascii="Arial" w:cs="Arial" w:eastAsia="Arial" w:hAnsi="Arial"/>
          <w:sz w:val="19"/>
          <w:szCs w:val="19"/>
          <w:color w:val="auto"/>
        </w:rPr>
        <w:t>. If Sublandlord conveys or transfers its interest in the Subleased Premises and, as a part of such conveyance or transfer, Sublandlord assigns its interest in this Sublease: (i) any Letter of Credit shall be transferred to Sublandlord’s successor; (ii) Sublandlord shall be released and discharged from any further liability to Subtenant with respect to such Letter of Credit; provided Sublandlord transfers such Letter of Credit to Sublandlord’s successor; and (iii) any Replacement Letter of Credit thereafter delivered by Subtenant shall state the name of the successor to Sublandlord as the beneficiary of such Replacement Letter of Credit and shall contain such modifications in the text of the Replacement Letter of Credit as are required to appropriately reflect the transfer of the interest of Sublandlord in the Premises.</w:t>
      </w:r>
    </w:p>
    <w:p>
      <w:pPr>
        <w:spacing w:after="0" w:line="96" w:lineRule="exact"/>
        <w:rPr>
          <w:rFonts w:ascii="Arial" w:cs="Arial" w:eastAsia="Arial" w:hAnsi="Arial"/>
          <w:sz w:val="19"/>
          <w:szCs w:val="19"/>
          <w:color w:val="auto"/>
        </w:rPr>
      </w:pPr>
    </w:p>
    <w:p>
      <w:pPr>
        <w:jc w:val="both"/>
        <w:ind w:firstLine="1304"/>
        <w:spacing w:after="0" w:line="288" w:lineRule="auto"/>
        <w:tabs>
          <w:tab w:leader="none" w:pos="1741" w:val="left"/>
        </w:tabs>
        <w:numPr>
          <w:ilvl w:val="0"/>
          <w:numId w:val="520"/>
        </w:numPr>
        <w:rPr>
          <w:rFonts w:ascii="Arial" w:cs="Arial" w:eastAsia="Arial" w:hAnsi="Arial"/>
          <w:sz w:val="19"/>
          <w:szCs w:val="19"/>
          <w:color w:val="auto"/>
        </w:rPr>
      </w:pPr>
      <w:r>
        <w:rPr>
          <w:rFonts w:ascii="Arial" w:cs="Arial" w:eastAsia="Arial" w:hAnsi="Arial"/>
          <w:sz w:val="19"/>
          <w:szCs w:val="19"/>
          <w:u w:val="single" w:color="auto"/>
          <w:color w:val="auto"/>
        </w:rPr>
        <w:t>Additional Covenants of Subtenant</w:t>
      </w:r>
      <w:r>
        <w:rPr>
          <w:rFonts w:ascii="Arial" w:cs="Arial" w:eastAsia="Arial" w:hAnsi="Arial"/>
          <w:sz w:val="19"/>
          <w:szCs w:val="19"/>
          <w:color w:val="auto"/>
        </w:rPr>
        <w:t>. If, as result of any application or use by Sublandlord of all or any part of the Letter of Credit, the amount of the Letter of Credit plus any cash proceeds previously drawn by Sublandlord and not applied pursuant to this Section 4 shall be less than the Letter of Credit Amount, Subtenant shall, within ten (10) business days after written demand, provide Sublandlord with additional letter(s) of credit in an amount equal to the deficiency (or a replacement or amended letter of credit in the total Letter of Credit Amount), and any such additional (or replacement or amended) letter of credit shall comply with all of the provisions of this Section 4; if Subtenant fails to timely comply with the foregoing, then notwithstanding anything to the contrary contained in this Sublease, the same shall constitute a Default by Subtenant without the necessity of additional notice or the passage of additional grace periods. Subtenant further covenants and warrants that it will neither assign nor encumber the Letter of Credit or any part thereof and that neither Sublandlord nor its successors or assigns will be bound by any such assignment, encumbrance, attempted assignment or attempted encumbrance.</w:t>
      </w:r>
    </w:p>
    <w:p>
      <w:pPr>
        <w:spacing w:after="0" w:line="105" w:lineRule="exact"/>
        <w:rPr>
          <w:rFonts w:ascii="Arial" w:cs="Arial" w:eastAsia="Arial" w:hAnsi="Arial"/>
          <w:sz w:val="19"/>
          <w:szCs w:val="19"/>
          <w:color w:val="auto"/>
        </w:rPr>
      </w:pPr>
    </w:p>
    <w:p>
      <w:pPr>
        <w:jc w:val="both"/>
        <w:ind w:firstLine="1304"/>
        <w:spacing w:after="0" w:line="312" w:lineRule="auto"/>
        <w:tabs>
          <w:tab w:leader="none" w:pos="1912" w:val="left"/>
        </w:tabs>
        <w:numPr>
          <w:ilvl w:val="0"/>
          <w:numId w:val="520"/>
        </w:numPr>
        <w:rPr>
          <w:rFonts w:ascii="Arial" w:cs="Arial" w:eastAsia="Arial" w:hAnsi="Arial"/>
          <w:sz w:val="19"/>
          <w:szCs w:val="19"/>
          <w:color w:val="auto"/>
        </w:rPr>
      </w:pPr>
      <w:r>
        <w:rPr>
          <w:rFonts w:ascii="Arial" w:cs="Arial" w:eastAsia="Arial" w:hAnsi="Arial"/>
          <w:sz w:val="19"/>
          <w:szCs w:val="19"/>
          <w:u w:val="single" w:color="auto"/>
          <w:color w:val="auto"/>
        </w:rPr>
        <w:t>Nature of Letter of Credit</w:t>
      </w:r>
      <w:r>
        <w:rPr>
          <w:rFonts w:ascii="Arial" w:cs="Arial" w:eastAsia="Arial" w:hAnsi="Arial"/>
          <w:sz w:val="19"/>
          <w:szCs w:val="19"/>
          <w:color w:val="auto"/>
        </w:rPr>
        <w:t>. Sublandlord and Subtenant (1) acknowledge and agree that in no event or circumstance shall the Letter of Credit or any renewal thereof or substitute therefor or any proceeds thereof be deemed to be or treated as a “security deposit” under any law applicable to security deposits in the commercial context including Section 1950.7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7" w:right="339" w:bottom="1440" w:gutter="0" w:footer="0" w:header="0"/>
        </w:sectPr>
      </w:pPr>
    </w:p>
    <w:bookmarkStart w:id="541" w:name="page542"/>
    <w:bookmarkEnd w:id="541"/>
    <w:p>
      <w:pPr>
        <w:jc w:val="both"/>
        <w:spacing w:after="0" w:line="249" w:lineRule="auto"/>
        <w:rPr>
          <w:sz w:val="20"/>
          <w:szCs w:val="20"/>
          <w:color w:val="auto"/>
        </w:rPr>
      </w:pPr>
      <w:r>
        <w:rPr>
          <w:rFonts w:ascii="Arial" w:cs="Arial" w:eastAsia="Arial" w:hAnsi="Arial"/>
          <w:sz w:val="22"/>
          <w:szCs w:val="22"/>
          <w:color w:val="auto"/>
        </w:rPr>
        <w:t>of the California Civil Code (as now existing or hereafter amended or succeeded, “</w:t>
      </w:r>
      <w:r>
        <w:rPr>
          <w:rFonts w:ascii="Arial" w:cs="Arial" w:eastAsia="Arial" w:hAnsi="Arial"/>
          <w:sz w:val="22"/>
          <w:szCs w:val="22"/>
          <w:b w:val="1"/>
          <w:bCs w:val="1"/>
          <w:color w:val="auto"/>
        </w:rPr>
        <w:t>Security Deposit Laws</w:t>
      </w:r>
      <w:r>
        <w:rPr>
          <w:rFonts w:ascii="Arial" w:cs="Arial" w:eastAsia="Arial" w:hAnsi="Arial"/>
          <w:sz w:val="22"/>
          <w:szCs w:val="22"/>
          <w:color w:val="auto"/>
        </w:rPr>
        <w:t>”), (2) acknowledge and agree that the Letter of Credit (including any renewal thereof or substitute therefor or any proceed thereof) is not intended to serve as a security deposit, and the Security Deposit Laws shall have no applicability or relevancy thereto, and (3) waive any and all rights, duties and obligations either party may now or, in the future, will have relating to or arising from the Security Deposit Laws.</w:t>
      </w:r>
    </w:p>
    <w:p>
      <w:pPr>
        <w:spacing w:after="0" w:line="138" w:lineRule="exact"/>
        <w:rPr>
          <w:sz w:val="20"/>
          <w:szCs w:val="20"/>
          <w:color w:val="auto"/>
        </w:rPr>
      </w:pPr>
    </w:p>
    <w:p>
      <w:pPr>
        <w:ind w:left="1040" w:hanging="384"/>
        <w:spacing w:after="0"/>
        <w:tabs>
          <w:tab w:leader="none" w:pos="1040" w:val="left"/>
        </w:tabs>
        <w:numPr>
          <w:ilvl w:val="0"/>
          <w:numId w:val="521"/>
        </w:numPr>
        <w:rPr>
          <w:rFonts w:ascii="Arial" w:cs="Arial" w:eastAsia="Arial" w:hAnsi="Arial"/>
          <w:sz w:val="22"/>
          <w:szCs w:val="22"/>
          <w:color w:val="auto"/>
        </w:rPr>
      </w:pPr>
      <w:r>
        <w:rPr>
          <w:rFonts w:ascii="Arial" w:cs="Arial" w:eastAsia="Arial" w:hAnsi="Arial"/>
          <w:sz w:val="22"/>
          <w:szCs w:val="22"/>
          <w:u w:val="single" w:color="auto"/>
          <w:color w:val="auto"/>
        </w:rPr>
        <w:t>Use and Occupancy</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ind w:firstLine="1304"/>
        <w:spacing w:after="0" w:line="263" w:lineRule="auto"/>
        <w:tabs>
          <w:tab w:leader="none" w:pos="1779" w:val="left"/>
        </w:tabs>
        <w:numPr>
          <w:ilvl w:val="1"/>
          <w:numId w:val="521"/>
        </w:numPr>
        <w:rPr>
          <w:rFonts w:ascii="Arial" w:cs="Arial" w:eastAsia="Arial" w:hAnsi="Arial"/>
          <w:sz w:val="22"/>
          <w:szCs w:val="22"/>
          <w:color w:val="auto"/>
        </w:rPr>
      </w:pPr>
      <w:r>
        <w:rPr>
          <w:rFonts w:ascii="Arial" w:cs="Arial" w:eastAsia="Arial" w:hAnsi="Arial"/>
          <w:sz w:val="22"/>
          <w:szCs w:val="22"/>
          <w:u w:val="single" w:color="auto"/>
          <w:color w:val="auto"/>
        </w:rPr>
        <w:t>Use</w:t>
      </w:r>
      <w:r>
        <w:rPr>
          <w:rFonts w:ascii="Arial" w:cs="Arial" w:eastAsia="Arial" w:hAnsi="Arial"/>
          <w:sz w:val="22"/>
          <w:szCs w:val="22"/>
          <w:color w:val="auto"/>
        </w:rPr>
        <w:t>. The Subleased Premises shall be used and occupied only for general office and administrative use, and for no other use or purpose.</w:t>
      </w:r>
    </w:p>
    <w:p>
      <w:pPr>
        <w:spacing w:after="0" w:line="120" w:lineRule="exact"/>
        <w:rPr>
          <w:rFonts w:ascii="Arial" w:cs="Arial" w:eastAsia="Arial" w:hAnsi="Arial"/>
          <w:sz w:val="22"/>
          <w:szCs w:val="22"/>
          <w:color w:val="auto"/>
        </w:rPr>
      </w:pPr>
    </w:p>
    <w:p>
      <w:pPr>
        <w:ind w:left="1780" w:hanging="476"/>
        <w:spacing w:after="0"/>
        <w:tabs>
          <w:tab w:leader="none" w:pos="1780" w:val="left"/>
        </w:tabs>
        <w:numPr>
          <w:ilvl w:val="1"/>
          <w:numId w:val="521"/>
        </w:numPr>
        <w:rPr>
          <w:rFonts w:ascii="Arial" w:cs="Arial" w:eastAsia="Arial" w:hAnsi="Arial"/>
          <w:sz w:val="22"/>
          <w:szCs w:val="22"/>
          <w:color w:val="auto"/>
        </w:rPr>
      </w:pPr>
      <w:r>
        <w:rPr>
          <w:rFonts w:ascii="Arial" w:cs="Arial" w:eastAsia="Arial" w:hAnsi="Arial"/>
          <w:sz w:val="22"/>
          <w:szCs w:val="22"/>
          <w:u w:val="single" w:color="auto"/>
          <w:color w:val="auto"/>
        </w:rPr>
        <w:t>Services</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jc w:val="both"/>
        <w:ind w:firstLine="1952"/>
        <w:spacing w:after="0" w:line="287" w:lineRule="auto"/>
        <w:tabs>
          <w:tab w:leader="none" w:pos="2404" w:val="left"/>
        </w:tabs>
        <w:numPr>
          <w:ilvl w:val="2"/>
          <w:numId w:val="521"/>
        </w:numPr>
        <w:rPr>
          <w:rFonts w:ascii="Arial" w:cs="Arial" w:eastAsia="Arial" w:hAnsi="Arial"/>
          <w:sz w:val="19"/>
          <w:szCs w:val="19"/>
          <w:color w:val="auto"/>
        </w:rPr>
      </w:pPr>
      <w:r>
        <w:rPr>
          <w:rFonts w:ascii="Arial" w:cs="Arial" w:eastAsia="Arial" w:hAnsi="Arial"/>
          <w:sz w:val="19"/>
          <w:szCs w:val="19"/>
          <w:u w:val="single" w:color="auto"/>
          <w:color w:val="auto"/>
        </w:rPr>
        <w:t>Janitorial Services</w:t>
      </w:r>
      <w:r>
        <w:rPr>
          <w:rFonts w:ascii="Arial" w:cs="Arial" w:eastAsia="Arial" w:hAnsi="Arial"/>
          <w:sz w:val="19"/>
          <w:szCs w:val="19"/>
          <w:color w:val="auto"/>
        </w:rPr>
        <w:t xml:space="preserve">. As of the Effective Date, Sublandlord (as opposed to Landlord), at Sublandlord’s sole cost and expense, provides janitorial services to the Subleased Premises. During the Sublease Term Subtenant will provide janitorial services to the Subleased Premises using Sublandlord’s janitorial contractor pursuant to a separate contract between Subtenant and Sublandlord’s janitorial contractor. Subtenant will be responsible for the cost of such janitorial service. Such services will be provided in a manner reasonably commensurate in scope, level of service and frequency of services with, and not less than the scope, level of service and frequency of service than, the services provided by Sublandlord to the portions of the Master Lease Premises occupied by Sublandlord (as shown on Sublandlord’s janitorial specifications attached hereto as </w:t>
      </w:r>
      <w:r>
        <w:rPr>
          <w:rFonts w:ascii="Arial" w:cs="Arial" w:eastAsia="Arial" w:hAnsi="Arial"/>
          <w:sz w:val="19"/>
          <w:szCs w:val="19"/>
          <w:b w:val="1"/>
          <w:bCs w:val="1"/>
          <w:color w:val="auto"/>
        </w:rPr>
        <w:t>Exhibit</w:t>
      </w:r>
      <w:r>
        <w:rPr>
          <w:rFonts w:ascii="Arial" w:cs="Arial" w:eastAsia="Arial" w:hAnsi="Arial"/>
          <w:sz w:val="19"/>
          <w:szCs w:val="19"/>
          <w:color w:val="auto"/>
        </w:rPr>
        <w:t xml:space="preserve"> </w:t>
      </w:r>
      <w:r>
        <w:rPr>
          <w:rFonts w:ascii="Arial" w:cs="Arial" w:eastAsia="Arial" w:hAnsi="Arial"/>
          <w:sz w:val="19"/>
          <w:szCs w:val="19"/>
          <w:b w:val="1"/>
          <w:bCs w:val="1"/>
          <w:color w:val="auto"/>
        </w:rPr>
        <w:t>D</w:t>
      </w:r>
      <w:r>
        <w:rPr>
          <w:rFonts w:ascii="Arial" w:cs="Arial" w:eastAsia="Arial" w:hAnsi="Arial"/>
          <w:sz w:val="19"/>
          <w:szCs w:val="19"/>
          <w:color w:val="auto"/>
        </w:rPr>
        <w:t>) and in any event consistent with the operation of a LEED “Gold” building. Subtenant expressly acknowledges that if</w:t>
      </w:r>
      <w:r>
        <w:rPr>
          <w:rFonts w:ascii="Arial" w:cs="Arial" w:eastAsia="Arial" w:hAnsi="Arial"/>
          <w:sz w:val="19"/>
          <w:szCs w:val="19"/>
          <w:b w:val="1"/>
          <w:bCs w:val="1"/>
          <w:color w:val="auto"/>
        </w:rPr>
        <w:t xml:space="preserve"> </w:t>
      </w:r>
      <w:r>
        <w:rPr>
          <w:rFonts w:ascii="Arial" w:cs="Arial" w:eastAsia="Arial" w:hAnsi="Arial"/>
          <w:sz w:val="19"/>
          <w:szCs w:val="19"/>
          <w:color w:val="auto"/>
        </w:rPr>
        <w:t>Subtenant requires additional or special janitorial services within the Subleased Premises over and above the janitorial services normally provided by Sublandlord on a daily basis, Sublandlord will not be obligated to provide such service but if Sublandlord does provide such service, Subtenant shall be solely responsible for the cost of such additional or special janitorial services, as Additional Rent hereunder.</w:t>
      </w:r>
    </w:p>
    <w:p>
      <w:pPr>
        <w:spacing w:after="0" w:line="365" w:lineRule="exact"/>
        <w:rPr>
          <w:rFonts w:ascii="Arial" w:cs="Arial" w:eastAsia="Arial" w:hAnsi="Arial"/>
          <w:sz w:val="19"/>
          <w:szCs w:val="19"/>
          <w:color w:val="auto"/>
        </w:rPr>
      </w:pPr>
    </w:p>
    <w:p>
      <w:pPr>
        <w:jc w:val="both"/>
        <w:ind w:firstLine="1952"/>
        <w:spacing w:after="0" w:line="260" w:lineRule="auto"/>
        <w:tabs>
          <w:tab w:leader="none" w:pos="2464" w:val="left"/>
        </w:tabs>
        <w:numPr>
          <w:ilvl w:val="2"/>
          <w:numId w:val="521"/>
        </w:numPr>
        <w:rPr>
          <w:rFonts w:ascii="Arial" w:cs="Arial" w:eastAsia="Arial" w:hAnsi="Arial"/>
          <w:sz w:val="21"/>
          <w:szCs w:val="21"/>
          <w:color w:val="auto"/>
        </w:rPr>
      </w:pPr>
      <w:r>
        <w:rPr>
          <w:rFonts w:ascii="Arial" w:cs="Arial" w:eastAsia="Arial" w:hAnsi="Arial"/>
          <w:sz w:val="21"/>
          <w:szCs w:val="21"/>
          <w:u w:val="single" w:color="auto"/>
          <w:color w:val="auto"/>
        </w:rPr>
        <w:t>Electricity</w:t>
      </w:r>
      <w:r>
        <w:rPr>
          <w:rFonts w:ascii="Arial" w:cs="Arial" w:eastAsia="Arial" w:hAnsi="Arial"/>
          <w:sz w:val="21"/>
          <w:szCs w:val="21"/>
          <w:color w:val="auto"/>
        </w:rPr>
        <w:t>. Pursuant to the Master Lease, the cost of all electrical consumption in the Master Lease Premises is borne by Sublandlord. From and after the Commencement Date and thereafter during the Sublease Term, Subtenant shall be obligated to pay for the cost of electrical consumption in the Subleased Premises (i.e., such cost will not be included in Operating Costs). Sublandlord will invoice Subtenant, on a monthly basis, for the cost of the electrical consumption as shown either on an existing submeter(s) measuring electrical consumption in the Subleased Premises or a meter(s) to be installed by Sublandlord at Subtenant’s cost. Subtenant shall pay such costs as additional Rent hereunder within thirty (30) days following Sublandlord’s delivery of an invoice therefor to Subtenant.</w:t>
      </w:r>
    </w:p>
    <w:p>
      <w:pPr>
        <w:spacing w:after="0" w:line="126" w:lineRule="exact"/>
        <w:rPr>
          <w:rFonts w:ascii="Arial" w:cs="Arial" w:eastAsia="Arial" w:hAnsi="Arial"/>
          <w:sz w:val="21"/>
          <w:szCs w:val="21"/>
          <w:color w:val="auto"/>
        </w:rPr>
      </w:pPr>
    </w:p>
    <w:p>
      <w:pPr>
        <w:jc w:val="both"/>
        <w:ind w:firstLine="1952"/>
        <w:spacing w:after="0" w:line="248" w:lineRule="auto"/>
        <w:tabs>
          <w:tab w:leader="none" w:pos="2565" w:val="left"/>
        </w:tabs>
        <w:numPr>
          <w:ilvl w:val="2"/>
          <w:numId w:val="521"/>
        </w:numPr>
        <w:rPr>
          <w:rFonts w:ascii="Arial" w:cs="Arial" w:eastAsia="Arial" w:hAnsi="Arial"/>
          <w:sz w:val="22"/>
          <w:szCs w:val="22"/>
          <w:color w:val="auto"/>
        </w:rPr>
      </w:pPr>
      <w:r>
        <w:rPr>
          <w:rFonts w:ascii="Arial" w:cs="Arial" w:eastAsia="Arial" w:hAnsi="Arial"/>
          <w:sz w:val="22"/>
          <w:szCs w:val="22"/>
          <w:u w:val="single" w:color="auto"/>
          <w:color w:val="auto"/>
        </w:rPr>
        <w:t>Excess Services</w:t>
      </w:r>
      <w:r>
        <w:rPr>
          <w:rFonts w:ascii="Arial" w:cs="Arial" w:eastAsia="Arial" w:hAnsi="Arial"/>
          <w:sz w:val="22"/>
          <w:szCs w:val="22"/>
          <w:color w:val="auto"/>
        </w:rPr>
        <w:t>. Any other provision in this Sublease to the contrary notwithstanding, Subtenant shall pay to Sublandlord as additional Rent hereunder, within thirty (30) days following Sublandlord’s delivery of an invoice, all sums which Sublandlord may be required to pay Landlord under the Master Lease arising out of a request by Subtenant for, or the use by Subtenant of, additional or over-standard Building services (for example, but not by way of limitation, charges associated with after-hour HVAC usage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1" w:right="339" w:bottom="1440" w:gutter="0" w:footer="0" w:header="0"/>
        </w:sectPr>
      </w:pPr>
    </w:p>
    <w:bookmarkStart w:id="542" w:name="page543"/>
    <w:bookmarkEnd w:id="542"/>
    <w:p>
      <w:pPr>
        <w:spacing w:after="0" w:line="263" w:lineRule="auto"/>
        <w:rPr>
          <w:sz w:val="20"/>
          <w:szCs w:val="20"/>
          <w:color w:val="auto"/>
        </w:rPr>
      </w:pPr>
      <w:r>
        <w:rPr>
          <w:rFonts w:ascii="Arial" w:cs="Arial" w:eastAsia="Arial" w:hAnsi="Arial"/>
          <w:sz w:val="22"/>
          <w:szCs w:val="22"/>
          <w:color w:val="auto"/>
        </w:rPr>
        <w:t>overstandard utility charges and/or pest control) or any other Excess Services (as defined in Paragraph 7.a of the Original Master Lease).</w:t>
      </w:r>
    </w:p>
    <w:p>
      <w:pPr>
        <w:spacing w:after="0" w:line="121" w:lineRule="exact"/>
        <w:rPr>
          <w:sz w:val="20"/>
          <w:szCs w:val="20"/>
          <w:color w:val="auto"/>
        </w:rPr>
      </w:pPr>
    </w:p>
    <w:p>
      <w:pPr>
        <w:jc w:val="both"/>
        <w:ind w:firstLine="1304"/>
        <w:spacing w:after="0" w:line="284" w:lineRule="auto"/>
        <w:tabs>
          <w:tab w:leader="none" w:pos="1864" w:val="left"/>
        </w:tabs>
        <w:numPr>
          <w:ilvl w:val="0"/>
          <w:numId w:val="522"/>
        </w:numPr>
        <w:rPr>
          <w:rFonts w:ascii="Arial" w:cs="Arial" w:eastAsia="Arial" w:hAnsi="Arial"/>
          <w:sz w:val="19"/>
          <w:szCs w:val="19"/>
          <w:color w:val="auto"/>
        </w:rPr>
      </w:pPr>
      <w:r>
        <w:rPr>
          <w:rFonts w:ascii="Arial" w:cs="Arial" w:eastAsia="Arial" w:hAnsi="Arial"/>
          <w:sz w:val="19"/>
          <w:szCs w:val="19"/>
          <w:u w:val="single" w:color="auto"/>
          <w:color w:val="auto"/>
        </w:rPr>
        <w:t>Specialized Rooms</w:t>
      </w:r>
      <w:r>
        <w:rPr>
          <w:rFonts w:ascii="Arial" w:cs="Arial" w:eastAsia="Arial" w:hAnsi="Arial"/>
          <w:sz w:val="19"/>
          <w:szCs w:val="19"/>
          <w:color w:val="auto"/>
        </w:rPr>
        <w:t>. If the Subleased Premises, as delivered by Sublandlord to Subtenant, includes either a so-called “IDF” room or one or more mechanical rooms which contain existing operating equipment or machinery (supplemental air conditioning units, DAS systems, etc.) (each, a “</w:t>
      </w:r>
      <w:r>
        <w:rPr>
          <w:rFonts w:ascii="Arial" w:cs="Arial" w:eastAsia="Arial" w:hAnsi="Arial"/>
          <w:sz w:val="19"/>
          <w:szCs w:val="19"/>
          <w:b w:val="1"/>
          <w:bCs w:val="1"/>
          <w:color w:val="auto"/>
        </w:rPr>
        <w:t>Specialized Room</w:t>
      </w:r>
      <w:r>
        <w:rPr>
          <w:rFonts w:ascii="Arial" w:cs="Arial" w:eastAsia="Arial" w:hAnsi="Arial"/>
          <w:sz w:val="19"/>
          <w:szCs w:val="19"/>
          <w:color w:val="auto"/>
        </w:rPr>
        <w:t>” and the equipment and machinery therein “</w:t>
      </w:r>
      <w:r>
        <w:rPr>
          <w:rFonts w:ascii="Arial" w:cs="Arial" w:eastAsia="Arial" w:hAnsi="Arial"/>
          <w:sz w:val="19"/>
          <w:szCs w:val="19"/>
          <w:b w:val="1"/>
          <w:bCs w:val="1"/>
          <w:color w:val="auto"/>
        </w:rPr>
        <w:t>Specialized</w:t>
      </w:r>
      <w:r>
        <w:rPr>
          <w:rFonts w:ascii="Arial" w:cs="Arial" w:eastAsia="Arial" w:hAnsi="Arial"/>
          <w:sz w:val="19"/>
          <w:szCs w:val="19"/>
          <w:color w:val="auto"/>
        </w:rPr>
        <w:t xml:space="preserve"> </w:t>
      </w:r>
      <w:r>
        <w:rPr>
          <w:rFonts w:ascii="Arial" w:cs="Arial" w:eastAsia="Arial" w:hAnsi="Arial"/>
          <w:sz w:val="19"/>
          <w:szCs w:val="19"/>
          <w:b w:val="1"/>
          <w:bCs w:val="1"/>
          <w:color w:val="auto"/>
        </w:rPr>
        <w:t>Equipment</w:t>
      </w:r>
      <w:r>
        <w:rPr>
          <w:rFonts w:ascii="Arial" w:cs="Arial" w:eastAsia="Arial" w:hAnsi="Arial"/>
          <w:sz w:val="19"/>
          <w:szCs w:val="19"/>
          <w:color w:val="auto"/>
        </w:rPr>
        <w:t>”), Subtenant shall be responsible, from and after Delivery, for the maintenance and repair of all Specialized</w:t>
      </w:r>
      <w:r>
        <w:rPr>
          <w:rFonts w:ascii="Arial" w:cs="Arial" w:eastAsia="Arial" w:hAnsi="Arial"/>
          <w:sz w:val="19"/>
          <w:szCs w:val="19"/>
          <w:b w:val="1"/>
          <w:bCs w:val="1"/>
          <w:color w:val="auto"/>
        </w:rPr>
        <w:t xml:space="preserve"> </w:t>
      </w:r>
      <w:r>
        <w:rPr>
          <w:rFonts w:ascii="Arial" w:cs="Arial" w:eastAsia="Arial" w:hAnsi="Arial"/>
          <w:sz w:val="19"/>
          <w:szCs w:val="19"/>
          <w:color w:val="auto"/>
        </w:rPr>
        <w:t>Equipment located in any such Specialized Room in accordance with the standards maintained by Sublandlord prior to Delivery. In connection therewith, Subtenant will enter into appropriate maintenance contracts reasonably approved by Sublandlord with respect to such Specialized Equipment with a contractor or contractors approved in advance by Sublandlord (Sublandlord reserves the right to specify specific maintenance and repair contractors where, in Sublandlord’s good faith opinion, maintaining the continuity of maintenance/repair contractors is necessary for the proper upkeep of the Specialized Equipment in question and/or maintaining any applicable warranties related to such Specialized Equipment, provided that such contractors offer services at commercially reasonable rates for entities of similar skill, experience, insurance coverage and union affiliation in the San Francisco market). Subtenant will bear all costs associated with such maintenance and repair. In connection therewith, Subtenant will keep reasonably detailed records and logs of all such maintenance and repair, and upon request by Sublandlord, will make such maintenance and repair records and logs available for review by Sublandlord. Prior to the Commencement Date Sublandlord will provide Subtenant with access to Sublandlord’s complete maintenance records and logs relating to such equipment. If at any time Sublandlord determines that Subtenant is not performing its maintenance and repair obligations as described herein, Sublandlord shall have the right to notify Subtenant and, if Subtenant does not commence such maintenance within ten (10) business days thereafter (or immediately thereafter in the case of emergency, as specified in Sublandlord’s notice to Subtenant) Sublandlord shall have the right to enter the Subleased Premises and the Specialized Room in question in order to perform such maintenance and repair obligations and the cost of any such work, together with a fee of five percent (5%) of such cost, will be borne by Subtenant as additional Rent hereunder.</w:t>
      </w:r>
    </w:p>
    <w:p>
      <w:pPr>
        <w:spacing w:after="0" w:line="119" w:lineRule="exact"/>
        <w:rPr>
          <w:rFonts w:ascii="Arial" w:cs="Arial" w:eastAsia="Arial" w:hAnsi="Arial"/>
          <w:sz w:val="19"/>
          <w:szCs w:val="19"/>
          <w:color w:val="auto"/>
        </w:rPr>
      </w:pPr>
    </w:p>
    <w:p>
      <w:pPr>
        <w:jc w:val="both"/>
        <w:ind w:firstLine="1952"/>
        <w:spacing w:after="0" w:line="294" w:lineRule="auto"/>
        <w:tabs>
          <w:tab w:leader="none" w:pos="2466" w:val="left"/>
        </w:tabs>
        <w:numPr>
          <w:ilvl w:val="1"/>
          <w:numId w:val="522"/>
        </w:numPr>
        <w:rPr>
          <w:rFonts w:ascii="Arial" w:cs="Arial" w:eastAsia="Arial" w:hAnsi="Arial"/>
          <w:sz w:val="19"/>
          <w:szCs w:val="19"/>
          <w:color w:val="auto"/>
        </w:rPr>
      </w:pPr>
      <w:r>
        <w:rPr>
          <w:rFonts w:ascii="Arial" w:cs="Arial" w:eastAsia="Arial" w:hAnsi="Arial"/>
          <w:sz w:val="19"/>
          <w:szCs w:val="19"/>
          <w:u w:val="single" w:color="auto"/>
          <w:color w:val="auto"/>
        </w:rPr>
        <w:t>Rules and Regulations</w:t>
      </w:r>
      <w:r>
        <w:rPr>
          <w:rFonts w:ascii="Arial" w:cs="Arial" w:eastAsia="Arial" w:hAnsi="Arial"/>
          <w:sz w:val="19"/>
          <w:szCs w:val="19"/>
          <w:color w:val="auto"/>
        </w:rPr>
        <w:t xml:space="preserve">. In addition to the Rules and Regulations attached to and made a part of the Master Lease, Subtenant will comply with the commercially reasonable rules and regulations issued (and reasonably modified) from time to time by Sublandlord regarding food services and food deliveries to the Subleased Premises, security protocols at the Building, other deliveries to the Subleased Premises as well as vendor/contractor entry/access to the Building and the Subleased Premises. Sublandlord’s current rules and regulations are attached hereto as </w:t>
      </w:r>
      <w:r>
        <w:rPr>
          <w:rFonts w:ascii="Arial" w:cs="Arial" w:eastAsia="Arial" w:hAnsi="Arial"/>
          <w:sz w:val="19"/>
          <w:szCs w:val="19"/>
          <w:b w:val="1"/>
          <w:bCs w:val="1"/>
          <w:color w:val="auto"/>
        </w:rPr>
        <w:t>Exhibit E</w:t>
      </w:r>
      <w:r>
        <w:rPr>
          <w:rFonts w:ascii="Arial" w:cs="Arial" w:eastAsia="Arial" w:hAnsi="Arial"/>
          <w:sz w:val="19"/>
          <w:szCs w:val="19"/>
          <w:color w:val="auto"/>
        </w:rPr>
        <w:t>. In the event of any clear conflict between the terms of this Sublease and the terms of the rules and regulations attached hereto, the terms of this Sublease will control.</w:t>
      </w:r>
    </w:p>
    <w:p>
      <w:pPr>
        <w:spacing w:after="0" w:line="95" w:lineRule="exact"/>
        <w:rPr>
          <w:sz w:val="20"/>
          <w:szCs w:val="20"/>
          <w:color w:val="auto"/>
        </w:rPr>
      </w:pPr>
    </w:p>
    <w:p>
      <w:pPr>
        <w:jc w:val="both"/>
        <w:ind w:firstLine="1304"/>
        <w:spacing w:after="0" w:line="312" w:lineRule="auto"/>
        <w:tabs>
          <w:tab w:leader="none" w:pos="1779" w:val="left"/>
        </w:tabs>
        <w:numPr>
          <w:ilvl w:val="0"/>
          <w:numId w:val="523"/>
        </w:numPr>
        <w:rPr>
          <w:rFonts w:ascii="Arial" w:cs="Arial" w:eastAsia="Arial" w:hAnsi="Arial"/>
          <w:sz w:val="19"/>
          <w:szCs w:val="19"/>
          <w:color w:val="auto"/>
        </w:rPr>
      </w:pPr>
      <w:r>
        <w:rPr>
          <w:rFonts w:ascii="Arial" w:cs="Arial" w:eastAsia="Arial" w:hAnsi="Arial"/>
          <w:sz w:val="19"/>
          <w:szCs w:val="19"/>
          <w:u w:val="single" w:color="auto"/>
          <w:color w:val="auto"/>
        </w:rPr>
        <w:t>Compliance with Master Lease</w:t>
      </w:r>
      <w:r>
        <w:rPr>
          <w:rFonts w:ascii="Arial" w:cs="Arial" w:eastAsia="Arial" w:hAnsi="Arial"/>
          <w:sz w:val="19"/>
          <w:szCs w:val="19"/>
          <w:color w:val="auto"/>
        </w:rPr>
        <w:t>. Subtenant will occupy the Subleased Premises in accordance with the terms of the Master Lease and will not suffer to be done, or omit to do, any act which may result in a violation of or a default under the Master Lease, or render Sublandlord liable for any damage, charge or expense thereunder. Subtenant will indemnify,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7" w:right="339" w:bottom="1440" w:gutter="0" w:footer="0" w:header="0"/>
        </w:sectPr>
      </w:pPr>
    </w:p>
    <w:bookmarkStart w:id="543" w:name="page544"/>
    <w:bookmarkEnd w:id="543"/>
    <w:p>
      <w:pPr>
        <w:jc w:val="both"/>
        <w:spacing w:after="0" w:line="246" w:lineRule="auto"/>
        <w:rPr>
          <w:sz w:val="20"/>
          <w:szCs w:val="20"/>
          <w:color w:val="auto"/>
        </w:rPr>
      </w:pPr>
      <w:r>
        <w:rPr>
          <w:rFonts w:ascii="Arial" w:cs="Arial" w:eastAsia="Arial" w:hAnsi="Arial"/>
          <w:sz w:val="22"/>
          <w:szCs w:val="22"/>
          <w:color w:val="auto"/>
        </w:rPr>
        <w:t>defend, protect and hold Sublandlord harmless from and against any loss, cost, damage or liability (including reasonable attorneys’ fees) of any kind or nature arising out of, by reason of, or resulting from, Subtenant’s failure to perform or observe any of the terms and conditions of the Master Lease or this Sublease. Sublandlord will comply with the terms of the Master Lease and will not take any action which shall result in an “Event of Default” by Sublandlord, as tenant, under the Master Lease, or permit the termination of the Master Lease as a result of any breach or “Event of Default” by Sublandlord (provided that Sublandlord will not be deemed to be in violation of this clause if such breach or “Event of Default” results from any act or omission of Subtenant).</w:t>
      </w:r>
    </w:p>
    <w:p>
      <w:pPr>
        <w:spacing w:after="0" w:line="142" w:lineRule="exact"/>
        <w:rPr>
          <w:sz w:val="20"/>
          <w:szCs w:val="20"/>
          <w:color w:val="auto"/>
        </w:rPr>
      </w:pPr>
    </w:p>
    <w:p>
      <w:pPr>
        <w:jc w:val="both"/>
        <w:ind w:firstLine="1304"/>
        <w:spacing w:after="0" w:line="280" w:lineRule="auto"/>
        <w:tabs>
          <w:tab w:leader="none" w:pos="1899" w:val="left"/>
        </w:tabs>
        <w:numPr>
          <w:ilvl w:val="0"/>
          <w:numId w:val="524"/>
        </w:numPr>
        <w:rPr>
          <w:rFonts w:ascii="Arial" w:cs="Arial" w:eastAsia="Arial" w:hAnsi="Arial"/>
          <w:sz w:val="19"/>
          <w:szCs w:val="19"/>
          <w:color w:val="auto"/>
        </w:rPr>
      </w:pPr>
      <w:r>
        <w:rPr>
          <w:rFonts w:ascii="Arial" w:cs="Arial" w:eastAsia="Arial" w:hAnsi="Arial"/>
          <w:sz w:val="19"/>
          <w:szCs w:val="19"/>
          <w:u w:val="single" w:color="auto"/>
          <w:color w:val="auto"/>
        </w:rPr>
        <w:t>Landlord’s Obligations</w:t>
      </w:r>
      <w:r>
        <w:rPr>
          <w:rFonts w:ascii="Arial" w:cs="Arial" w:eastAsia="Arial" w:hAnsi="Arial"/>
          <w:sz w:val="19"/>
          <w:szCs w:val="19"/>
          <w:color w:val="auto"/>
        </w:rPr>
        <w:t>. Sublandlord shall not be required to perform any of the covenants, agreements and/or obligations of Landlord under the Master Lease, and, insofar as any of the covenants, agreements and obligations of Sublandlord hereunder are required to be performed under the Master Lease by Landlord thereunder, Subtenant acknowledges and agrees that Sublandlord shall be entitled to look to Landlord for such performance (except with respect to Sublandlord’s obligation to pay Monthly Rent (as defined in the Master Lease) to Landlord in accordance with the terms of the Master Lease, in which case Subtenant shall look to Sublandlord). In addition, Sublandlord shall have no obligation to perform any repairs or any other obligations of Landlord under the Master Lease, nor shall any representations or warranties made by Landlord under the Master Lease be deemed to have been made by Sublandlord. Sublandlord shall not be responsible for any failure or interruption of the services or facilities that may be appurtenant to or supplied at the Building by Landlord or otherwise, including, without limitation, heat, air conditioning, ventilation, life-safety, water, electricity, elevator service and cleaning service, if any; and no failure to furnish, or interruption of, any such services or facilities shall give rise to any (a) abatement, diminution or reduction of Subtenant’s obligations under this Sublease (provided that if Sublandlord is entitled to an abatement of Rent payable under the Master Lease with respect to the Subleased Premises as a result of an interruption in services, or Landlord’s failure to provide such services, to the Subleased Premises, including, without limitation, pursuant to Paragraphs 17.e or 23 of the Original Master Lease, Subtenant will be entitled to a parallel abatement of the Rent payable hereunder), or (b) liability on the part of Sublandlord. Notwithstanding the foregoing, if the Subleased Premises, or a material portion of the Subleased Premises, are made untenantable for a period in excess of five (5) consecutive business days following Subtenant’s notice to Sublandlord of the occurrence of a service interruption as a result of a service interruption that is reasonably within the control of Sublandlord to correct or which is caused by Sublandlord’s gross negligence or willful misconduct (and through no fault of Subtenant) and provided that Subtenant in fact cannot and does not use the Subleased Premises (or such portion) as a consequence of such service interruption, then Subtenant, as its sole remedy, shall be entitled to receive an abatement of Rent payable hereunder during the period beginning on the sixth (6</w:t>
      </w:r>
      <w:r>
        <w:rPr>
          <w:rFonts w:ascii="Arial" w:cs="Arial" w:eastAsia="Arial" w:hAnsi="Arial"/>
          <w:sz w:val="25"/>
          <w:szCs w:val="25"/>
          <w:color w:val="auto"/>
          <w:vertAlign w:val="superscript"/>
        </w:rPr>
        <w:t>th</w:t>
      </w:r>
      <w:r>
        <w:rPr>
          <w:rFonts w:ascii="Arial" w:cs="Arial" w:eastAsia="Arial" w:hAnsi="Arial"/>
          <w:sz w:val="19"/>
          <w:szCs w:val="19"/>
          <w:color w:val="auto"/>
        </w:rPr>
        <w:t>) consecutive business day following Subtenant’s notice to Sublandlord of the service interruption and ending on the day such service has been restored. Notwithstanding the foregoing, if Landlord shall default in any of its obligations to perform services with respect to the Subleased Premises, Sublandlord shall use good faith efforts, under the circumstances, to seek Landlord’s performance upon Subtenant’s request to Sublandlord to do so and shall thereafter seek such performance on the part of Landlord; the foregoing provisions of this sentence shall in no event be deemed to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7" w:right="339" w:bottom="1440" w:gutter="0" w:footer="0" w:header="0"/>
        </w:sectPr>
      </w:pPr>
    </w:p>
    <w:bookmarkStart w:id="544" w:name="page545"/>
    <w:bookmarkEnd w:id="544"/>
    <w:p>
      <w:pPr>
        <w:spacing w:after="0" w:line="287" w:lineRule="auto"/>
        <w:rPr>
          <w:sz w:val="20"/>
          <w:szCs w:val="20"/>
          <w:color w:val="auto"/>
        </w:rPr>
      </w:pPr>
      <w:r>
        <w:rPr>
          <w:rFonts w:ascii="Arial" w:cs="Arial" w:eastAsia="Arial" w:hAnsi="Arial"/>
          <w:sz w:val="21"/>
          <w:szCs w:val="21"/>
          <w:color w:val="auto"/>
        </w:rPr>
        <w:t>Sublandlord to commence any legal proceeding, arbitration or any other similar form of process unless Sublandlord, in Sublandlord’s good faith discretion, determines that commencement of such action is necessary and appropriate.</w:t>
      </w:r>
    </w:p>
    <w:p>
      <w:pPr>
        <w:spacing w:after="0" w:line="97" w:lineRule="exact"/>
        <w:rPr>
          <w:sz w:val="20"/>
          <w:szCs w:val="20"/>
          <w:color w:val="auto"/>
        </w:rPr>
      </w:pPr>
    </w:p>
    <w:p>
      <w:pPr>
        <w:jc w:val="both"/>
        <w:ind w:firstLine="1304"/>
        <w:spacing w:after="0" w:line="260" w:lineRule="auto"/>
        <w:tabs>
          <w:tab w:leader="none" w:pos="1900" w:val="left"/>
        </w:tabs>
        <w:numPr>
          <w:ilvl w:val="0"/>
          <w:numId w:val="525"/>
        </w:numPr>
        <w:rPr>
          <w:rFonts w:ascii="Arial" w:cs="Arial" w:eastAsia="Arial" w:hAnsi="Arial"/>
          <w:sz w:val="21"/>
          <w:szCs w:val="21"/>
          <w:color w:val="auto"/>
        </w:rPr>
      </w:pPr>
      <w:r>
        <w:rPr>
          <w:rFonts w:ascii="Arial" w:cs="Arial" w:eastAsia="Arial" w:hAnsi="Arial"/>
          <w:sz w:val="21"/>
          <w:szCs w:val="21"/>
          <w:u w:val="single" w:color="auto"/>
          <w:color w:val="auto"/>
        </w:rPr>
        <w:t>Access</w:t>
      </w:r>
      <w:r>
        <w:rPr>
          <w:rFonts w:ascii="Arial" w:cs="Arial" w:eastAsia="Arial" w:hAnsi="Arial"/>
          <w:sz w:val="21"/>
          <w:szCs w:val="21"/>
          <w:color w:val="auto"/>
        </w:rPr>
        <w:t>. Sublandlord will leave the existing card readers and cameras in (and governing access to) the Subleased Premises in place, but will remove the security “head end” system and Subtenant will be required to install its own such system (subject to the consent of Landlord and Sublandlord, provided, however, if Landlord consents to the installation of such systems, Sublandlord shall not unreasonably withhold, condition or delay its consent therefor). If Subtenant desires to have only one card governing all access (i.e., both to the Building and the Subleased Premises), Subtenant must use an iClass SE or “proxy card”. If not, a separate badge will be issued at Subtenant’s cost (initial badges and replacement badges) by Sublandlord to provide access to the Building, garage, turnstiles, and elevators.</w:t>
      </w:r>
    </w:p>
    <w:p>
      <w:pPr>
        <w:spacing w:after="0" w:line="126" w:lineRule="exact"/>
        <w:rPr>
          <w:rFonts w:ascii="Arial" w:cs="Arial" w:eastAsia="Arial" w:hAnsi="Arial"/>
          <w:sz w:val="21"/>
          <w:szCs w:val="21"/>
          <w:color w:val="auto"/>
        </w:rPr>
      </w:pPr>
    </w:p>
    <w:p>
      <w:pPr>
        <w:jc w:val="both"/>
        <w:ind w:firstLine="1304"/>
        <w:spacing w:after="0" w:line="312" w:lineRule="auto"/>
        <w:tabs>
          <w:tab w:leader="none" w:pos="1795" w:val="left"/>
        </w:tabs>
        <w:numPr>
          <w:ilvl w:val="0"/>
          <w:numId w:val="525"/>
        </w:numPr>
        <w:rPr>
          <w:rFonts w:ascii="Arial" w:cs="Arial" w:eastAsia="Arial" w:hAnsi="Arial"/>
          <w:sz w:val="19"/>
          <w:szCs w:val="19"/>
          <w:color w:val="auto"/>
        </w:rPr>
      </w:pPr>
      <w:r>
        <w:rPr>
          <w:rFonts w:ascii="Arial" w:cs="Arial" w:eastAsia="Arial" w:hAnsi="Arial"/>
          <w:sz w:val="19"/>
          <w:szCs w:val="19"/>
          <w:u w:val="single" w:color="auto"/>
          <w:color w:val="auto"/>
        </w:rPr>
        <w:t>Bicycle Parking</w:t>
      </w:r>
      <w:r>
        <w:rPr>
          <w:rFonts w:ascii="Arial" w:cs="Arial" w:eastAsia="Arial" w:hAnsi="Arial"/>
          <w:sz w:val="19"/>
          <w:szCs w:val="19"/>
          <w:color w:val="auto"/>
        </w:rPr>
        <w:t>. Bicycle parking is available in the lower level of the Building on a first come-first serve basis. No bicycles are permitted in the Building’s elevators or in the Subleased Premises, and is controlled by Landlord, not Sublandlord. Sublandlord will have no liability to Subtenant for any lack of accessibility of bicycle parking space.</w:t>
      </w:r>
    </w:p>
    <w:p>
      <w:pPr>
        <w:spacing w:after="0" w:line="79" w:lineRule="exact"/>
        <w:rPr>
          <w:rFonts w:ascii="Arial" w:cs="Arial" w:eastAsia="Arial" w:hAnsi="Arial"/>
          <w:sz w:val="19"/>
          <w:szCs w:val="19"/>
          <w:color w:val="auto"/>
        </w:rPr>
      </w:pPr>
    </w:p>
    <w:p>
      <w:pPr>
        <w:jc w:val="both"/>
        <w:ind w:firstLine="1304"/>
        <w:spacing w:after="0" w:line="284" w:lineRule="auto"/>
        <w:tabs>
          <w:tab w:leader="none" w:pos="2034" w:val="left"/>
        </w:tabs>
        <w:numPr>
          <w:ilvl w:val="0"/>
          <w:numId w:val="525"/>
        </w:numPr>
        <w:rPr>
          <w:rFonts w:ascii="Arial" w:cs="Arial" w:eastAsia="Arial" w:hAnsi="Arial"/>
          <w:sz w:val="19"/>
          <w:szCs w:val="19"/>
          <w:color w:val="auto"/>
        </w:rPr>
      </w:pPr>
      <w:r>
        <w:rPr>
          <w:rFonts w:ascii="Arial" w:cs="Arial" w:eastAsia="Arial" w:hAnsi="Arial"/>
          <w:sz w:val="19"/>
          <w:szCs w:val="19"/>
          <w:u w:val="single" w:color="auto"/>
          <w:color w:val="auto"/>
        </w:rPr>
        <w:t>Access to Building Stairwell</w:t>
      </w:r>
      <w:r>
        <w:rPr>
          <w:rFonts w:ascii="Arial" w:cs="Arial" w:eastAsia="Arial" w:hAnsi="Arial"/>
          <w:sz w:val="19"/>
          <w:szCs w:val="19"/>
          <w:color w:val="auto"/>
        </w:rPr>
        <w:t>. Subject to Landlord's prior written approval and to Landlord’s and Sublandlord’s rules and regulations (as the same may be revised from time to time) and any and all laws, the original Subtenant named herein only shall have the non- exclusive right (the “</w:t>
      </w:r>
      <w:r>
        <w:rPr>
          <w:rFonts w:ascii="Arial" w:cs="Arial" w:eastAsia="Arial" w:hAnsi="Arial"/>
          <w:sz w:val="19"/>
          <w:szCs w:val="19"/>
          <w:b w:val="1"/>
          <w:bCs w:val="1"/>
          <w:color w:val="auto"/>
        </w:rPr>
        <w:t>Stairwell Right</w:t>
      </w:r>
      <w:r>
        <w:rPr>
          <w:rFonts w:ascii="Arial" w:cs="Arial" w:eastAsia="Arial" w:hAnsi="Arial"/>
          <w:sz w:val="19"/>
          <w:szCs w:val="19"/>
          <w:color w:val="auto"/>
        </w:rPr>
        <w:t>”) during the Sublease Term to allow its employees and business visitors to use the Building stairwell between the full floors of the Building which comprise the Subleased Premises (the “</w:t>
      </w:r>
      <w:r>
        <w:rPr>
          <w:rFonts w:ascii="Arial" w:cs="Arial" w:eastAsia="Arial" w:hAnsi="Arial"/>
          <w:sz w:val="19"/>
          <w:szCs w:val="19"/>
          <w:b w:val="1"/>
          <w:bCs w:val="1"/>
          <w:color w:val="auto"/>
        </w:rPr>
        <w:t>Stairwell</w:t>
      </w:r>
      <w:r>
        <w:rPr>
          <w:rFonts w:ascii="Arial" w:cs="Arial" w:eastAsia="Arial" w:hAnsi="Arial"/>
          <w:sz w:val="19"/>
          <w:szCs w:val="19"/>
          <w:color w:val="auto"/>
        </w:rPr>
        <w:t>”) solely for purposes of ingress and egress from and between on such floors of the Building. Subject to Landlord’s and Sublandlord’s approval (and Sublandlord hereby agrees that if Landlord has granted its approval of the Stairwell Security System (as defined below), Sublandlord shall not unreasonably withhold, condition or delay its approval therefor) and to all applicable laws, Subtenant, at its sole cost and expense, may install and maintain a separate security access system (the “</w:t>
      </w:r>
      <w:r>
        <w:rPr>
          <w:rFonts w:ascii="Arial" w:cs="Arial" w:eastAsia="Arial" w:hAnsi="Arial"/>
          <w:sz w:val="19"/>
          <w:szCs w:val="19"/>
          <w:b w:val="1"/>
          <w:bCs w:val="1"/>
          <w:color w:val="auto"/>
        </w:rPr>
        <w:t>Stairwell Security System</w:t>
      </w:r>
      <w:r>
        <w:rPr>
          <w:rFonts w:ascii="Arial" w:cs="Arial" w:eastAsia="Arial" w:hAnsi="Arial"/>
          <w:sz w:val="19"/>
          <w:szCs w:val="19"/>
          <w:color w:val="auto"/>
        </w:rPr>
        <w:t>”) on the interior of the Stairwell which will limit Stairwell access to the Subleased Premises to Landlord's, Sublandlord’s and Subtenant's authorized users; any such Stairwell Security System must be compatible with any card readers and badge system currently installed within the Subleased Premises which govern access to the Stairwell and must be approved in advance by Sublandlord’s head of security services. Subtenant will have no right to (i) perform upgrades or modifications to the finishes, fixtures or improvements in the Stairwell or (ii) alter or change the Stairwell in any manner whatsoever except for Subtenant’s installation of the Stairwell Security System as described herein. Subtenant's use of the Stairwell shall not disturb the use and quiet enjoyment of other occupants in the Building. No loitering is permitted in the Stairwell, and no food or beverages may be consumed or carried in the Stairwell. No smoking is permitted in the Stairwell. Subtenant will not place any personal property, furniture, etc., in the Stairwell. Any business visitors of Subtenant who use the Stairwell must be accompanied by an employee of Subtenant during any such access. The incremental cost of cleaning and maintenance, to the extent greater than the standard cleaning and maintenance costs of the Stairwell performed by Landlord or Sublandlord and arising from Subtenant's use of the Stairwell shall be reimbursed to Landlord or Sublandlord (as additional Rent), as applicable,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7" w:right="339" w:bottom="1440" w:gutter="0" w:footer="0" w:header="0"/>
        </w:sectPr>
      </w:pPr>
    </w:p>
    <w:bookmarkStart w:id="545" w:name="page546"/>
    <w:bookmarkEnd w:id="545"/>
    <w:p>
      <w:pPr>
        <w:jc w:val="both"/>
        <w:spacing w:after="0" w:line="290" w:lineRule="auto"/>
        <w:rPr>
          <w:sz w:val="20"/>
          <w:szCs w:val="20"/>
          <w:color w:val="auto"/>
        </w:rPr>
      </w:pPr>
      <w:r>
        <w:rPr>
          <w:rFonts w:ascii="Arial" w:cs="Arial" w:eastAsia="Arial" w:hAnsi="Arial"/>
          <w:sz w:val="19"/>
          <w:szCs w:val="19"/>
          <w:color w:val="auto"/>
        </w:rPr>
        <w:t>Subtenant within thirty (30) days following demand therefor. Subtenant’s use of the Stairwell and the installation, operation and maintenance of the Stairwell Security System shall be at Subtenant's sole risk and Landlord and Sublandlord will have no liability whatsoever in connection therewith. Accordingly, Subtenant will defend, indemnify and hold Landlord and Sublandlord harmless from and against any and all loss, cost, liability or damage arising from Subtenant's use of the Stairwell (except to the extent arising as a result of the gross negligence or willful misconduct of Sublandlord or Landlord) and/or from the installation, operation and maintenance of the Stairwell Security System. The right set forth in this Section 5(g) is personal to the original Subtenant only and may not be subleased or assigned except to a subtenant or assignee meeting the qualifications set forth in Paragraph 13.h of the Original Master Lease (as modified for incorporation by reference herein as described in Section 7 below).</w:t>
      </w:r>
    </w:p>
    <w:p>
      <w:pPr>
        <w:spacing w:after="0" w:line="102" w:lineRule="exact"/>
        <w:rPr>
          <w:sz w:val="20"/>
          <w:szCs w:val="20"/>
          <w:color w:val="auto"/>
        </w:rPr>
      </w:pPr>
    </w:p>
    <w:p>
      <w:pPr>
        <w:ind w:left="1040" w:hanging="384"/>
        <w:spacing w:after="0"/>
        <w:tabs>
          <w:tab w:leader="none" w:pos="1040" w:val="left"/>
        </w:tabs>
        <w:numPr>
          <w:ilvl w:val="0"/>
          <w:numId w:val="526"/>
        </w:numPr>
        <w:rPr>
          <w:rFonts w:ascii="Arial" w:cs="Arial" w:eastAsia="Arial" w:hAnsi="Arial"/>
          <w:sz w:val="22"/>
          <w:szCs w:val="22"/>
          <w:color w:val="auto"/>
        </w:rPr>
      </w:pPr>
      <w:r>
        <w:rPr>
          <w:rFonts w:ascii="Arial" w:cs="Arial" w:eastAsia="Arial" w:hAnsi="Arial"/>
          <w:sz w:val="22"/>
          <w:szCs w:val="22"/>
          <w:u w:val="single" w:color="auto"/>
          <w:color w:val="auto"/>
        </w:rPr>
        <w:t>Master Lease and Sublease Terms</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jc w:val="both"/>
        <w:ind w:firstLine="1304"/>
        <w:spacing w:after="0" w:line="292" w:lineRule="auto"/>
        <w:tabs>
          <w:tab w:leader="none" w:pos="1833" w:val="left"/>
        </w:tabs>
        <w:numPr>
          <w:ilvl w:val="1"/>
          <w:numId w:val="526"/>
        </w:numPr>
        <w:rPr>
          <w:rFonts w:ascii="Arial" w:cs="Arial" w:eastAsia="Arial" w:hAnsi="Arial"/>
          <w:sz w:val="19"/>
          <w:szCs w:val="19"/>
          <w:color w:val="auto"/>
        </w:rPr>
      </w:pPr>
      <w:r>
        <w:rPr>
          <w:rFonts w:ascii="Arial" w:cs="Arial" w:eastAsia="Arial" w:hAnsi="Arial"/>
          <w:sz w:val="19"/>
          <w:szCs w:val="19"/>
          <w:u w:val="single" w:color="auto"/>
          <w:color w:val="auto"/>
        </w:rPr>
        <w:t>Subject to Master Lease</w:t>
      </w:r>
      <w:r>
        <w:rPr>
          <w:rFonts w:ascii="Arial" w:cs="Arial" w:eastAsia="Arial" w:hAnsi="Arial"/>
          <w:sz w:val="19"/>
          <w:szCs w:val="19"/>
          <w:color w:val="auto"/>
        </w:rPr>
        <w:t>. This Sublease is and shall be at all times subject and subordinate to the Master Lease. Subtenant acknowledges that Subtenant has reviewed and is familiar with all of the terms, agreements, covenants and conditions of the Master Lease. During the Sublease Term and for all periods subsequent thereto with respect to obligations which have arisen prior to the termination of this Sublease, Subtenant agrees to perform and comply with, for the benefit of Sublandlord and Landlord, the obligations of Sublandlord under the Master Lease which pertain to the Subleased Premises and/or this Sublease, except for those provisions of the Master Lease which are directly contradicted by this Sublease, in which event the terms of this Sublease document shall control over the Master Lease.</w:t>
      </w:r>
    </w:p>
    <w:p>
      <w:pPr>
        <w:spacing w:after="0" w:line="96" w:lineRule="exact"/>
        <w:rPr>
          <w:rFonts w:ascii="Arial" w:cs="Arial" w:eastAsia="Arial" w:hAnsi="Arial"/>
          <w:sz w:val="19"/>
          <w:szCs w:val="19"/>
          <w:color w:val="auto"/>
        </w:rPr>
      </w:pPr>
    </w:p>
    <w:p>
      <w:pPr>
        <w:jc w:val="both"/>
        <w:ind w:firstLine="1304"/>
        <w:spacing w:after="0" w:line="286" w:lineRule="auto"/>
        <w:tabs>
          <w:tab w:leader="none" w:pos="1764" w:val="left"/>
        </w:tabs>
        <w:numPr>
          <w:ilvl w:val="1"/>
          <w:numId w:val="526"/>
        </w:numPr>
        <w:rPr>
          <w:rFonts w:ascii="Arial" w:cs="Arial" w:eastAsia="Arial" w:hAnsi="Arial"/>
          <w:sz w:val="19"/>
          <w:szCs w:val="19"/>
          <w:color w:val="auto"/>
        </w:rPr>
      </w:pPr>
      <w:r>
        <w:rPr>
          <w:rFonts w:ascii="Arial" w:cs="Arial" w:eastAsia="Arial" w:hAnsi="Arial"/>
          <w:sz w:val="19"/>
          <w:szCs w:val="19"/>
          <w:u w:val="single" w:color="auto"/>
          <w:color w:val="auto"/>
        </w:rPr>
        <w:t>Incorporation of Terms of Master Lease</w:t>
      </w:r>
      <w:r>
        <w:rPr>
          <w:rFonts w:ascii="Arial" w:cs="Arial" w:eastAsia="Arial" w:hAnsi="Arial"/>
          <w:sz w:val="19"/>
          <w:szCs w:val="19"/>
          <w:color w:val="auto"/>
        </w:rPr>
        <w:t>. The terms, conditions and respective obligations of Sublandlord and Subtenant to each other under this Sublease shall be the terms and conditions of the Master Lease, except for those provisions of the Master Lease which are directly contradicted by this Sublease, in which event the terms of this Sublease shall control over the Master Lease. Therefore, for the purposes of this Sublease, wherever in the Master Lease the word “Landlord” is used it shall be deemed to mean Sublandlord and wherever in the Master Lease the word “Tenant” is used it shall be deemed to mean Subtenant. Additionally, wherever in the Master Lease the word “Premises” is used it shall be deemed to mean the Subleased Premises. Any non-liability, release, indemnity or hold harmless provision in the Master Lease for the benefit of Landlord that is incorporated herein by reference, shall be deemed to inure to the benefit of Sublandlord, Landlord, and any other person intended to be benefited by said provision, for the purpose of incorporation by reference in this Sublease. Any right of Landlord under the Master Lease (a) of access or inspection, (b) to do work in the Master Lease Premises (inclusive of the Subleased Premises) or in the Building, (c) to impose or enforce rules and regulations, and construction standards, as updated from time to time, which are incorporated herein by reference, shall be deemed to inure to the benefit of Sublandlord, Landlord, and any other person intended to be benefited by said provision, for the purpose of incorporation by reference in this Sublease.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7" w:right="339" w:bottom="1440" w:gutter="0" w:footer="0" w:header="0"/>
        </w:sectPr>
      </w:pPr>
    </w:p>
    <w:bookmarkStart w:id="546" w:name="page547"/>
    <w:bookmarkEnd w:id="546"/>
    <w:p>
      <w:pPr>
        <w:ind w:right="20" w:firstLine="1304"/>
        <w:spacing w:after="0" w:line="263" w:lineRule="auto"/>
        <w:tabs>
          <w:tab w:leader="none" w:pos="1846" w:val="left"/>
        </w:tabs>
        <w:numPr>
          <w:ilvl w:val="0"/>
          <w:numId w:val="527"/>
        </w:numPr>
        <w:rPr>
          <w:rFonts w:ascii="Arial" w:cs="Arial" w:eastAsia="Arial" w:hAnsi="Arial"/>
          <w:sz w:val="22"/>
          <w:szCs w:val="22"/>
          <w:color w:val="auto"/>
        </w:rPr>
      </w:pPr>
      <w:r>
        <w:rPr>
          <w:rFonts w:ascii="Arial" w:cs="Arial" w:eastAsia="Arial" w:hAnsi="Arial"/>
          <w:sz w:val="22"/>
          <w:szCs w:val="22"/>
          <w:u w:val="single" w:color="auto"/>
          <w:color w:val="auto"/>
        </w:rPr>
        <w:t>Modifications</w:t>
      </w:r>
      <w:r>
        <w:rPr>
          <w:rFonts w:ascii="Arial" w:cs="Arial" w:eastAsia="Arial" w:hAnsi="Arial"/>
          <w:sz w:val="22"/>
          <w:szCs w:val="22"/>
          <w:color w:val="auto"/>
        </w:rPr>
        <w:t>. For the purposes of incorporation herein, the terms of the Master Lease are subject to the following additional modifications:</w:t>
      </w:r>
    </w:p>
    <w:p>
      <w:pPr>
        <w:spacing w:after="0" w:line="120" w:lineRule="exact"/>
        <w:rPr>
          <w:rFonts w:ascii="Arial" w:cs="Arial" w:eastAsia="Arial" w:hAnsi="Arial"/>
          <w:sz w:val="22"/>
          <w:szCs w:val="22"/>
          <w:color w:val="auto"/>
        </w:rPr>
      </w:pPr>
    </w:p>
    <w:p>
      <w:pPr>
        <w:jc w:val="both"/>
        <w:ind w:firstLine="1952"/>
        <w:spacing w:after="0" w:line="253" w:lineRule="auto"/>
        <w:tabs>
          <w:tab w:leader="none" w:pos="2499" w:val="left"/>
        </w:tabs>
        <w:numPr>
          <w:ilvl w:val="1"/>
          <w:numId w:val="527"/>
        </w:numPr>
        <w:rPr>
          <w:rFonts w:ascii="Arial" w:cs="Arial" w:eastAsia="Arial" w:hAnsi="Arial"/>
          <w:sz w:val="22"/>
          <w:szCs w:val="22"/>
          <w:color w:val="auto"/>
        </w:rPr>
      </w:pPr>
      <w:r>
        <w:rPr>
          <w:rFonts w:ascii="Arial" w:cs="Arial" w:eastAsia="Arial" w:hAnsi="Arial"/>
          <w:sz w:val="22"/>
          <w:szCs w:val="22"/>
          <w:u w:val="single" w:color="auto"/>
          <w:color w:val="auto"/>
        </w:rPr>
        <w:t>Approvals</w:t>
      </w:r>
      <w:r>
        <w:rPr>
          <w:rFonts w:ascii="Arial" w:cs="Arial" w:eastAsia="Arial" w:hAnsi="Arial"/>
          <w:sz w:val="22"/>
          <w:szCs w:val="22"/>
          <w:color w:val="auto"/>
        </w:rPr>
        <w:t>. In all provisions of the Master Lease (under the terms thereof and without regard to modifications thereof for purposes of incorporation into this Sublease) requiring the approval or consent of Landlord, Subtenant shall be required to obtain the approval or consent of both Sublandlord and Landlord.</w:t>
      </w:r>
    </w:p>
    <w:p>
      <w:pPr>
        <w:spacing w:after="0" w:line="131" w:lineRule="exact"/>
        <w:rPr>
          <w:rFonts w:ascii="Arial" w:cs="Arial" w:eastAsia="Arial" w:hAnsi="Arial"/>
          <w:sz w:val="22"/>
          <w:szCs w:val="22"/>
          <w:color w:val="auto"/>
        </w:rPr>
      </w:pPr>
    </w:p>
    <w:p>
      <w:pPr>
        <w:jc w:val="both"/>
        <w:ind w:firstLine="1952"/>
        <w:spacing w:after="0" w:line="253" w:lineRule="auto"/>
        <w:tabs>
          <w:tab w:leader="none" w:pos="2518" w:val="left"/>
        </w:tabs>
        <w:numPr>
          <w:ilvl w:val="1"/>
          <w:numId w:val="527"/>
        </w:numPr>
        <w:rPr>
          <w:rFonts w:ascii="Arial" w:cs="Arial" w:eastAsia="Arial" w:hAnsi="Arial"/>
          <w:sz w:val="22"/>
          <w:szCs w:val="22"/>
          <w:color w:val="auto"/>
        </w:rPr>
      </w:pPr>
      <w:r>
        <w:rPr>
          <w:rFonts w:ascii="Arial" w:cs="Arial" w:eastAsia="Arial" w:hAnsi="Arial"/>
          <w:sz w:val="22"/>
          <w:szCs w:val="22"/>
          <w:u w:val="single" w:color="auto"/>
          <w:color w:val="auto"/>
        </w:rPr>
        <w:t>Deliveries</w:t>
      </w:r>
      <w:r>
        <w:rPr>
          <w:rFonts w:ascii="Arial" w:cs="Arial" w:eastAsia="Arial" w:hAnsi="Arial"/>
          <w:sz w:val="22"/>
          <w:szCs w:val="22"/>
          <w:color w:val="auto"/>
        </w:rPr>
        <w:t>. In all provisions of the Master Lease requiring Tenant to submit, exhibit to, supply or provide Landlord with evidence, certificates, or any other matter or thing, Subtenant shall be required to submit, exhibit to, supply or provide, as the case may be, the same to both Landlord and Sublandlord.</w:t>
      </w:r>
    </w:p>
    <w:p>
      <w:pPr>
        <w:spacing w:after="0" w:line="131" w:lineRule="exact"/>
        <w:rPr>
          <w:rFonts w:ascii="Arial" w:cs="Arial" w:eastAsia="Arial" w:hAnsi="Arial"/>
          <w:sz w:val="22"/>
          <w:szCs w:val="22"/>
          <w:color w:val="auto"/>
        </w:rPr>
      </w:pPr>
    </w:p>
    <w:p>
      <w:pPr>
        <w:jc w:val="both"/>
        <w:ind w:firstLine="1952"/>
        <w:spacing w:after="0" w:line="250" w:lineRule="auto"/>
        <w:tabs>
          <w:tab w:leader="none" w:pos="2551" w:val="left"/>
        </w:tabs>
        <w:numPr>
          <w:ilvl w:val="1"/>
          <w:numId w:val="527"/>
        </w:numPr>
        <w:rPr>
          <w:rFonts w:ascii="Arial" w:cs="Arial" w:eastAsia="Arial" w:hAnsi="Arial"/>
          <w:sz w:val="22"/>
          <w:szCs w:val="22"/>
          <w:color w:val="auto"/>
        </w:rPr>
      </w:pPr>
      <w:r>
        <w:rPr>
          <w:rFonts w:ascii="Arial" w:cs="Arial" w:eastAsia="Arial" w:hAnsi="Arial"/>
          <w:sz w:val="22"/>
          <w:szCs w:val="22"/>
          <w:u w:val="single" w:color="auto"/>
          <w:color w:val="auto"/>
        </w:rPr>
        <w:t>Damage; Condemnation</w:t>
      </w:r>
      <w:r>
        <w:rPr>
          <w:rFonts w:ascii="Arial" w:cs="Arial" w:eastAsia="Arial" w:hAnsi="Arial"/>
          <w:sz w:val="22"/>
          <w:szCs w:val="22"/>
          <w:color w:val="auto"/>
        </w:rPr>
        <w:t>. Sublandlord shall have no obligation to restore or rebuild any portion of the Subleased Premises after any destruction or taking by eminent domain. Any rights of Subtenant to abatement of rent shall be conditioned upon and limited to Sublandlord’s ability to abate rent for the Subleased Premises under the terms of the Master Lease.</w:t>
      </w:r>
    </w:p>
    <w:p>
      <w:pPr>
        <w:spacing w:after="0" w:line="133" w:lineRule="exact"/>
        <w:rPr>
          <w:rFonts w:ascii="Arial" w:cs="Arial" w:eastAsia="Arial" w:hAnsi="Arial"/>
          <w:sz w:val="22"/>
          <w:szCs w:val="22"/>
          <w:color w:val="auto"/>
        </w:rPr>
      </w:pPr>
    </w:p>
    <w:p>
      <w:pPr>
        <w:jc w:val="both"/>
        <w:ind w:firstLine="1952"/>
        <w:spacing w:after="0" w:line="250" w:lineRule="auto"/>
        <w:tabs>
          <w:tab w:leader="none" w:pos="2634" w:val="left"/>
        </w:tabs>
        <w:numPr>
          <w:ilvl w:val="1"/>
          <w:numId w:val="527"/>
        </w:numPr>
        <w:rPr>
          <w:rFonts w:ascii="Arial" w:cs="Arial" w:eastAsia="Arial" w:hAnsi="Arial"/>
          <w:sz w:val="22"/>
          <w:szCs w:val="22"/>
          <w:color w:val="auto"/>
        </w:rPr>
      </w:pPr>
      <w:r>
        <w:rPr>
          <w:rFonts w:ascii="Arial" w:cs="Arial" w:eastAsia="Arial" w:hAnsi="Arial"/>
          <w:sz w:val="22"/>
          <w:szCs w:val="22"/>
          <w:u w:val="single" w:color="auto"/>
          <w:color w:val="auto"/>
        </w:rPr>
        <w:t>Insurance</w:t>
      </w:r>
      <w:r>
        <w:rPr>
          <w:rFonts w:ascii="Arial" w:cs="Arial" w:eastAsia="Arial" w:hAnsi="Arial"/>
          <w:sz w:val="22"/>
          <w:szCs w:val="22"/>
          <w:color w:val="auto"/>
        </w:rPr>
        <w:t>. In all provisions of the Master Lease requiring Tenant to designate Landlord as an additional or named insured on its insurance policy, Subtenant shall be required to so designate Landlord and Sublandlord on its insurance policy. Sublandlord shall have no obligation to maintain the insurance to be maintained by Landlord under the Master Lease.</w:t>
      </w:r>
    </w:p>
    <w:p>
      <w:pPr>
        <w:spacing w:after="0" w:line="133" w:lineRule="exact"/>
        <w:rPr>
          <w:rFonts w:ascii="Arial" w:cs="Arial" w:eastAsia="Arial" w:hAnsi="Arial"/>
          <w:sz w:val="22"/>
          <w:szCs w:val="22"/>
          <w:color w:val="auto"/>
        </w:rPr>
      </w:pPr>
    </w:p>
    <w:p>
      <w:pPr>
        <w:ind w:right="20" w:firstLine="1304"/>
        <w:spacing w:after="0" w:line="263" w:lineRule="auto"/>
        <w:tabs>
          <w:tab w:leader="none" w:pos="1791" w:val="left"/>
        </w:tabs>
        <w:numPr>
          <w:ilvl w:val="0"/>
          <w:numId w:val="527"/>
        </w:numPr>
        <w:rPr>
          <w:rFonts w:ascii="Arial" w:cs="Arial" w:eastAsia="Arial" w:hAnsi="Arial"/>
          <w:sz w:val="22"/>
          <w:szCs w:val="22"/>
          <w:color w:val="auto"/>
        </w:rPr>
      </w:pPr>
      <w:r>
        <w:rPr>
          <w:rFonts w:ascii="Arial" w:cs="Arial" w:eastAsia="Arial" w:hAnsi="Arial"/>
          <w:sz w:val="22"/>
          <w:szCs w:val="22"/>
          <w:u w:val="single" w:color="auto"/>
          <w:color w:val="auto"/>
        </w:rPr>
        <w:t>Exclusions</w:t>
      </w:r>
      <w:r>
        <w:rPr>
          <w:rFonts w:ascii="Arial" w:cs="Arial" w:eastAsia="Arial" w:hAnsi="Arial"/>
          <w:sz w:val="22"/>
          <w:szCs w:val="22"/>
          <w:color w:val="auto"/>
        </w:rPr>
        <w:t>. Notwithstanding the terms of Section 6(b) above, Subtenant shall have no rights nor obligations under the following parts, Sections and Exhibits of the Master Lease:</w:t>
      </w:r>
    </w:p>
    <w:p>
      <w:pPr>
        <w:spacing w:after="0" w:line="120" w:lineRule="exact"/>
        <w:rPr>
          <w:rFonts w:ascii="Arial" w:cs="Arial" w:eastAsia="Arial" w:hAnsi="Arial"/>
          <w:sz w:val="22"/>
          <w:szCs w:val="22"/>
          <w:color w:val="auto"/>
        </w:rPr>
      </w:pPr>
    </w:p>
    <w:p>
      <w:pPr>
        <w:jc w:val="both"/>
        <w:ind w:firstLine="1952"/>
        <w:spacing w:after="0" w:line="268" w:lineRule="auto"/>
        <w:tabs>
          <w:tab w:leader="none" w:pos="2512" w:val="left"/>
        </w:tabs>
        <w:numPr>
          <w:ilvl w:val="1"/>
          <w:numId w:val="527"/>
        </w:numPr>
        <w:rPr>
          <w:rFonts w:ascii="Arial" w:cs="Arial" w:eastAsia="Arial" w:hAnsi="Arial"/>
          <w:sz w:val="19"/>
          <w:szCs w:val="19"/>
          <w:color w:val="auto"/>
        </w:rPr>
      </w:pPr>
      <w:r>
        <w:rPr>
          <w:rFonts w:ascii="Arial" w:cs="Arial" w:eastAsia="Arial" w:hAnsi="Arial"/>
          <w:sz w:val="19"/>
          <w:szCs w:val="19"/>
          <w:u w:val="single" w:color="auto"/>
          <w:color w:val="auto"/>
        </w:rPr>
        <w:t>Original Master Lease</w:t>
      </w:r>
      <w:r>
        <w:rPr>
          <w:rFonts w:ascii="Arial" w:cs="Arial" w:eastAsia="Arial" w:hAnsi="Arial"/>
          <w:sz w:val="19"/>
          <w:szCs w:val="19"/>
          <w:color w:val="auto"/>
        </w:rPr>
        <w:t>: Paragraph 1 (except the second grammatical paragraph of Paragraph 1), Paragraph 2 (except Paragraph 2.g), Paragraphs 3, 4, 5 (except Paragraph 5.c), 6, 7.b.ii, 7.e, 7.f, 7.h, 9.a (all of first grammatical paragraph only except initial two (2) sentences), Paragraph 9.b (limitation of the right to require removal of Alterations to Specialty Alterations only, it being acknowledged that Subtenant will be required to remove any Subtenant Improvements (defined in Section 14(b)(i) below) unless Sublandlord waives such removal obligation as described in Section 14(a) below), Paragraph 13.d (fifth (5</w:t>
      </w:r>
      <w:r>
        <w:rPr>
          <w:rFonts w:ascii="Arial" w:cs="Arial" w:eastAsia="Arial" w:hAnsi="Arial"/>
          <w:sz w:val="25"/>
          <w:szCs w:val="25"/>
          <w:color w:val="auto"/>
          <w:vertAlign w:val="superscript"/>
        </w:rPr>
        <w:t>th</w:t>
      </w:r>
      <w:r>
        <w:rPr>
          <w:rFonts w:ascii="Arial" w:cs="Arial" w:eastAsia="Arial" w:hAnsi="Arial"/>
          <w:sz w:val="19"/>
          <w:szCs w:val="19"/>
          <w:color w:val="auto"/>
        </w:rPr>
        <w:t>) through seventh (7</w:t>
      </w:r>
      <w:r>
        <w:rPr>
          <w:rFonts w:ascii="Arial" w:cs="Arial" w:eastAsia="Arial" w:hAnsi="Arial"/>
          <w:sz w:val="25"/>
          <w:szCs w:val="25"/>
          <w:color w:val="auto"/>
          <w:vertAlign w:val="superscript"/>
        </w:rPr>
        <w:t>th</w:t>
      </w:r>
      <w:r>
        <w:rPr>
          <w:rFonts w:ascii="Arial" w:cs="Arial" w:eastAsia="Arial" w:hAnsi="Arial"/>
          <w:sz w:val="19"/>
          <w:szCs w:val="19"/>
          <w:color w:val="auto"/>
        </w:rPr>
        <w:t>) sentences only, Paragraphs 13.i, 20.a (reference to “Specialty Alterations” only, which will be deemed a reference to “Alterations” for the purpose of inclusion into this Sublease by reference), 20.b (which is superseded by Section 16 below), 25.a.1, 25.a.9, 25.b.6, 33, 34, 39, 45, 47, 52, 53, 58, 59, 60, 61, 63, 64, 65, 66, Exhibit A, Exhibit C, Exhibit D, Exhibit E, Exhibit F, Exhibit H, Exhibit I, Exhibit J, Exhibit K, Exhibit K-1 and Exhibit L;</w:t>
      </w:r>
    </w:p>
    <w:p>
      <w:pPr>
        <w:spacing w:after="0" w:line="120" w:lineRule="exact"/>
        <w:rPr>
          <w:rFonts w:ascii="Arial" w:cs="Arial" w:eastAsia="Arial" w:hAnsi="Arial"/>
          <w:sz w:val="19"/>
          <w:szCs w:val="19"/>
          <w:color w:val="auto"/>
        </w:rPr>
      </w:pPr>
    </w:p>
    <w:p>
      <w:pPr>
        <w:ind w:right="20" w:firstLine="1952"/>
        <w:spacing w:after="0" w:line="263" w:lineRule="auto"/>
        <w:tabs>
          <w:tab w:leader="none" w:pos="2518" w:val="left"/>
        </w:tabs>
        <w:numPr>
          <w:ilvl w:val="1"/>
          <w:numId w:val="527"/>
        </w:numPr>
        <w:rPr>
          <w:rFonts w:ascii="Arial" w:cs="Arial" w:eastAsia="Arial" w:hAnsi="Arial"/>
          <w:sz w:val="22"/>
          <w:szCs w:val="22"/>
          <w:color w:val="auto"/>
        </w:rPr>
      </w:pPr>
      <w:r>
        <w:rPr>
          <w:rFonts w:ascii="Arial" w:cs="Arial" w:eastAsia="Arial" w:hAnsi="Arial"/>
          <w:sz w:val="22"/>
          <w:szCs w:val="22"/>
          <w:u w:val="single" w:color="auto"/>
          <w:color w:val="auto"/>
        </w:rPr>
        <w:t>First Amendment</w:t>
      </w:r>
      <w:r>
        <w:rPr>
          <w:rFonts w:ascii="Arial" w:cs="Arial" w:eastAsia="Arial" w:hAnsi="Arial"/>
          <w:sz w:val="22"/>
          <w:szCs w:val="22"/>
          <w:color w:val="auto"/>
        </w:rPr>
        <w:t>: All except Paragraph 10 (Subtenant acknowledges that it will have no right to bring pet dogs, with the exception of service dogs into the Subleased Premises or the Building);</w:t>
      </w:r>
    </w:p>
    <w:p>
      <w:pPr>
        <w:spacing w:after="0" w:line="120" w:lineRule="exact"/>
        <w:rPr>
          <w:rFonts w:ascii="Arial" w:cs="Arial" w:eastAsia="Arial" w:hAnsi="Arial"/>
          <w:sz w:val="22"/>
          <w:szCs w:val="22"/>
          <w:color w:val="auto"/>
        </w:rPr>
      </w:pPr>
    </w:p>
    <w:p>
      <w:pPr>
        <w:ind w:left="2500" w:hanging="548"/>
        <w:spacing w:after="0"/>
        <w:tabs>
          <w:tab w:leader="none" w:pos="2500" w:val="left"/>
        </w:tabs>
        <w:numPr>
          <w:ilvl w:val="1"/>
          <w:numId w:val="527"/>
        </w:numPr>
        <w:rPr>
          <w:rFonts w:ascii="Arial" w:cs="Arial" w:eastAsia="Arial" w:hAnsi="Arial"/>
          <w:sz w:val="22"/>
          <w:szCs w:val="22"/>
          <w:color w:val="auto"/>
        </w:rPr>
      </w:pPr>
      <w:r>
        <w:rPr>
          <w:rFonts w:ascii="Arial" w:cs="Arial" w:eastAsia="Arial" w:hAnsi="Arial"/>
          <w:sz w:val="22"/>
          <w:szCs w:val="22"/>
          <w:u w:val="single" w:color="auto"/>
          <w:color w:val="auto"/>
        </w:rPr>
        <w:t>Second Amendment</w:t>
      </w:r>
      <w:r>
        <w:rPr>
          <w:rFonts w:ascii="Arial" w:cs="Arial" w:eastAsia="Arial" w:hAnsi="Arial"/>
          <w:sz w:val="22"/>
          <w:szCs w:val="22"/>
          <w:color w:val="auto"/>
        </w:rPr>
        <w:t>: All;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7" w:right="339" w:bottom="1440" w:gutter="0" w:footer="0" w:header="0"/>
        </w:sectPr>
      </w:pPr>
    </w:p>
    <w:bookmarkStart w:id="547" w:name="page548"/>
    <w:bookmarkEnd w:id="547"/>
    <w:p>
      <w:pPr>
        <w:ind w:left="2480" w:hanging="528"/>
        <w:spacing w:after="0"/>
        <w:tabs>
          <w:tab w:leader="none" w:pos="2480" w:val="left"/>
        </w:tabs>
        <w:numPr>
          <w:ilvl w:val="2"/>
          <w:numId w:val="528"/>
        </w:numPr>
        <w:rPr>
          <w:rFonts w:ascii="Arial" w:cs="Arial" w:eastAsia="Arial" w:hAnsi="Arial"/>
          <w:sz w:val="22"/>
          <w:szCs w:val="22"/>
          <w:color w:val="auto"/>
        </w:rPr>
      </w:pPr>
      <w:r>
        <w:rPr>
          <w:rFonts w:ascii="Arial" w:cs="Arial" w:eastAsia="Arial" w:hAnsi="Arial"/>
          <w:sz w:val="22"/>
          <w:szCs w:val="22"/>
          <w:u w:val="single" w:color="auto"/>
          <w:color w:val="auto"/>
        </w:rPr>
        <w:t>Third Amendment</w:t>
      </w:r>
      <w:r>
        <w:rPr>
          <w:rFonts w:ascii="Arial" w:cs="Arial" w:eastAsia="Arial" w:hAnsi="Arial"/>
          <w:sz w:val="22"/>
          <w:szCs w:val="22"/>
          <w:color w:val="auto"/>
        </w:rPr>
        <w:t>: All.</w:t>
      </w:r>
    </w:p>
    <w:p>
      <w:pPr>
        <w:spacing w:after="0" w:line="165" w:lineRule="exact"/>
        <w:rPr>
          <w:rFonts w:ascii="Arial" w:cs="Arial" w:eastAsia="Arial" w:hAnsi="Arial"/>
          <w:sz w:val="22"/>
          <w:szCs w:val="22"/>
          <w:color w:val="auto"/>
        </w:rPr>
      </w:pPr>
    </w:p>
    <w:p>
      <w:pPr>
        <w:jc w:val="both"/>
        <w:ind w:firstLine="1304"/>
        <w:spacing w:after="0" w:line="290" w:lineRule="auto"/>
        <w:tabs>
          <w:tab w:leader="none" w:pos="1779" w:val="left"/>
        </w:tabs>
        <w:numPr>
          <w:ilvl w:val="1"/>
          <w:numId w:val="529"/>
        </w:numPr>
        <w:rPr>
          <w:rFonts w:ascii="Arial" w:cs="Arial" w:eastAsia="Arial" w:hAnsi="Arial"/>
          <w:sz w:val="19"/>
          <w:szCs w:val="19"/>
          <w:color w:val="auto"/>
        </w:rPr>
      </w:pPr>
      <w:r>
        <w:rPr>
          <w:rFonts w:ascii="Arial" w:cs="Arial" w:eastAsia="Arial" w:hAnsi="Arial"/>
          <w:sz w:val="19"/>
          <w:szCs w:val="19"/>
          <w:u w:val="single" w:color="auto"/>
          <w:color w:val="auto"/>
        </w:rPr>
        <w:t>Non-Disturbance Agreement</w:t>
      </w:r>
      <w:r>
        <w:rPr>
          <w:rFonts w:ascii="Arial" w:cs="Arial" w:eastAsia="Arial" w:hAnsi="Arial"/>
          <w:sz w:val="19"/>
          <w:szCs w:val="19"/>
          <w:color w:val="auto"/>
        </w:rPr>
        <w:t>. Sublandlord acknowledges that Subtenant may desire to request that Landlord agree to recognize Subtenant as a “direct” tenant of Landlord in the event of a termination of the Master Lease prior to the scheduled Expiration Date (any such agreement a “</w:t>
      </w:r>
      <w:r>
        <w:rPr>
          <w:rFonts w:ascii="Arial" w:cs="Arial" w:eastAsia="Arial" w:hAnsi="Arial"/>
          <w:sz w:val="19"/>
          <w:szCs w:val="19"/>
          <w:b w:val="1"/>
          <w:bCs w:val="1"/>
          <w:color w:val="auto"/>
        </w:rPr>
        <w:t>Non-Disturbance Agreement</w:t>
      </w:r>
      <w:r>
        <w:rPr>
          <w:rFonts w:ascii="Arial" w:cs="Arial" w:eastAsia="Arial" w:hAnsi="Arial"/>
          <w:sz w:val="19"/>
          <w:szCs w:val="19"/>
          <w:color w:val="auto"/>
        </w:rPr>
        <w:t>”). Subtenant expressly acknowledges that Sublandlord has no ability to require Landlord to provide a Non-Disturbance Agreement to Subtenant, nor shall this Sublease, or a commencement of Subtenant’s obligations hereunder, be conditioned upon Subtenant’s receipt of a Non-Disturbance Agreement. Notwithstanding the foregoing, Sublandlord agrees to use reasonable efforts to assist Subtenant in attempting to obtain a Non-Disturbance Agreement, provided that Subtenant shall bear any third-party costs incurred by Sublandlord in such effort, including without limitation, Sublandlord’s commercially reasonable attorneys’ fees and costs associated therewith.</w:t>
      </w:r>
    </w:p>
    <w:p>
      <w:pPr>
        <w:spacing w:after="0" w:line="101" w:lineRule="exact"/>
        <w:rPr>
          <w:rFonts w:ascii="Arial" w:cs="Arial" w:eastAsia="Arial" w:hAnsi="Arial"/>
          <w:sz w:val="19"/>
          <w:szCs w:val="19"/>
          <w:color w:val="auto"/>
        </w:rPr>
      </w:pPr>
    </w:p>
    <w:p>
      <w:pPr>
        <w:jc w:val="both"/>
        <w:ind w:firstLine="656"/>
        <w:spacing w:after="0" w:line="284" w:lineRule="auto"/>
        <w:tabs>
          <w:tab w:leader="none" w:pos="1026" w:val="left"/>
        </w:tabs>
        <w:numPr>
          <w:ilvl w:val="0"/>
          <w:numId w:val="530"/>
        </w:numPr>
        <w:rPr>
          <w:rFonts w:ascii="Arial" w:cs="Arial" w:eastAsia="Arial" w:hAnsi="Arial"/>
          <w:sz w:val="19"/>
          <w:szCs w:val="19"/>
          <w:color w:val="auto"/>
        </w:rPr>
      </w:pPr>
      <w:r>
        <w:rPr>
          <w:rFonts w:ascii="Arial" w:cs="Arial" w:eastAsia="Arial" w:hAnsi="Arial"/>
          <w:sz w:val="19"/>
          <w:szCs w:val="19"/>
          <w:u w:val="single" w:color="auto"/>
          <w:color w:val="auto"/>
        </w:rPr>
        <w:t>Assignment and Subletting</w:t>
      </w:r>
      <w:r>
        <w:rPr>
          <w:rFonts w:ascii="Arial" w:cs="Arial" w:eastAsia="Arial" w:hAnsi="Arial"/>
          <w:sz w:val="19"/>
          <w:szCs w:val="19"/>
          <w:color w:val="auto"/>
        </w:rPr>
        <w:t>. Subtenant shall not assign Subtenant’s interest in this Sublease or further sublet all or any part of the Subleased Premises except subject to and in compliance with all of the terms and conditions of the Master Lease, and Sublandlord (in addition to Landlord) shall have the same rights with respect to assignment and subleasing as Landlord has under the Master Lease. Notwithstanding the foregoing, for the purposes of the incorporation of Paragraph 13.h of the Original Master Lease into this Sublease, clause (ii) shall be deemed deleted and replaced with the following: “The Affiliate’s net worth (as demonstrated by Subtenant to Sublandlord’s reasonable satisfaction) is equal to or greater than the greater of (x) Subtenant’s net worth as of the Effective Date and (y) Subtenant’s net worth as of the date immediately preceding such sublease or assignment”. Subtenant shall pay all fees and costs payable to Landlord pursuant to the Master Lease in connection with any proposed assignment, sublease or transfer of the Subleased Premises (or any portion), together with all of Sublandlord’s reasonable out-of-pocket costs (as evidenced by invoices), relating to any proposed assignment, sublease or transfer of the Subleased Premises (or any portion), regardless of whether consent is granted (or is required), and the effectiveness of any assignment, sublease or transfer by Subtenant shall be conditioned upon Landlord’s and Sublandlord’s receipt of all such fees and costs. Notwithstanding the foregoing, provided that Subtenant (and/or Subtenant’s proposed assignee or subtenant) does not request material changes to Sublandlord’s form of consent to any such assignment, sublease or transfer, or require or request amendments to this Sublease in connection with such assignment, sublease or transfer or otherwise engage in material negotiations of Sublandlord’s consent, Sublandlord’s out-of-pocket costs will not exceed $2,500.00 (the foregoing limit does not apply to any costs imposed by Landlord in connection with any such proposed assignment, sublease or transfer); if, however, Sublandlord incurs costs in excess of $2,500.00 as a consequence of Subtenant or Subtenant’s assignee or subtenant requesting changes to this Sublease, Sublandlord’s form of consent, or other material negotiations or either such document, then the foregoing limitation will not apply. Subtenant agrees that it would be reasonable for Sublandlord to refuse to consent to any assignment of this Sublease or a sub-subletting of the Subleased Premises to a Competitor (defined below) of Sublandlord or an Affiliate of any such Competitor. If, at any time, Subtenant desires to sublease all or any portion of the Subleased Premises or assign its interest in this Sublease to an entity, to a particular entity and desires to have Landlord determine whether such entity is a Competitor,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27" w:right="339" w:bottom="1440" w:gutter="0" w:footer="0" w:header="0"/>
        </w:sectPr>
      </w:pPr>
    </w:p>
    <w:bookmarkStart w:id="548" w:name="page549"/>
    <w:bookmarkEnd w:id="548"/>
    <w:p>
      <w:pPr>
        <w:jc w:val="both"/>
        <w:spacing w:after="0" w:line="289" w:lineRule="auto"/>
        <w:rPr>
          <w:sz w:val="20"/>
          <w:szCs w:val="20"/>
          <w:color w:val="auto"/>
        </w:rPr>
      </w:pPr>
      <w:r>
        <w:rPr>
          <w:rFonts w:ascii="Arial" w:cs="Arial" w:eastAsia="Arial" w:hAnsi="Arial"/>
          <w:sz w:val="19"/>
          <w:szCs w:val="19"/>
          <w:color w:val="auto"/>
        </w:rPr>
        <w:t>Subtenant may deliver notice to Sublandlord stating the identity of the proposed assignee or subtenant and Sublandlord will notify Subtenant whether such entity is a Competitor. As used herein, a “</w:t>
      </w:r>
      <w:r>
        <w:rPr>
          <w:rFonts w:ascii="Arial" w:cs="Arial" w:eastAsia="Arial" w:hAnsi="Arial"/>
          <w:sz w:val="19"/>
          <w:szCs w:val="19"/>
          <w:b w:val="1"/>
          <w:bCs w:val="1"/>
          <w:color w:val="auto"/>
        </w:rPr>
        <w:t>Competitor</w:t>
      </w:r>
      <w:r>
        <w:rPr>
          <w:rFonts w:ascii="Arial" w:cs="Arial" w:eastAsia="Arial" w:hAnsi="Arial"/>
          <w:sz w:val="19"/>
          <w:szCs w:val="19"/>
          <w:color w:val="auto"/>
        </w:rPr>
        <w:t>” is an entity (or an affiliate of an entity) which Sublandlord in good faith deems to be a business competitor of Sublandlord or any of Sublandlord’s affiliates. If, at any time, Subtenant initially determines that it desires to sublease all or any portion of the Subleased Premises, Subtenant may deliver notice to Sublandlord stating that Subtenant is commencing the process of marketing all or any portion of the Subleased Premises for sublease purposes and desires to receive a list of entities which Sublandlord deems to be a Competitor. Within ten (10) business days following Subtenant’s delivery of such notice to Sublandlord, Sublandlord will respond to Subtenant setting forth a list of Competitors, which list cannot contain more than ten (10) Competitors. Sublandlord shall, thereafter, have the right to modify Sublandlord’s list of Competitors from time to time, but no more often than once in any six (6) month period.</w:t>
      </w:r>
    </w:p>
    <w:p>
      <w:pPr>
        <w:spacing w:after="0" w:line="97" w:lineRule="exact"/>
        <w:rPr>
          <w:sz w:val="20"/>
          <w:szCs w:val="20"/>
          <w:color w:val="auto"/>
        </w:rPr>
      </w:pPr>
    </w:p>
    <w:p>
      <w:pPr>
        <w:jc w:val="both"/>
        <w:ind w:firstLine="656"/>
        <w:spacing w:after="0" w:line="288" w:lineRule="auto"/>
        <w:tabs>
          <w:tab w:leader="none" w:pos="1066" w:val="left"/>
        </w:tabs>
        <w:numPr>
          <w:ilvl w:val="1"/>
          <w:numId w:val="531"/>
        </w:numPr>
        <w:rPr>
          <w:rFonts w:ascii="Arial" w:cs="Arial" w:eastAsia="Arial" w:hAnsi="Arial"/>
          <w:sz w:val="19"/>
          <w:szCs w:val="19"/>
          <w:color w:val="auto"/>
        </w:rPr>
      </w:pPr>
      <w:r>
        <w:rPr>
          <w:rFonts w:ascii="Arial" w:cs="Arial" w:eastAsia="Arial" w:hAnsi="Arial"/>
          <w:sz w:val="19"/>
          <w:szCs w:val="19"/>
          <w:u w:val="single" w:color="auto"/>
          <w:color w:val="auto"/>
        </w:rPr>
        <w:t>Default</w:t>
      </w:r>
      <w:r>
        <w:rPr>
          <w:rFonts w:ascii="Arial" w:cs="Arial" w:eastAsia="Arial" w:hAnsi="Arial"/>
          <w:sz w:val="19"/>
          <w:szCs w:val="19"/>
          <w:color w:val="auto"/>
        </w:rPr>
        <w:t>. It shall constitute a “</w:t>
      </w:r>
      <w:r>
        <w:rPr>
          <w:rFonts w:ascii="Arial" w:cs="Arial" w:eastAsia="Arial" w:hAnsi="Arial"/>
          <w:sz w:val="19"/>
          <w:szCs w:val="19"/>
          <w:b w:val="1"/>
          <w:bCs w:val="1"/>
          <w:color w:val="auto"/>
        </w:rPr>
        <w:t>Default</w:t>
      </w:r>
      <w:r>
        <w:rPr>
          <w:rFonts w:ascii="Arial" w:cs="Arial" w:eastAsia="Arial" w:hAnsi="Arial"/>
          <w:sz w:val="19"/>
          <w:szCs w:val="19"/>
          <w:color w:val="auto"/>
        </w:rPr>
        <w:t>” hereunder if Subtenant fails to perform any obligation hereunder (including, without limitation, the obligation to pay Rent), or any obligation under the Master Lease which has been incorporated herein by reference, and, in each instance, Subtenant has not remedied such failure (i) in the case of any monetary default, three (3) business days after delivery of written notice from Sublandlord to Subtenant of such monetary default and (ii) in the case of any other non-monetary defaults, twenty (20) calendar days after delivery of written notice from Sublandlord to Subtenant, provided, however, that if the Default is incapable of cure within ten (10) days, then for so long as Sublandlord has not received notice from Landlord stating that Landlord will treat such Default as an “Event of Default” under the Master Lease, Subtenant shall not be in Default hereunder if Subtenant commences the cure within the ten (10) day period and thereafter diligently prosecutes the cure to completion; however, if at any time Sublandlord receives notice from Landlord that the Default will be treated as an “Event of Default” under the Master Lease, Subtenant’s cure period will immediately be deemed to expire ten (10) days before the date of expiration of Sublandlord’s cure period as set forth in Landlord’s notice of default to Sublandlord.</w:t>
      </w:r>
    </w:p>
    <w:p>
      <w:pPr>
        <w:spacing w:after="0" w:line="105" w:lineRule="exact"/>
        <w:rPr>
          <w:rFonts w:ascii="Arial" w:cs="Arial" w:eastAsia="Arial" w:hAnsi="Arial"/>
          <w:sz w:val="19"/>
          <w:szCs w:val="19"/>
          <w:color w:val="auto"/>
        </w:rPr>
      </w:pPr>
    </w:p>
    <w:p>
      <w:pPr>
        <w:jc w:val="both"/>
        <w:ind w:firstLine="656"/>
        <w:spacing w:after="0" w:line="271" w:lineRule="auto"/>
        <w:tabs>
          <w:tab w:leader="none" w:pos="1066" w:val="left"/>
        </w:tabs>
        <w:numPr>
          <w:ilvl w:val="1"/>
          <w:numId w:val="531"/>
        </w:numPr>
        <w:rPr>
          <w:rFonts w:ascii="Arial" w:cs="Arial" w:eastAsia="Arial" w:hAnsi="Arial"/>
          <w:sz w:val="21"/>
          <w:szCs w:val="21"/>
          <w:color w:val="auto"/>
        </w:rPr>
      </w:pPr>
      <w:r>
        <w:rPr>
          <w:rFonts w:ascii="Arial" w:cs="Arial" w:eastAsia="Arial" w:hAnsi="Arial"/>
          <w:sz w:val="21"/>
          <w:szCs w:val="21"/>
          <w:u w:val="single" w:color="auto"/>
          <w:color w:val="auto"/>
        </w:rPr>
        <w:t>Remedies</w:t>
      </w:r>
      <w:r>
        <w:rPr>
          <w:rFonts w:ascii="Arial" w:cs="Arial" w:eastAsia="Arial" w:hAnsi="Arial"/>
          <w:sz w:val="21"/>
          <w:szCs w:val="21"/>
          <w:color w:val="auto"/>
        </w:rPr>
        <w:t>. In the event of any Default hereunder by Subtenant, Sublandlord shall have all remedies provided to the “Landlord” in the Master Lease as if a default had occurred thereunder and all other rights and remedies otherwise available at law and in equity. Sublandlord may resort to its remedies cumulatively or in the alternative.</w:t>
      </w:r>
    </w:p>
    <w:p>
      <w:pPr>
        <w:spacing w:after="0" w:line="113" w:lineRule="exact"/>
        <w:rPr>
          <w:rFonts w:ascii="Arial" w:cs="Arial" w:eastAsia="Arial" w:hAnsi="Arial"/>
          <w:sz w:val="21"/>
          <w:szCs w:val="21"/>
          <w:color w:val="auto"/>
        </w:rPr>
      </w:pPr>
    </w:p>
    <w:p>
      <w:pPr>
        <w:jc w:val="both"/>
        <w:ind w:firstLine="656"/>
        <w:spacing w:after="0" w:line="286" w:lineRule="auto"/>
        <w:tabs>
          <w:tab w:leader="none" w:pos="1188" w:val="left"/>
        </w:tabs>
        <w:numPr>
          <w:ilvl w:val="1"/>
          <w:numId w:val="531"/>
        </w:numPr>
        <w:rPr>
          <w:rFonts w:ascii="Arial" w:cs="Arial" w:eastAsia="Arial" w:hAnsi="Arial"/>
          <w:sz w:val="19"/>
          <w:szCs w:val="19"/>
          <w:color w:val="auto"/>
        </w:rPr>
      </w:pPr>
      <w:r>
        <w:rPr>
          <w:rFonts w:ascii="Arial" w:cs="Arial" w:eastAsia="Arial" w:hAnsi="Arial"/>
          <w:sz w:val="19"/>
          <w:szCs w:val="19"/>
          <w:u w:val="single" w:color="auto"/>
          <w:color w:val="auto"/>
        </w:rPr>
        <w:t>Right to Cure Defaults</w:t>
      </w:r>
      <w:r>
        <w:rPr>
          <w:rFonts w:ascii="Arial" w:cs="Arial" w:eastAsia="Arial" w:hAnsi="Arial"/>
          <w:sz w:val="19"/>
          <w:szCs w:val="19"/>
          <w:color w:val="auto"/>
        </w:rPr>
        <w:t>. If Subtenant fails to perform any of its obligations under this Sublease after expiration of applicable grace or cure periods, then Sublandlord may, but shall not be obligated to, perform any such obligations for Subtenant’s account. All reasonable costs and expenses incurred by Sublandlord in performing any such act for the account of Subtenant shall be deemed Rent payable by Subtenant to Sublandlord upon demand, together with interest thereon at the lesser of</w:t>
      </w:r>
    </w:p>
    <w:p>
      <w:pPr>
        <w:spacing w:after="0" w:line="2" w:lineRule="exact"/>
        <w:rPr>
          <w:rFonts w:ascii="Arial" w:cs="Arial" w:eastAsia="Arial" w:hAnsi="Arial"/>
          <w:sz w:val="19"/>
          <w:szCs w:val="19"/>
          <w:color w:val="auto"/>
        </w:rPr>
      </w:pPr>
    </w:p>
    <w:p>
      <w:pPr>
        <w:jc w:val="both"/>
        <w:ind w:firstLine="8"/>
        <w:spacing w:after="0" w:line="245" w:lineRule="auto"/>
        <w:tabs>
          <w:tab w:leader="none" w:pos="273" w:val="left"/>
        </w:tabs>
        <w:numPr>
          <w:ilvl w:val="0"/>
          <w:numId w:val="532"/>
        </w:numPr>
        <w:rPr>
          <w:rFonts w:ascii="Arial" w:cs="Arial" w:eastAsia="Arial" w:hAnsi="Arial"/>
          <w:sz w:val="22"/>
          <w:szCs w:val="22"/>
          <w:color w:val="auto"/>
        </w:rPr>
      </w:pPr>
      <w:r>
        <w:rPr>
          <w:rFonts w:ascii="Arial" w:cs="Arial" w:eastAsia="Arial" w:hAnsi="Arial"/>
          <w:sz w:val="22"/>
          <w:szCs w:val="22"/>
          <w:color w:val="auto"/>
        </w:rPr>
        <w:t>ten percent (10%) per annum or (ii) the maximum rate allowable under law from the date of the expenditure until repaid. If Sublandlord undertakes to perform any of Subtenant’s obligations for the account of Subtenant pursuant hereto, the taking of such action shall not constitute a waiver of any of Sublandlord’s remedies.</w:t>
      </w:r>
    </w:p>
    <w:p>
      <w:pPr>
        <w:spacing w:after="0" w:line="138" w:lineRule="exact"/>
        <w:rPr>
          <w:rFonts w:ascii="Arial" w:cs="Arial" w:eastAsia="Arial" w:hAnsi="Arial"/>
          <w:sz w:val="22"/>
          <w:szCs w:val="22"/>
          <w:color w:val="auto"/>
        </w:rPr>
      </w:pPr>
    </w:p>
    <w:p>
      <w:pPr>
        <w:ind w:firstLine="656"/>
        <w:spacing w:after="0" w:line="263" w:lineRule="auto"/>
        <w:tabs>
          <w:tab w:leader="none" w:pos="1180" w:val="left"/>
        </w:tabs>
        <w:numPr>
          <w:ilvl w:val="1"/>
          <w:numId w:val="532"/>
        </w:numPr>
        <w:rPr>
          <w:rFonts w:ascii="Arial" w:cs="Arial" w:eastAsia="Arial" w:hAnsi="Arial"/>
          <w:sz w:val="22"/>
          <w:szCs w:val="22"/>
          <w:color w:val="auto"/>
        </w:rPr>
      </w:pPr>
      <w:r>
        <w:rPr>
          <w:rFonts w:ascii="Arial" w:cs="Arial" w:eastAsia="Arial" w:hAnsi="Arial"/>
          <w:sz w:val="22"/>
          <w:szCs w:val="22"/>
          <w:u w:val="single" w:color="auto"/>
          <w:color w:val="auto"/>
        </w:rPr>
        <w:t>Consents and Approvals</w:t>
      </w:r>
      <w:r>
        <w:rPr>
          <w:rFonts w:ascii="Arial" w:cs="Arial" w:eastAsia="Arial" w:hAnsi="Arial"/>
          <w:sz w:val="22"/>
          <w:szCs w:val="22"/>
          <w:color w:val="auto"/>
        </w:rPr>
        <w:t>. In any instance when Sublandlord’s consent or approval is required under this Sublease, Sublandlord’s refusal to consent to or approve any matter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27" w:right="339" w:bottom="1440" w:gutter="0" w:footer="0" w:header="0"/>
        </w:sectPr>
      </w:pPr>
    </w:p>
    <w:bookmarkStart w:id="549" w:name="page550"/>
    <w:bookmarkEnd w:id="549"/>
    <w:p>
      <w:pPr>
        <w:jc w:val="both"/>
        <w:spacing w:after="0" w:line="247" w:lineRule="auto"/>
        <w:rPr>
          <w:sz w:val="20"/>
          <w:szCs w:val="20"/>
          <w:color w:val="auto"/>
        </w:rPr>
      </w:pPr>
      <w:r>
        <w:rPr>
          <w:rFonts w:ascii="Arial" w:cs="Arial" w:eastAsia="Arial" w:hAnsi="Arial"/>
          <w:sz w:val="22"/>
          <w:szCs w:val="22"/>
          <w:color w:val="auto"/>
        </w:rPr>
        <w:t>thing shall be deemed reasonable if, among other matters, such consent or approval is required under the provisions of the Master Lease incorporated herein by reference but has not been obtained from Landlord. Except as otherwise provided herein, Sublandlord shall not unreasonably withhold, condition or delay its consent to or approval of a matter if such consent or approval is required under the provisions of the Master Lease and Landlord has consented to or approved of such matter. At the request of Subtenant, Sublandlord will use diligent efforts to apply to Landlord for any such approval or consent within five (5) business days following Subtenant’s request.</w:t>
      </w:r>
    </w:p>
    <w:p>
      <w:pPr>
        <w:spacing w:after="0" w:line="139" w:lineRule="exact"/>
        <w:rPr>
          <w:sz w:val="20"/>
          <w:szCs w:val="20"/>
          <w:color w:val="auto"/>
        </w:rPr>
      </w:pPr>
    </w:p>
    <w:p>
      <w:pPr>
        <w:ind w:left="1140" w:hanging="484"/>
        <w:spacing w:after="0"/>
        <w:tabs>
          <w:tab w:leader="none" w:pos="1140" w:val="left"/>
        </w:tabs>
        <w:numPr>
          <w:ilvl w:val="1"/>
          <w:numId w:val="533"/>
        </w:numPr>
        <w:rPr>
          <w:rFonts w:ascii="Arial" w:cs="Arial" w:eastAsia="Arial" w:hAnsi="Arial"/>
          <w:sz w:val="22"/>
          <w:szCs w:val="22"/>
          <w:color w:val="auto"/>
        </w:rPr>
      </w:pPr>
      <w:r>
        <w:rPr>
          <w:rFonts w:ascii="Arial" w:cs="Arial" w:eastAsia="Arial" w:hAnsi="Arial"/>
          <w:sz w:val="22"/>
          <w:szCs w:val="22"/>
          <w:u w:val="single" w:color="auto"/>
          <w:color w:val="auto"/>
        </w:rPr>
        <w:t>Liability</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jc w:val="both"/>
        <w:ind w:firstLine="1304"/>
        <w:spacing w:after="0" w:line="286" w:lineRule="auto"/>
        <w:tabs>
          <w:tab w:leader="none" w:pos="1833" w:val="left"/>
        </w:tabs>
        <w:numPr>
          <w:ilvl w:val="2"/>
          <w:numId w:val="533"/>
        </w:numPr>
        <w:rPr>
          <w:rFonts w:ascii="Arial" w:cs="Arial" w:eastAsia="Arial" w:hAnsi="Arial"/>
          <w:sz w:val="19"/>
          <w:szCs w:val="19"/>
          <w:color w:val="auto"/>
        </w:rPr>
      </w:pPr>
      <w:r>
        <w:rPr>
          <w:rFonts w:ascii="Arial" w:cs="Arial" w:eastAsia="Arial" w:hAnsi="Arial"/>
          <w:sz w:val="19"/>
          <w:szCs w:val="19"/>
          <w:u w:val="single" w:color="auto"/>
          <w:color w:val="auto"/>
        </w:rPr>
        <w:t>Sublandlord</w:t>
      </w:r>
      <w:r>
        <w:rPr>
          <w:rFonts w:ascii="Arial" w:cs="Arial" w:eastAsia="Arial" w:hAnsi="Arial"/>
          <w:sz w:val="19"/>
          <w:szCs w:val="19"/>
          <w:color w:val="auto"/>
        </w:rPr>
        <w:t>. Notwithstanding any other term or provision of this Sublease, the liability of Sublandlord to Subtenant for any default in Sublandlord’s obligations under this Sublease shall be limited to actual, direct damages, and under no circumstances shall Subtenant, its partners, members, shareholders, directors, agents, officers, employees, contractors, sublessees, successors and/or assigns be entitled to recover from Sublandlord (or otherwise be indemnified by Sublandlord) for</w:t>
      </w:r>
    </w:p>
    <w:p>
      <w:pPr>
        <w:spacing w:after="0" w:line="2" w:lineRule="exact"/>
        <w:rPr>
          <w:rFonts w:ascii="Arial" w:cs="Arial" w:eastAsia="Arial" w:hAnsi="Arial"/>
          <w:sz w:val="19"/>
          <w:szCs w:val="19"/>
          <w:color w:val="auto"/>
        </w:rPr>
      </w:pPr>
    </w:p>
    <w:p>
      <w:pPr>
        <w:jc w:val="both"/>
        <w:ind w:firstLine="8"/>
        <w:spacing w:after="0" w:line="284" w:lineRule="auto"/>
        <w:tabs>
          <w:tab w:leader="none" w:pos="315" w:val="left"/>
        </w:tabs>
        <w:numPr>
          <w:ilvl w:val="0"/>
          <w:numId w:val="534"/>
        </w:numPr>
        <w:rPr>
          <w:rFonts w:ascii="Arial" w:cs="Arial" w:eastAsia="Arial" w:hAnsi="Arial"/>
          <w:sz w:val="19"/>
          <w:szCs w:val="19"/>
          <w:color w:val="auto"/>
        </w:rPr>
      </w:pPr>
      <w:r>
        <w:rPr>
          <w:rFonts w:ascii="Arial" w:cs="Arial" w:eastAsia="Arial" w:hAnsi="Arial"/>
          <w:sz w:val="19"/>
          <w:szCs w:val="19"/>
          <w:color w:val="auto"/>
        </w:rPr>
        <w:t>any losses, costs, claims, causes of action, damages or other liability incurred in connection with a failure of Landlord, its partners, members, shareholders, directors, agents, officers, employees, contractors, successors and /or assigns to perform or cause to be performed Landlord’s obligations under the Master Lease, (b) lost revenues, lost profit or other consequential, special or punitive damages arising in connection with this Sublease for any reason, or (c) any damages or other liability arising from or incurred in connection with the condition of the Subleased Premises or suitability of the Subleased Premises for Subtenant’s intended uses. Subtenant shall, however, have the right to seek any injunctive or other equitable remedies as may be available to Subtenant under applicable law. Notwithstanding any other term or provision of this Sublease, no personal liability shall at any time be asserted or enforceable against Sublandlord’s shareholders, directors, officers, or partners on account of any of Sublandlord’s obligations or actions under this Sublease. In the event of any assignment or transfer of the Sublandlord’s interest under this Sublease, which assignment or transfer may occur at any time during the Sublease Term in Sublandlord’s sole discretion, Sublandlord shall be and hereby is entirely relieved of all covenants and obligations of Sublandlord hereunder accruing subsequent to the date of the transfer and it shall be deemed and construed, without further agreement between the parties hereto, that any transferee has assumed and shall carry out all covenants and obligations thereafter to be performed by Sublandlord hereunder; provided that Sublandlord transfers and delivers any then existing Security Deposit or Letter of Credit to the transferee of Sublandlord’s interest in this Sublease, and thereupon Sublandlord shall be discharged from any further liability with respect thereto.</w:t>
      </w:r>
    </w:p>
    <w:p>
      <w:pPr>
        <w:spacing w:after="0" w:line="369" w:lineRule="exact"/>
        <w:rPr>
          <w:rFonts w:ascii="Arial" w:cs="Arial" w:eastAsia="Arial" w:hAnsi="Arial"/>
          <w:sz w:val="19"/>
          <w:szCs w:val="19"/>
          <w:color w:val="auto"/>
        </w:rPr>
      </w:pPr>
    </w:p>
    <w:p>
      <w:pPr>
        <w:jc w:val="both"/>
        <w:ind w:firstLine="1304"/>
        <w:spacing w:after="0" w:line="247" w:lineRule="auto"/>
        <w:tabs>
          <w:tab w:leader="none" w:pos="1872" w:val="left"/>
        </w:tabs>
        <w:numPr>
          <w:ilvl w:val="2"/>
          <w:numId w:val="534"/>
        </w:numPr>
        <w:rPr>
          <w:rFonts w:ascii="Arial" w:cs="Arial" w:eastAsia="Arial" w:hAnsi="Arial"/>
          <w:sz w:val="22"/>
          <w:szCs w:val="22"/>
          <w:color w:val="auto"/>
        </w:rPr>
      </w:pPr>
      <w:r>
        <w:rPr>
          <w:rFonts w:ascii="Arial" w:cs="Arial" w:eastAsia="Arial" w:hAnsi="Arial"/>
          <w:sz w:val="22"/>
          <w:szCs w:val="22"/>
          <w:u w:val="single" w:color="auto"/>
          <w:color w:val="auto"/>
        </w:rPr>
        <w:t>Subtenant</w:t>
      </w:r>
      <w:r>
        <w:rPr>
          <w:rFonts w:ascii="Arial" w:cs="Arial" w:eastAsia="Arial" w:hAnsi="Arial"/>
          <w:sz w:val="22"/>
          <w:szCs w:val="22"/>
          <w:color w:val="auto"/>
        </w:rPr>
        <w:t>. Notwithstanding any other term or provision of this Sublease, except with respect to (x) any violation by Subtenant of the provisions of the Master Lease, as incorporated herein, regarding Hazardous Materials and (y) any holding over in all or any portion of the Subleased Premises beyond the expiration or sooner termination of this Sublease by Subtenant, the liability of Subtenant to Sublandlord for any default in Subtenant’s obligations under this Sublease shall be limited to actual, direct damages, and under no circumstances shall Sublandlord, its partners, members, shareholders, directors, agents, officers,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27" w:right="339" w:bottom="1440" w:gutter="0" w:footer="0" w:header="0"/>
        </w:sectPr>
      </w:pPr>
    </w:p>
    <w:bookmarkStart w:id="550" w:name="page551"/>
    <w:bookmarkEnd w:id="550"/>
    <w:p>
      <w:pPr>
        <w:jc w:val="both"/>
        <w:spacing w:after="0" w:line="253" w:lineRule="auto"/>
        <w:rPr>
          <w:sz w:val="20"/>
          <w:szCs w:val="20"/>
          <w:color w:val="auto"/>
        </w:rPr>
      </w:pPr>
      <w:r>
        <w:rPr>
          <w:rFonts w:ascii="Arial" w:cs="Arial" w:eastAsia="Arial" w:hAnsi="Arial"/>
          <w:sz w:val="22"/>
          <w:szCs w:val="22"/>
          <w:color w:val="auto"/>
        </w:rPr>
        <w:t>contractors, sublessees, successors and/or assigns be entitled to recover from Subtenant (or otherwise be indemnified by Subtenant) for lost revenues, lost profit or other consequential, special or punitive damages arising in connection with this Sublease for any reason.</w:t>
      </w:r>
    </w:p>
    <w:p>
      <w:pPr>
        <w:spacing w:after="0" w:line="131" w:lineRule="exact"/>
        <w:rPr>
          <w:sz w:val="20"/>
          <w:szCs w:val="20"/>
          <w:color w:val="auto"/>
        </w:rPr>
      </w:pPr>
    </w:p>
    <w:p>
      <w:pPr>
        <w:jc w:val="both"/>
        <w:ind w:firstLine="656"/>
        <w:spacing w:after="0" w:line="292" w:lineRule="auto"/>
        <w:tabs>
          <w:tab w:leader="none" w:pos="1269" w:val="left"/>
        </w:tabs>
        <w:numPr>
          <w:ilvl w:val="0"/>
          <w:numId w:val="535"/>
        </w:numPr>
        <w:rPr>
          <w:rFonts w:ascii="Arial" w:cs="Arial" w:eastAsia="Arial" w:hAnsi="Arial"/>
          <w:sz w:val="19"/>
          <w:szCs w:val="19"/>
          <w:color w:val="auto"/>
        </w:rPr>
      </w:pPr>
      <w:r>
        <w:rPr>
          <w:rFonts w:ascii="Arial" w:cs="Arial" w:eastAsia="Arial" w:hAnsi="Arial"/>
          <w:sz w:val="19"/>
          <w:szCs w:val="19"/>
          <w:u w:val="single" w:color="auto"/>
          <w:color w:val="auto"/>
        </w:rPr>
        <w:t>Attorneys’ Fees</w:t>
      </w:r>
      <w:r>
        <w:rPr>
          <w:rFonts w:ascii="Arial" w:cs="Arial" w:eastAsia="Arial" w:hAnsi="Arial"/>
          <w:sz w:val="19"/>
          <w:szCs w:val="19"/>
          <w:color w:val="auto"/>
        </w:rPr>
        <w:t>. If Sublandlord or Subtenant brings an action to enforce the terms hereof or to declare rights hereunder, then the prevailing party in such action shall be entitled to receive and reimbursed from the other party all costs associated therewith, including, without limitation, reasonable attorney’s fees and costs incurred by such prevailing party in such action. Without limiting the generality of the foregoing, if Sublandlord utilizes the services of an attorney for the purpose of collecting any Rent which is due and unpaid by Subtenant, Subtenant agrees to pay Sublandlord reasonable actual attorneys’ fees for such services, irrespective of whether any legal action may be commenced or filed by Sublandlord. The parties’ obligations hereunder shall survive the expiration or earlier termination hereof.</w:t>
      </w:r>
    </w:p>
    <w:p>
      <w:pPr>
        <w:spacing w:after="0" w:line="96" w:lineRule="exact"/>
        <w:rPr>
          <w:rFonts w:ascii="Arial" w:cs="Arial" w:eastAsia="Arial" w:hAnsi="Arial"/>
          <w:sz w:val="19"/>
          <w:szCs w:val="19"/>
          <w:color w:val="auto"/>
        </w:rPr>
      </w:pPr>
    </w:p>
    <w:p>
      <w:pPr>
        <w:ind w:left="1140" w:hanging="484"/>
        <w:spacing w:after="0"/>
        <w:tabs>
          <w:tab w:leader="none" w:pos="1140" w:val="left"/>
        </w:tabs>
        <w:numPr>
          <w:ilvl w:val="0"/>
          <w:numId w:val="535"/>
        </w:numPr>
        <w:rPr>
          <w:rFonts w:ascii="Arial" w:cs="Arial" w:eastAsia="Arial" w:hAnsi="Arial"/>
          <w:sz w:val="22"/>
          <w:szCs w:val="22"/>
          <w:color w:val="auto"/>
        </w:rPr>
      </w:pPr>
      <w:r>
        <w:rPr>
          <w:rFonts w:ascii="Arial" w:cs="Arial" w:eastAsia="Arial" w:hAnsi="Arial"/>
          <w:sz w:val="22"/>
          <w:szCs w:val="22"/>
          <w:u w:val="single" w:color="auto"/>
          <w:color w:val="auto"/>
        </w:rPr>
        <w:t>Delivery of Possession</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jc w:val="both"/>
        <w:ind w:firstLine="1304"/>
        <w:spacing w:after="0" w:line="284" w:lineRule="auto"/>
        <w:tabs>
          <w:tab w:leader="none" w:pos="1873" w:val="left"/>
        </w:tabs>
        <w:numPr>
          <w:ilvl w:val="1"/>
          <w:numId w:val="535"/>
        </w:numPr>
        <w:rPr>
          <w:rFonts w:ascii="Arial" w:cs="Arial" w:eastAsia="Arial" w:hAnsi="Arial"/>
          <w:sz w:val="19"/>
          <w:szCs w:val="19"/>
          <w:color w:val="auto"/>
        </w:rPr>
      </w:pPr>
      <w:r>
        <w:rPr>
          <w:rFonts w:ascii="Arial" w:cs="Arial" w:eastAsia="Arial" w:hAnsi="Arial"/>
          <w:sz w:val="19"/>
          <w:szCs w:val="19"/>
          <w:u w:val="single" w:color="auto"/>
          <w:color w:val="auto"/>
        </w:rPr>
        <w:t>Generally; Sublandlord’s Work</w:t>
      </w:r>
      <w:r>
        <w:rPr>
          <w:rFonts w:ascii="Arial" w:cs="Arial" w:eastAsia="Arial" w:hAnsi="Arial"/>
          <w:sz w:val="19"/>
          <w:szCs w:val="19"/>
          <w:color w:val="auto"/>
        </w:rPr>
        <w:t>. Sublandlord shall deliver, and Subtenant shall accept, possession of the Subleased Premises (and, if applicable, the Expansion Space) in their “AS IS” broom clean condition as (i) the Subleased Premises exists on the Early Access Date, and (ii) if applicable, the Expansion Space exists on the early access date for the Expansion Space, except as expressly set forth herein. Sublandlord makes no representation or warranty to Subtenant as to the condition of the Subleased Premises (or the Expansion Space), the suitability of the Subleased Premises or Expansion Space for Subtenant’s use, or the compliance of the same with applicable laws or codes; provided, however, that Sublandlord will remove all of Sublandlord’s branding, lettering and signs from the Subleased Premises and, if applicable, the Expansion Space on or before the respective commencement for such space. Subtenant expressly acknowledges that any drawings or “as built” plans for all or any portion of the Subleased Premises which are provided by Sublandlord to Subtenant are provided without representation or warranty, and that it is Subtenant’s obligation to field verify all conditions within the Subleased Premises; Sublandlord will have no liability to Subtenant for inaccuracies in any such drawings or plans. In connection therewith, Sublandlord shall leave the existing cabling located in the Subleased Premises and Expansion Space in place and available for use by Subtenant (but Sublandlord will remove all network equipment [i.e., WAPS network gear and IDF’s, etc.]), but Sublandlord does not represent or warrant that any such cabling is suitable for Subtenant’s use. No improvement allowance is being provided to Subtenant by Sublandlord pursuant to the provisions of this Sublease. Sublandlord shall have no obligation to furnish or render or supply or pay for any work, labor, services, materials, furniture (except the Furniture, defined below), fixtures, equipment, decorations or other items to make the Subleased Premises or Expansion Space ready or suitable for Subtenant’s occupancy. In making and executing this Sublease, Subtenant has relied solely on such investigations, examinations and inspections as Subtenant has chosen to make or has made and has not relied on any representation or warranty concerning the Subleased Premises, Expansion Space or the Building, except as expressly set forth in this Sublease. Subtenant acknowledges that Sublandlord has afforded Subtenant the opportunity for full and complete investigations, examinations and inspections of the Subleased Premises and the common areas of the Building and Sublandlord covenants that Subtenant will have opportunity for the full and complete investigation, examination and inspection for the Expansion Space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27" w:right="339" w:bottom="1440" w:gutter="0" w:footer="0" w:header="0"/>
        </w:sectPr>
      </w:pPr>
    </w:p>
    <w:bookmarkStart w:id="551" w:name="page552"/>
    <w:bookmarkEnd w:id="551"/>
    <w:p>
      <w:pPr>
        <w:jc w:val="both"/>
        <w:spacing w:after="0" w:line="286" w:lineRule="auto"/>
        <w:rPr>
          <w:sz w:val="20"/>
          <w:szCs w:val="20"/>
          <w:color w:val="auto"/>
        </w:rPr>
      </w:pPr>
      <w:r>
        <w:rPr>
          <w:rFonts w:ascii="Arial" w:cs="Arial" w:eastAsia="Arial" w:hAnsi="Arial"/>
          <w:sz w:val="19"/>
          <w:szCs w:val="19"/>
          <w:color w:val="auto"/>
        </w:rPr>
        <w:t>to the Expansion Date. Subtenant acknowledges that it is not authorized to make or perform any alterations or improvements in or to the Subleased Premises except as permitted by the provisions of this Sublease and the Master Lease and that upon termination of the Sublease, Subtenant may be required by Sublandlord to deliver the Subleased Premises to Sublandlord in the condition existing as of the Commencement Date, reasonable wear and tear excepted. Prior to the expiration or termination of this Sublease, Subtenant shall be obligated to remove from the Subleased Premises all Subtenant Improvements except for those which Landlord and Sublandlord have expressly agreed in writing will not require removal, however Subtenant may, in writing, concurrently with Subtenant’s submission of any proposed Subtenant Improvements to Sublandlord for approval, request that Sublandlord also notify Subtenant as to whether such Subtenant Improvements (if approved) will be required to be removed at the expiration or sooner termination of this Sublease and, in such event, provided that Sublandlord approves such Subtenant Improvement(s), Sublandlord will, concurrently with such approval, so notify Subtenant as to whether any or all of such Subtenant Improvements will be required to be removed at the expiration or sooner termination of this Sublease. Sublandlord’s determination as described in the immediately preceding sentence will in no event bind Landlord, whose right to require the removal of any such Subtenant Improvements shall be subject to the provisions of the Master Lease. In any event, at Subtenant’s cost, Subtenant will remove all telecommunications and data cabling installed in or about the Subleased Premises by Subtenant.</w:t>
      </w:r>
    </w:p>
    <w:p>
      <w:pPr>
        <w:spacing w:after="0" w:line="108" w:lineRule="exact"/>
        <w:rPr>
          <w:sz w:val="20"/>
          <w:szCs w:val="20"/>
          <w:color w:val="auto"/>
        </w:rPr>
      </w:pPr>
    </w:p>
    <w:p>
      <w:pPr>
        <w:ind w:left="1780" w:hanging="476"/>
        <w:spacing w:after="0"/>
        <w:tabs>
          <w:tab w:leader="none" w:pos="1780" w:val="left"/>
        </w:tabs>
        <w:numPr>
          <w:ilvl w:val="0"/>
          <w:numId w:val="536"/>
        </w:numPr>
        <w:rPr>
          <w:rFonts w:ascii="Arial" w:cs="Arial" w:eastAsia="Arial" w:hAnsi="Arial"/>
          <w:sz w:val="22"/>
          <w:szCs w:val="22"/>
          <w:color w:val="auto"/>
        </w:rPr>
      </w:pPr>
      <w:r>
        <w:rPr>
          <w:rFonts w:ascii="Arial" w:cs="Arial" w:eastAsia="Arial" w:hAnsi="Arial"/>
          <w:sz w:val="22"/>
          <w:szCs w:val="22"/>
          <w:u w:val="single" w:color="auto"/>
          <w:color w:val="auto"/>
        </w:rPr>
        <w:t>Subtenant’s Improvements</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jc w:val="both"/>
        <w:ind w:firstLine="1952"/>
        <w:spacing w:after="0" w:line="285" w:lineRule="auto"/>
        <w:tabs>
          <w:tab w:leader="none" w:pos="2539" w:val="left"/>
        </w:tabs>
        <w:numPr>
          <w:ilvl w:val="1"/>
          <w:numId w:val="536"/>
        </w:numPr>
        <w:rPr>
          <w:rFonts w:ascii="Arial" w:cs="Arial" w:eastAsia="Arial" w:hAnsi="Arial"/>
          <w:sz w:val="19"/>
          <w:szCs w:val="19"/>
          <w:color w:val="auto"/>
        </w:rPr>
      </w:pPr>
      <w:r>
        <w:rPr>
          <w:rFonts w:ascii="Arial" w:cs="Arial" w:eastAsia="Arial" w:hAnsi="Arial"/>
          <w:sz w:val="19"/>
          <w:szCs w:val="19"/>
          <w:u w:val="single" w:color="auto"/>
          <w:color w:val="auto"/>
        </w:rPr>
        <w:t>Generally</w:t>
      </w:r>
      <w:r>
        <w:rPr>
          <w:rFonts w:ascii="Arial" w:cs="Arial" w:eastAsia="Arial" w:hAnsi="Arial"/>
          <w:sz w:val="19"/>
          <w:szCs w:val="19"/>
          <w:color w:val="auto"/>
        </w:rPr>
        <w:t>. If Subtenant desires to modify the Subleased Premises in any way and/or construct improvements within the Subleased Premises (“</w:t>
      </w:r>
      <w:r>
        <w:rPr>
          <w:rFonts w:ascii="Arial" w:cs="Arial" w:eastAsia="Arial" w:hAnsi="Arial"/>
          <w:sz w:val="19"/>
          <w:szCs w:val="19"/>
          <w:b w:val="1"/>
          <w:bCs w:val="1"/>
          <w:color w:val="auto"/>
        </w:rPr>
        <w:t>Subtenant Improvements</w:t>
      </w:r>
      <w:r>
        <w:rPr>
          <w:rFonts w:ascii="Arial" w:cs="Arial" w:eastAsia="Arial" w:hAnsi="Arial"/>
          <w:sz w:val="19"/>
          <w:szCs w:val="19"/>
          <w:color w:val="auto"/>
        </w:rPr>
        <w:t>”), all Subtenant Improvements will be carried out in accordance with the applicable provisions of the Master Lease and Landlord’s then-current construction guidelines. Sublandlord (in addition to Landlord) will have the right to approve the plans, specifications and contractor submittals for any proposed Subtenant Improvements, as well as any architects/designers and contractors whom Subtenant proposes to retain to perform such work. Subtenant will submit all such information for Sublandlord’s review and written approval prior to commencement of any such work; Sublandlord will similarly submit such information to Landlord for review and approval. Sublandlord will use commercially reasonable efforts to provide Sublandlord with its approval decision within ten (10) business days following receipt of Subtenant’s request therefor accompanied by Subtenant’s Plans (as defined in Paragraph 9.a of the Original Master Lease). Subtenant will bear all costs imposed by Landlord under the Master Lease, as well as all costs incurred by Sublandlord, in connection with any Subtenant Improvements. Promptly following the completion of any Subtenant Improvements or subsequent alterations or additions by or on behalf of Subtenant, Subtenant will deliver to Sublandlord two (2) sets of reproducible “as built” drawings of such work, together with a CAD file of the “as-built” drawings meeting Sublandlord’s CAD Format Requirements (defined below). Subtenant acknowledges that it is not authorized to make or perform any alterations or improvements in or to the Subleased Premises except as permitted by the provisions of this Sublease and the Master Lease and that upon termination of this Sublease, Subtenant may be obligated to remove from the Subleased Premises any Alterations (as defined in the Master Lease) constructed therein by Subtenant (and to restore the applicable area(s) to its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27" w:right="339" w:bottom="1440" w:gutter="0" w:footer="0" w:header="0"/>
        </w:sectPr>
      </w:pPr>
    </w:p>
    <w:bookmarkStart w:id="552" w:name="page553"/>
    <w:bookmarkEnd w:id="552"/>
    <w:p>
      <w:pPr>
        <w:jc w:val="both"/>
        <w:spacing w:after="0" w:line="289" w:lineRule="auto"/>
        <w:rPr>
          <w:sz w:val="20"/>
          <w:szCs w:val="20"/>
          <w:color w:val="auto"/>
        </w:rPr>
      </w:pPr>
      <w:r>
        <w:rPr>
          <w:rFonts w:ascii="Arial" w:cs="Arial" w:eastAsia="Arial" w:hAnsi="Arial"/>
          <w:sz w:val="19"/>
          <w:szCs w:val="19"/>
          <w:color w:val="auto"/>
        </w:rPr>
        <w:t>condition existing prior to the installation of such Alterations by Subtenant, reasonable wear and tear and damage by casualty excepted) unless Landlord and Sublandlord elect otherwise as described in Section 14(a) above. For the avoidance of doubt, Subtenant shall not be obligated to remove (or liable for any costs incurred in connection thereto) from the Subleased Premises or Expansion Space, respectively, any Alterations constructed prior to the Early Access Date for the Subleased Premises or Expansion Space, as applicable. As used herein, “</w:t>
      </w:r>
      <w:r>
        <w:rPr>
          <w:rFonts w:ascii="Arial" w:cs="Arial" w:eastAsia="Arial" w:hAnsi="Arial"/>
          <w:sz w:val="19"/>
          <w:szCs w:val="19"/>
          <w:b w:val="1"/>
          <w:bCs w:val="1"/>
          <w:color w:val="auto"/>
        </w:rPr>
        <w:t>Sublandlord’s CAD Format Requirements</w:t>
      </w:r>
      <w:r>
        <w:rPr>
          <w:rFonts w:ascii="Arial" w:cs="Arial" w:eastAsia="Arial" w:hAnsi="Arial"/>
          <w:sz w:val="19"/>
          <w:szCs w:val="19"/>
          <w:color w:val="auto"/>
        </w:rPr>
        <w:t>” shall mean, as of the Effective Date (but subject to subsequent adjustment) (a) the version is no later than current Autodesk version of AutoCAD plus the most recent release version, (b) files must be unlocked and fully accessible (no “cad-lock”, read-only, password protected or “signature” files), (c) files must be in “.dwg” format, (d) if the data was electronically in a non-Autodesk product, then files must be converted into “‘.dwg” files when given to Sublandlord.</w:t>
      </w:r>
    </w:p>
    <w:p>
      <w:pPr>
        <w:spacing w:after="0" w:line="103" w:lineRule="exact"/>
        <w:rPr>
          <w:sz w:val="20"/>
          <w:szCs w:val="20"/>
          <w:color w:val="auto"/>
        </w:rPr>
      </w:pPr>
    </w:p>
    <w:p>
      <w:pPr>
        <w:jc w:val="both"/>
        <w:ind w:firstLine="1952"/>
        <w:spacing w:after="0" w:line="312" w:lineRule="auto"/>
        <w:tabs>
          <w:tab w:leader="none" w:pos="2424" w:val="left"/>
        </w:tabs>
        <w:numPr>
          <w:ilvl w:val="1"/>
          <w:numId w:val="537"/>
        </w:numPr>
        <w:rPr>
          <w:rFonts w:ascii="Arial" w:cs="Arial" w:eastAsia="Arial" w:hAnsi="Arial"/>
          <w:sz w:val="19"/>
          <w:szCs w:val="19"/>
          <w:color w:val="auto"/>
        </w:rPr>
      </w:pPr>
      <w:r>
        <w:rPr>
          <w:rFonts w:ascii="Arial" w:cs="Arial" w:eastAsia="Arial" w:hAnsi="Arial"/>
          <w:sz w:val="19"/>
          <w:szCs w:val="19"/>
          <w:u w:val="single" w:color="auto"/>
          <w:color w:val="auto"/>
        </w:rPr>
        <w:t>Code-Required Work</w:t>
      </w:r>
      <w:r>
        <w:rPr>
          <w:rFonts w:ascii="Arial" w:cs="Arial" w:eastAsia="Arial" w:hAnsi="Arial"/>
          <w:sz w:val="19"/>
          <w:szCs w:val="19"/>
          <w:color w:val="auto"/>
        </w:rPr>
        <w:t>. If the performance of any Subtenant Improvements or other work by Subtenant within the Subleased Premises or the Building “triggers” a requirement for code-related upgrades to or improvements of any portion of the Building, Subtenant shall be responsible for the cost of such code-required upgrades or improvements.</w:t>
      </w:r>
    </w:p>
    <w:p>
      <w:pPr>
        <w:spacing w:after="0" w:line="79" w:lineRule="exact"/>
        <w:rPr>
          <w:rFonts w:ascii="Arial" w:cs="Arial" w:eastAsia="Arial" w:hAnsi="Arial"/>
          <w:sz w:val="19"/>
          <w:szCs w:val="19"/>
          <w:color w:val="auto"/>
        </w:rPr>
      </w:pPr>
    </w:p>
    <w:p>
      <w:pPr>
        <w:jc w:val="both"/>
        <w:ind w:firstLine="656"/>
        <w:spacing w:after="0" w:line="284" w:lineRule="auto"/>
        <w:tabs>
          <w:tab w:leader="none" w:pos="1215" w:val="left"/>
        </w:tabs>
        <w:numPr>
          <w:ilvl w:val="0"/>
          <w:numId w:val="538"/>
        </w:numPr>
        <w:rPr>
          <w:rFonts w:ascii="Arial" w:cs="Arial" w:eastAsia="Arial" w:hAnsi="Arial"/>
          <w:sz w:val="19"/>
          <w:szCs w:val="19"/>
          <w:color w:val="auto"/>
        </w:rPr>
      </w:pPr>
      <w:r>
        <w:rPr>
          <w:rFonts w:ascii="Arial" w:cs="Arial" w:eastAsia="Arial" w:hAnsi="Arial"/>
          <w:sz w:val="19"/>
          <w:szCs w:val="19"/>
          <w:u w:val="single" w:color="auto"/>
          <w:color w:val="auto"/>
        </w:rPr>
        <w:t>Furniture</w:t>
      </w:r>
      <w:r>
        <w:rPr>
          <w:rFonts w:ascii="Arial" w:cs="Arial" w:eastAsia="Arial" w:hAnsi="Arial"/>
          <w:sz w:val="19"/>
          <w:szCs w:val="19"/>
          <w:color w:val="auto"/>
        </w:rPr>
        <w:t xml:space="preserve">. During the Sublease Term, at no charge to Subtenant, Subtenant shall be permitted to use the existing furniture and kitchen/pantry equipment located in the Subleased Premises and described in more particular detail in </w:t>
      </w:r>
      <w:r>
        <w:rPr>
          <w:rFonts w:ascii="Arial" w:cs="Arial" w:eastAsia="Arial" w:hAnsi="Arial"/>
          <w:sz w:val="19"/>
          <w:szCs w:val="19"/>
          <w:b w:val="1"/>
          <w:bCs w:val="1"/>
          <w:color w:val="auto"/>
        </w:rPr>
        <w:t>Exhibit F</w:t>
      </w:r>
      <w:r>
        <w:rPr>
          <w:rFonts w:ascii="Arial" w:cs="Arial" w:eastAsia="Arial" w:hAnsi="Arial"/>
          <w:sz w:val="19"/>
          <w:szCs w:val="19"/>
          <w:color w:val="auto"/>
        </w:rPr>
        <w:t xml:space="preserve"> attached hereto, as well as all equipment and data cabling associated therewith (the “</w:t>
      </w:r>
      <w:r>
        <w:rPr>
          <w:rFonts w:ascii="Arial" w:cs="Arial" w:eastAsia="Arial" w:hAnsi="Arial"/>
          <w:sz w:val="19"/>
          <w:szCs w:val="19"/>
          <w:b w:val="1"/>
          <w:bCs w:val="1"/>
          <w:color w:val="auto"/>
        </w:rPr>
        <w:t>Furniture</w:t>
      </w:r>
      <w:r>
        <w:rPr>
          <w:rFonts w:ascii="Arial" w:cs="Arial" w:eastAsia="Arial" w:hAnsi="Arial"/>
          <w:sz w:val="19"/>
          <w:szCs w:val="19"/>
          <w:color w:val="auto"/>
        </w:rPr>
        <w:t xml:space="preserve">”), however, with respect to the Furniture depicted in </w:t>
      </w:r>
      <w:r>
        <w:rPr>
          <w:rFonts w:ascii="Arial" w:cs="Arial" w:eastAsia="Arial" w:hAnsi="Arial"/>
          <w:sz w:val="19"/>
          <w:szCs w:val="19"/>
          <w:b w:val="1"/>
          <w:bCs w:val="1"/>
          <w:color w:val="auto"/>
        </w:rPr>
        <w:t>Exhibit F</w:t>
      </w:r>
      <w:r>
        <w:rPr>
          <w:rFonts w:ascii="Arial" w:cs="Arial" w:eastAsia="Arial" w:hAnsi="Arial"/>
          <w:sz w:val="19"/>
          <w:szCs w:val="19"/>
          <w:color w:val="auto"/>
        </w:rPr>
        <w:t xml:space="preserve"> attached hereto which is located on the seventh (7th) floor of the Building (i.e., the Expansion Space), the parties acknowledge that the depicted Furniture consists of the items located therein as of the Effective Date, and that a third party subtenant will be occupying the Expansion Space prior to Sublandlord’s occupancy of the Expansion Space (assuming Sublandlord exercises the Expansion Option), and that Sublandlord’s obligation to deliver such Furniture to Subtenant, and Subtenant’s obligation to accept such Furniture in its current condition, are both dependent upon Sublandlord’s 7th floor subtenant returning all Furniture located on the seventh (7th) floor in good condition and repair; to the extent that if such subtenant fails to do so, Sublandlord will use reasonable efforts to enforce any rights it may have to require such subtenant to replace any missing or damaged items of Furniture with an appropriate item in acceptable condition. Subtenant shall accept the Furniture in its current condition without any warranty of fitness from Sublandlord (Subtenant expressly acknowledges that no warranty is made by Sublandlord with respect to the condition of any cabling currently located in or serving the Subleased Premises). Sublandlord represents and warrants that it has clean title to the Furniture without any encumbrances or liens by any other party. For purposes of documenting the current condition of the Furniture, Subtenant and Sublandlord shall, prior to the Commencement Date and Expansion Date, as applicable, conduct a joint walk-through of the Subleased Premises and Expansion Space, as applicable, in order to inventory items of damage or disrepair. Subtenant shall use the Furniture only for the purposes for which such Furniture is intended and shall be responsible for the proper maintenance, insurance, care and repair of the Furniture, at Subtenant’s sole cost and expense, using maintenance contractors specified by Sublandlord. Subtenant shall not modify, reconfigure or relocate any of the Furniture except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27" w:right="339" w:bottom="1440" w:gutter="0" w:footer="0" w:header="0"/>
        </w:sectPr>
      </w:pPr>
    </w:p>
    <w:bookmarkStart w:id="553" w:name="page554"/>
    <w:bookmarkEnd w:id="553"/>
    <w:p>
      <w:pPr>
        <w:jc w:val="both"/>
        <w:spacing w:after="0" w:line="284" w:lineRule="auto"/>
        <w:rPr>
          <w:sz w:val="20"/>
          <w:szCs w:val="20"/>
          <w:color w:val="auto"/>
        </w:rPr>
      </w:pPr>
      <w:r>
        <w:rPr>
          <w:rFonts w:ascii="Arial" w:cs="Arial" w:eastAsia="Arial" w:hAnsi="Arial"/>
          <w:sz w:val="19"/>
          <w:szCs w:val="19"/>
          <w:color w:val="auto"/>
        </w:rPr>
        <w:t>with the advance written permission of Sublandlord (which shall not be unreasonably withheld, conditioned or delayed), and any work of modifying any Furniture (including, without limitation, changing the configuration of, “breaking down” or reassembly of cubicles or other modular furniture) shall be performed at Subtenant’s sole cost using Sublandlord’s specified vendors or an alternate vendor approved in writing by Sublandlord (such approval to be granted or withheld on Sublandlord’s good faith discretion, based upon Sublandlord’s assessment of factors which include, without limitation, whether the performance by such vendor will void applicable warranties for such Furniture and whether such vendor is sufficiently experienced in the design of such Furniture). No item of Furniture shall be removed from the Subleased Premises without Sublandlord’s prior written consent; which consent may be conditioned upon Subtenant using Sublandlord’s preferred contractor for the purposes of any such removal, and storing any removed Furniture in a storage facility specified by Sublandlord, and returning and re-installing such Furniture in the Subleased Premises (using a contractor specified by Sublandlord) upon the expiration or termination of this Sublease, all at Subtenant’s sole cost and expense, to be paid as additional Rent hereunder; provided, however, that if such preferred contractors and storage facilities offer their services at rates that materially exceed commercially reasonable prices for similar San Francisco vendors of equivalent skill, experience, insurance coverage, union affiliation and, in the case of storage facilities, security features, and, further, provided that in Sublandlord’s good faith determination the use of an alternate contractor/facility will not void any warranties with respect to the Furniture in question, Subtenant may use other contractors and storage facilities reasonably approved in writing by Sublandlord. Prior to or promptly following the expiration or earlier termination of this Sublease, Sublandlord shall conduct a walk-through of the Subleased Premises to catalog any items of damage, disrepair, misuse or loss among the Furniture (reasonable wear and tear and damage due to casualty excepted), and Subtenant shall be responsible, at Subtenant’s sole cost and expense, for curing any such items (including, with respect to loss, replacing any lost item with a substantially similar new item reasonably acceptable to Sublandlord).</w:t>
      </w:r>
    </w:p>
    <w:p>
      <w:pPr>
        <w:spacing w:after="0" w:line="121" w:lineRule="exact"/>
        <w:rPr>
          <w:sz w:val="20"/>
          <w:szCs w:val="20"/>
          <w:color w:val="auto"/>
        </w:rPr>
      </w:pPr>
    </w:p>
    <w:p>
      <w:pPr>
        <w:jc w:val="both"/>
        <w:ind w:firstLine="656"/>
        <w:spacing w:after="0" w:line="264" w:lineRule="auto"/>
        <w:tabs>
          <w:tab w:leader="none" w:pos="1161" w:val="left"/>
        </w:tabs>
        <w:numPr>
          <w:ilvl w:val="0"/>
          <w:numId w:val="539"/>
        </w:numPr>
        <w:rPr>
          <w:rFonts w:ascii="Arial" w:cs="Arial" w:eastAsia="Arial" w:hAnsi="Arial"/>
          <w:sz w:val="20"/>
          <w:szCs w:val="20"/>
          <w:color w:val="auto"/>
        </w:rPr>
      </w:pPr>
      <w:r>
        <w:rPr>
          <w:rFonts w:ascii="Arial" w:cs="Arial" w:eastAsia="Arial" w:hAnsi="Arial"/>
          <w:sz w:val="20"/>
          <w:szCs w:val="20"/>
          <w:u w:val="single" w:color="auto"/>
          <w:color w:val="auto"/>
        </w:rPr>
        <w:t>Holding Over</w:t>
      </w:r>
      <w:r>
        <w:rPr>
          <w:rFonts w:ascii="Arial" w:cs="Arial" w:eastAsia="Arial" w:hAnsi="Arial"/>
          <w:sz w:val="20"/>
          <w:szCs w:val="20"/>
          <w:color w:val="auto"/>
        </w:rPr>
        <w:t>. If Subtenant fails to surrender the Subleased Premises at the expiration or earlier termination of this Sublease, occupancy of the Subleased Premises after the termination or expiration shall be that of a tenancy at sufferance. Subtenant’s occupancy of the Subleased Premises during any holdover shall be subject to all the terms and provisions of this Sublease and, additionally, Subtenant shall pay an amount (on a per month basis without reduction for partial months during the holdover) equal to 150% of the sum of the Base Rent and Additional Rent due for the period immediately preceding the holdover; provided, however, that if such holdover continues for a period in excess of thirty (30) days, then from and after such thirtieth (30</w:t>
      </w:r>
      <w:r>
        <w:rPr>
          <w:rFonts w:ascii="Arial" w:cs="Arial" w:eastAsia="Arial" w:hAnsi="Arial"/>
          <w:sz w:val="26"/>
          <w:szCs w:val="26"/>
          <w:color w:val="auto"/>
          <w:vertAlign w:val="superscript"/>
        </w:rPr>
        <w:t>th</w:t>
      </w:r>
      <w:r>
        <w:rPr>
          <w:rFonts w:ascii="Arial" w:cs="Arial" w:eastAsia="Arial" w:hAnsi="Arial"/>
          <w:sz w:val="20"/>
          <w:szCs w:val="20"/>
          <w:color w:val="auto"/>
        </w:rPr>
        <w:t>) day, Subtenant shall pay an amount (on a per month basis without reduction for partial month during the holdover) equal to two hundred percent (200%) of the sum of the Base Rent and Additional Rent due for the period immediately preceding the holdover. No holdover by Subtenant or payment by Subtenant after the expiration or early termination of this Sublease shall be construed to extend the Sublease Term or prevent Sublandlord from immediate recovery of possession of the Subleased Premises by summary proceedings or otherwise. In addition to the payment of the amounts provided above, Subtenant shall be liable to Sublandlord for all damages, including, without limitation, consequential damages, that Sublandlord suffers as a result of any such holdover; Subtenant expressly acknowledges that such damages may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27" w:right="339" w:bottom="1440" w:gutter="0" w:footer="0" w:header="0"/>
        </w:sectPr>
      </w:pPr>
    </w:p>
    <w:bookmarkStart w:id="554" w:name="page555"/>
    <w:bookmarkEnd w:id="554"/>
    <w:p>
      <w:pPr>
        <w:spacing w:after="0" w:line="263" w:lineRule="auto"/>
        <w:rPr>
          <w:sz w:val="20"/>
          <w:szCs w:val="20"/>
          <w:color w:val="auto"/>
        </w:rPr>
      </w:pPr>
      <w:r>
        <w:rPr>
          <w:rFonts w:ascii="Arial" w:cs="Arial" w:eastAsia="Arial" w:hAnsi="Arial"/>
          <w:sz w:val="22"/>
          <w:szCs w:val="22"/>
          <w:color w:val="auto"/>
        </w:rPr>
        <w:t>any “holdover” rent that Sublandlord is required to pay and actually pays to Landlord under the Master Lease as a result of Subtenant’s holdover in excess of any holdover rent due and payable by Subtenant under this Section 16.</w:t>
      </w:r>
    </w:p>
    <w:p>
      <w:pPr>
        <w:spacing w:after="0" w:line="121" w:lineRule="exact"/>
        <w:rPr>
          <w:sz w:val="20"/>
          <w:szCs w:val="20"/>
          <w:color w:val="auto"/>
        </w:rPr>
      </w:pPr>
    </w:p>
    <w:p>
      <w:pPr>
        <w:jc w:val="both"/>
        <w:ind w:firstLine="656"/>
        <w:spacing w:after="0" w:line="245" w:lineRule="auto"/>
        <w:tabs>
          <w:tab w:leader="none" w:pos="1242" w:val="left"/>
        </w:tabs>
        <w:numPr>
          <w:ilvl w:val="0"/>
          <w:numId w:val="540"/>
        </w:numPr>
        <w:rPr>
          <w:rFonts w:ascii="Arial" w:cs="Arial" w:eastAsia="Arial" w:hAnsi="Arial"/>
          <w:sz w:val="22"/>
          <w:szCs w:val="22"/>
          <w:color w:val="auto"/>
        </w:rPr>
      </w:pPr>
      <w:r>
        <w:rPr>
          <w:rFonts w:ascii="Arial" w:cs="Arial" w:eastAsia="Arial" w:hAnsi="Arial"/>
          <w:sz w:val="22"/>
          <w:szCs w:val="22"/>
          <w:u w:val="single" w:color="auto"/>
          <w:color w:val="auto"/>
        </w:rPr>
        <w:t>Signage</w:t>
      </w:r>
      <w:r>
        <w:rPr>
          <w:rFonts w:ascii="Arial" w:cs="Arial" w:eastAsia="Arial" w:hAnsi="Arial"/>
          <w:sz w:val="22"/>
          <w:szCs w:val="22"/>
          <w:color w:val="auto"/>
        </w:rPr>
        <w:t>. Subject to the approval of Landlord and Sublandlord (and Sublandlord hereby agrees that if Landlord approves of the installation of such Building-standard signage, Sublandlord shall not unreasonably withhold, condition or delay its approval therefor), Subtenant shall have the right to (and Sublandlord, on behalf of Subtenant, shall request that Landlord) install Building-standard signage identifying Subtenant in the floor elevator lobbies on the floors on which the Subleased Premises are located and shall further have the right to Building-standard ground floor lobby directory signage/identification, all at Subtenant’s sole cost and expense, and will have the right to have its name installed in any electronic directory in the Building lobby. All such signage will be removed at Subtenant’s cost at the expiration or sooner termination of the Sublease. For the avoidance of doubt, Subtenant shall not be obligated to remove from the Subleased Premises (or liable for any costs incurred in connection with the removal thereof) any signage installed by or on behalf of Sublandlord existing as of the Commencement Date.</w:t>
      </w:r>
    </w:p>
    <w:p>
      <w:pPr>
        <w:spacing w:after="0" w:line="144" w:lineRule="exact"/>
        <w:rPr>
          <w:rFonts w:ascii="Arial" w:cs="Arial" w:eastAsia="Arial" w:hAnsi="Arial"/>
          <w:sz w:val="22"/>
          <w:szCs w:val="22"/>
          <w:color w:val="auto"/>
        </w:rPr>
      </w:pPr>
    </w:p>
    <w:p>
      <w:pPr>
        <w:jc w:val="both"/>
        <w:ind w:firstLine="656"/>
        <w:spacing w:after="0" w:line="265" w:lineRule="auto"/>
        <w:tabs>
          <w:tab w:leader="none" w:pos="1174" w:val="left"/>
        </w:tabs>
        <w:numPr>
          <w:ilvl w:val="0"/>
          <w:numId w:val="540"/>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Any notice by either party to the other required, permitted or provided for herein shall be valid only if in writing and shall be deemed to be duly given only if (a) delivered personally, or (b) sent by means of Federal Express, UPS Next Day Air or another reputable express mail delivery service guaranteeing next day delivery, or (c) sent by United States certified mail, return receipt requested, addressed: (i) if to Sublandlord, at the following addresses:</w:t>
      </w:r>
    </w:p>
    <w:p>
      <w:pPr>
        <w:spacing w:after="0" w:line="175"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Twitter, Inc.</w:t>
      </w:r>
    </w:p>
    <w:p>
      <w:pPr>
        <w:spacing w:after="0" w:line="58"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1355 Market Street, Suite 900</w:t>
      </w:r>
    </w:p>
    <w:p>
      <w:pPr>
        <w:spacing w:after="0" w:line="58"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San Francisco, California 94103</w:t>
      </w:r>
    </w:p>
    <w:p>
      <w:pPr>
        <w:spacing w:after="0" w:line="58" w:lineRule="exact"/>
        <w:rPr>
          <w:sz w:val="20"/>
          <w:szCs w:val="20"/>
          <w:color w:val="auto"/>
        </w:rPr>
      </w:pPr>
    </w:p>
    <w:p>
      <w:pPr>
        <w:ind w:left="3760"/>
        <w:spacing w:after="0"/>
        <w:tabs>
          <w:tab w:leader="none" w:pos="480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22"/>
          <w:szCs w:val="22"/>
          <w:color w:val="auto"/>
        </w:rPr>
        <w:t>Legal Department (Real Estate)</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with a copy to:</w:t>
      </w:r>
    </w:p>
    <w:p>
      <w:pPr>
        <w:spacing w:after="0" w:line="58"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Twitter, Inc.</w:t>
      </w:r>
    </w:p>
    <w:p>
      <w:pPr>
        <w:spacing w:after="0" w:line="58"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1355 Market Street, Suite 900</w:t>
      </w:r>
    </w:p>
    <w:p>
      <w:pPr>
        <w:spacing w:after="0" w:line="58"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San Francisco, California 94103</w:t>
      </w:r>
    </w:p>
    <w:p>
      <w:pPr>
        <w:spacing w:after="0" w:line="58" w:lineRule="exact"/>
        <w:rPr>
          <w:sz w:val="20"/>
          <w:szCs w:val="20"/>
          <w:color w:val="auto"/>
        </w:rPr>
      </w:pPr>
    </w:p>
    <w:p>
      <w:pPr>
        <w:ind w:left="3760"/>
        <w:spacing w:after="0"/>
        <w:tabs>
          <w:tab w:leader="none" w:pos="480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22"/>
          <w:szCs w:val="22"/>
          <w:color w:val="auto"/>
        </w:rPr>
        <w:t>Director of Global Real Estate</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with a copy to:</w:t>
      </w:r>
    </w:p>
    <w:p>
      <w:pPr>
        <w:spacing w:after="0" w:line="58"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Shartsis Friese LLP</w:t>
      </w:r>
    </w:p>
    <w:p>
      <w:pPr>
        <w:spacing w:after="0" w:line="58"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One Maritime Plaza, 18th Floor</w:t>
      </w:r>
    </w:p>
    <w:p>
      <w:pPr>
        <w:spacing w:after="0" w:line="58"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San Francisco, California 94111</w:t>
      </w:r>
    </w:p>
    <w:p>
      <w:pPr>
        <w:spacing w:after="0" w:line="58" w:lineRule="exact"/>
        <w:rPr>
          <w:sz w:val="20"/>
          <w:szCs w:val="20"/>
          <w:color w:val="auto"/>
        </w:rPr>
      </w:pPr>
    </w:p>
    <w:p>
      <w:pPr>
        <w:ind w:left="3760"/>
        <w:spacing w:after="0"/>
        <w:tabs>
          <w:tab w:leader="none" w:pos="480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22"/>
          <w:szCs w:val="22"/>
          <w:color w:val="auto"/>
        </w:rPr>
        <w:t>Jonathan M. Kennedy/ Kathleen</w:t>
      </w:r>
    </w:p>
    <w:p>
      <w:pPr>
        <w:spacing w:after="0" w:line="21" w:lineRule="exact"/>
        <w:rPr>
          <w:sz w:val="20"/>
          <w:szCs w:val="20"/>
          <w:color w:val="auto"/>
        </w:rPr>
      </w:pPr>
    </w:p>
    <w:p>
      <w:pPr>
        <w:ind w:left="5080" w:hanging="262"/>
        <w:spacing w:after="0"/>
        <w:tabs>
          <w:tab w:leader="none" w:pos="5080" w:val="left"/>
        </w:tabs>
        <w:numPr>
          <w:ilvl w:val="0"/>
          <w:numId w:val="541"/>
        </w:numPr>
        <w:rPr>
          <w:rFonts w:ascii="Arial" w:cs="Arial" w:eastAsia="Arial" w:hAnsi="Arial"/>
          <w:sz w:val="22"/>
          <w:szCs w:val="22"/>
          <w:color w:val="auto"/>
        </w:rPr>
      </w:pPr>
      <w:r>
        <w:rPr>
          <w:rFonts w:ascii="Arial" w:cs="Arial" w:eastAsia="Arial" w:hAnsi="Arial"/>
          <w:sz w:val="22"/>
          <w:szCs w:val="22"/>
          <w:color w:val="auto"/>
        </w:rPr>
        <w:t>Bryski</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19" w:lineRule="exact"/>
        <w:rPr>
          <w:rFonts w:ascii="Arial" w:cs="Arial" w:eastAsia="Arial" w:hAnsi="Arial"/>
          <w:sz w:val="22"/>
          <w:szCs w:val="22"/>
          <w:color w:val="auto"/>
        </w:rPr>
      </w:pPr>
    </w:p>
    <w:p>
      <w:pPr>
        <w:ind w:left="5520"/>
        <w:spacing w:after="0"/>
        <w:rPr>
          <w:rFonts w:ascii="Arial" w:cs="Arial" w:eastAsia="Arial" w:hAnsi="Arial"/>
          <w:sz w:val="22"/>
          <w:szCs w:val="22"/>
          <w:color w:val="auto"/>
        </w:rPr>
      </w:pPr>
      <w:r>
        <w:rPr>
          <w:rFonts w:ascii="Arial" w:cs="Arial" w:eastAsia="Arial" w:hAnsi="Arial"/>
          <w:sz w:val="22"/>
          <w:szCs w:val="22"/>
          <w:color w:val="auto"/>
        </w:rPr>
        <w:t>25</w:t>
      </w:r>
    </w:p>
    <w:p>
      <w:pPr>
        <w:sectPr>
          <w:pgSz w:w="11900" w:h="16838" w:orient="portrait"/>
          <w:cols w:equalWidth="0" w:num="1">
            <w:col w:w="11240"/>
          </w:cols>
          <w:pgMar w:left="320" w:top="1427" w:right="339" w:bottom="1440" w:gutter="0" w:footer="0" w:header="0"/>
        </w:sectPr>
      </w:pPr>
    </w:p>
    <w:bookmarkStart w:id="555" w:name="page556"/>
    <w:bookmarkEnd w:id="555"/>
    <w:p>
      <w:pPr>
        <w:spacing w:after="0" w:line="42" w:lineRule="exact"/>
        <w:rPr>
          <w:sz w:val="20"/>
          <w:szCs w:val="20"/>
          <w:color w:val="auto"/>
        </w:rPr>
      </w:pPr>
    </w:p>
    <w:p>
      <w:pPr>
        <w:ind w:left="20"/>
        <w:spacing w:after="0"/>
        <w:rPr>
          <w:sz w:val="20"/>
          <w:szCs w:val="20"/>
          <w:color w:val="auto"/>
        </w:rPr>
      </w:pPr>
      <w:r>
        <w:rPr>
          <w:rFonts w:ascii="Arial" w:cs="Arial" w:eastAsia="Arial" w:hAnsi="Arial"/>
          <w:sz w:val="22"/>
          <w:szCs w:val="22"/>
          <w:color w:val="auto"/>
        </w:rPr>
        <w:t>with a copy to:</w:t>
      </w:r>
    </w:p>
    <w:p>
      <w:pPr>
        <w:spacing w:after="0" w:line="58"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Twitter, Inc.</w:t>
      </w:r>
    </w:p>
    <w:p>
      <w:pPr>
        <w:spacing w:after="0" w:line="58"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c/o Portfolio Solutions Group-Twitter</w:t>
      </w:r>
    </w:p>
    <w:p>
      <w:pPr>
        <w:spacing w:after="0" w:line="58"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Dept. #101249</w:t>
      </w:r>
    </w:p>
    <w:p>
      <w:pPr>
        <w:spacing w:after="0" w:line="58"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P.O. Box 87618</w:t>
      </w:r>
    </w:p>
    <w:p>
      <w:pPr>
        <w:spacing w:after="0" w:line="58"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Chicago, Illinois 60680-0618</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and (ii) if to Subtenant, at the following address:</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Prior to Commencement Date:</w:t>
      </w:r>
    </w:p>
    <w:p>
      <w:pPr>
        <w:spacing w:after="0" w:line="314"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NerdWallet, Inc.</w:t>
      </w:r>
    </w:p>
    <w:p>
      <w:pPr>
        <w:spacing w:after="0" w:line="44"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901 Market Street</w:t>
      </w:r>
    </w:p>
    <w:p>
      <w:pPr>
        <w:spacing w:after="0" w:line="44"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San Francisco, CA 94103</w:t>
      </w:r>
    </w:p>
    <w:p>
      <w:pPr>
        <w:spacing w:after="0" w:line="44"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Attention: General Counsel</w:t>
      </w:r>
    </w:p>
    <w:p>
      <w:pPr>
        <w:spacing w:after="0" w:line="314"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Following Commencement Date:</w:t>
      </w:r>
    </w:p>
    <w:p>
      <w:pPr>
        <w:spacing w:after="0" w:line="314"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NerdWallet, Inc.</w:t>
      </w:r>
    </w:p>
    <w:p>
      <w:pPr>
        <w:spacing w:after="0" w:line="44"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1 Tenth Street, [__ Fl]</w:t>
      </w:r>
    </w:p>
    <w:p>
      <w:pPr>
        <w:spacing w:after="0" w:line="44"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San Francisco, CA 94103</w:t>
      </w:r>
    </w:p>
    <w:p>
      <w:pPr>
        <w:spacing w:after="0" w:line="44"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Attention: General Counsel</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22"/>
          <w:szCs w:val="22"/>
          <w:color w:val="auto"/>
        </w:rPr>
        <w:t>with a copy to:</w:t>
      </w:r>
    </w:p>
    <w:p>
      <w:pPr>
        <w:spacing w:after="0" w:line="58"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Cooley LLP</w:t>
      </w:r>
    </w:p>
    <w:p>
      <w:pPr>
        <w:spacing w:after="0" w:line="58"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101 California Street, 5th Floor</w:t>
      </w:r>
    </w:p>
    <w:p>
      <w:pPr>
        <w:spacing w:after="0" w:line="58"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San Francisco, California 94111</w:t>
      </w:r>
    </w:p>
    <w:p>
      <w:pPr>
        <w:spacing w:after="0" w:line="58" w:lineRule="exact"/>
        <w:rPr>
          <w:sz w:val="20"/>
          <w:szCs w:val="20"/>
          <w:color w:val="auto"/>
        </w:rPr>
      </w:pPr>
    </w:p>
    <w:p>
      <w:pPr>
        <w:ind w:left="3760"/>
        <w:spacing w:after="0"/>
        <w:tabs>
          <w:tab w:leader="none" w:pos="480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22"/>
          <w:szCs w:val="22"/>
          <w:color w:val="auto"/>
        </w:rPr>
        <w:t>Anna B. Pope, Esq.</w:t>
      </w:r>
    </w:p>
    <w:p>
      <w:pPr>
        <w:spacing w:after="0" w:line="287"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or at such other address for either party as that party may designate by notice to the other. A notice shall be deemed given and effective, if delivered personally, upon hand delivery thereof (unless such delivery takes place after hours or on a holiday or weekend, in which event the notice shall be deemed given on the next succeeding business day), if sent via overnight courier, on the business day next succeeding delivery to the courier, and if mailed by United States certified mail, three (3) business days following such mailing in accordance with this Section.</w:t>
      </w:r>
    </w:p>
    <w:p>
      <w:pPr>
        <w:spacing w:after="0" w:line="121" w:lineRule="exact"/>
        <w:rPr>
          <w:sz w:val="20"/>
          <w:szCs w:val="20"/>
          <w:color w:val="auto"/>
        </w:rPr>
      </w:pPr>
    </w:p>
    <w:p>
      <w:pPr>
        <w:jc w:val="both"/>
        <w:ind w:firstLine="656"/>
        <w:spacing w:after="0" w:line="247" w:lineRule="auto"/>
        <w:tabs>
          <w:tab w:leader="none" w:pos="1147" w:val="left"/>
        </w:tabs>
        <w:numPr>
          <w:ilvl w:val="0"/>
          <w:numId w:val="542"/>
        </w:numPr>
        <w:rPr>
          <w:rFonts w:ascii="Arial" w:cs="Arial" w:eastAsia="Arial" w:hAnsi="Arial"/>
          <w:sz w:val="22"/>
          <w:szCs w:val="22"/>
          <w:color w:val="auto"/>
        </w:rPr>
      </w:pPr>
      <w:r>
        <w:rPr>
          <w:rFonts w:ascii="Arial" w:cs="Arial" w:eastAsia="Arial" w:hAnsi="Arial"/>
          <w:sz w:val="22"/>
          <w:szCs w:val="22"/>
          <w:u w:val="single" w:color="auto"/>
          <w:color w:val="auto"/>
        </w:rPr>
        <w:t>Brokers</w:t>
      </w:r>
      <w:r>
        <w:rPr>
          <w:rFonts w:ascii="Arial" w:cs="Arial" w:eastAsia="Arial" w:hAnsi="Arial"/>
          <w:sz w:val="22"/>
          <w:szCs w:val="22"/>
          <w:color w:val="auto"/>
        </w:rPr>
        <w:t>. Subtenant represents that it has dealt directly with and only with Cushman &amp; Wakefield of California, Inc. (“</w:t>
      </w:r>
      <w:r>
        <w:rPr>
          <w:rFonts w:ascii="Arial" w:cs="Arial" w:eastAsia="Arial" w:hAnsi="Arial"/>
          <w:sz w:val="22"/>
          <w:szCs w:val="22"/>
          <w:b w:val="1"/>
          <w:bCs w:val="1"/>
          <w:color w:val="auto"/>
        </w:rPr>
        <w:t>Subtenant’s Broker</w:t>
      </w:r>
      <w:r>
        <w:rPr>
          <w:rFonts w:ascii="Arial" w:cs="Arial" w:eastAsia="Arial" w:hAnsi="Arial"/>
          <w:sz w:val="22"/>
          <w:szCs w:val="22"/>
          <w:color w:val="auto"/>
        </w:rPr>
        <w:t>”), as a broker in connection with this Sublease. Sublandlord represents that it has dealt directly with and only with CRESA San Francisco (“</w:t>
      </w:r>
      <w:r>
        <w:rPr>
          <w:rFonts w:ascii="Arial" w:cs="Arial" w:eastAsia="Arial" w:hAnsi="Arial"/>
          <w:sz w:val="22"/>
          <w:szCs w:val="22"/>
          <w:b w:val="1"/>
          <w:bCs w:val="1"/>
          <w:color w:val="auto"/>
        </w:rPr>
        <w:t>Sublandlord’s Broker</w:t>
      </w:r>
      <w:r>
        <w:rPr>
          <w:rFonts w:ascii="Arial" w:cs="Arial" w:eastAsia="Arial" w:hAnsi="Arial"/>
          <w:sz w:val="22"/>
          <w:szCs w:val="22"/>
          <w:color w:val="auto"/>
        </w:rPr>
        <w:t>”), as a broker in connection with this Sublease. Sublandlord and Subtenant shall indemnify and hold each other harmless from all claims of any brokers other than Subtenant’s Broker and Sublandlord’s Broker claiming to have represented Sublandlord or Subtenant in connection with this Sublease. Subtenant and Sublandlord agree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26</w:t>
      </w:r>
    </w:p>
    <w:p>
      <w:pPr>
        <w:sectPr>
          <w:pgSz w:w="11900" w:h="16838" w:orient="portrait"/>
          <w:cols w:equalWidth="0" w:num="1">
            <w:col w:w="11240"/>
          </w:cols>
          <w:pgMar w:left="320" w:top="1440" w:right="339" w:bottom="1440" w:gutter="0" w:footer="0" w:header="0"/>
          <w:type w:val="continuous"/>
        </w:sectPr>
      </w:pPr>
    </w:p>
    <w:bookmarkStart w:id="556" w:name="page557"/>
    <w:bookmarkEnd w:id="556"/>
    <w:p>
      <w:pPr>
        <w:jc w:val="both"/>
        <w:spacing w:after="0" w:line="253" w:lineRule="auto"/>
        <w:rPr>
          <w:sz w:val="20"/>
          <w:szCs w:val="20"/>
          <w:color w:val="auto"/>
        </w:rPr>
      </w:pPr>
      <w:r>
        <w:rPr>
          <w:rFonts w:ascii="Arial" w:cs="Arial" w:eastAsia="Arial" w:hAnsi="Arial"/>
          <w:sz w:val="22"/>
          <w:szCs w:val="22"/>
          <w:color w:val="auto"/>
        </w:rPr>
        <w:t>that Subtenant’s Broker and Sublandlord’s Broker shall be paid commissions by Sublandlord in connection with this Sublease pursuant to a separate agreement. The parties’ obligations under this Section 19 shall survive the expiration or earlier termination hereof.</w:t>
      </w:r>
    </w:p>
    <w:p>
      <w:pPr>
        <w:spacing w:after="0" w:line="131" w:lineRule="exact"/>
        <w:rPr>
          <w:sz w:val="20"/>
          <w:szCs w:val="20"/>
          <w:color w:val="auto"/>
        </w:rPr>
      </w:pPr>
    </w:p>
    <w:p>
      <w:pPr>
        <w:jc w:val="both"/>
        <w:ind w:firstLine="656"/>
        <w:spacing w:after="0" w:line="247" w:lineRule="auto"/>
        <w:tabs>
          <w:tab w:leader="none" w:pos="1161" w:val="left"/>
        </w:tabs>
        <w:numPr>
          <w:ilvl w:val="0"/>
          <w:numId w:val="543"/>
        </w:numPr>
        <w:rPr>
          <w:rFonts w:ascii="Arial" w:cs="Arial" w:eastAsia="Arial" w:hAnsi="Arial"/>
          <w:sz w:val="22"/>
          <w:szCs w:val="22"/>
          <w:color w:val="auto"/>
        </w:rPr>
      </w:pPr>
      <w:r>
        <w:rPr>
          <w:rFonts w:ascii="Arial" w:cs="Arial" w:eastAsia="Arial" w:hAnsi="Arial"/>
          <w:sz w:val="22"/>
          <w:szCs w:val="22"/>
          <w:u w:val="single" w:color="auto"/>
          <w:color w:val="auto"/>
        </w:rPr>
        <w:t>Parking</w:t>
      </w:r>
      <w:r>
        <w:rPr>
          <w:rFonts w:ascii="Arial" w:cs="Arial" w:eastAsia="Arial" w:hAnsi="Arial"/>
          <w:sz w:val="22"/>
          <w:szCs w:val="22"/>
          <w:color w:val="auto"/>
        </w:rPr>
        <w:t>. During the Sublease Term, Subtenant shall have the right to 1 space per every 6,000 RSF in the Subleased Premises (which equates to 17 spaces on the Commencement Date, with appropriate increases on the Expansion Date, if applicable), subject to Landlord’s consent thereto. Subtenant shall bear all cost incurred pursuant to the Master Lease in connection with such parking spaces as additional Rent hereunder, and shall comply with the terms and conditions of the Master Lease regarding the use of any such parking spaces. If Subtenant does not use any such spaces, any unused spaces will be deemed forfeited by Subtenant.</w:t>
      </w:r>
    </w:p>
    <w:p>
      <w:pPr>
        <w:spacing w:after="0" w:line="138" w:lineRule="exact"/>
        <w:rPr>
          <w:rFonts w:ascii="Arial" w:cs="Arial" w:eastAsia="Arial" w:hAnsi="Arial"/>
          <w:sz w:val="22"/>
          <w:szCs w:val="22"/>
          <w:color w:val="auto"/>
        </w:rPr>
      </w:pPr>
    </w:p>
    <w:p>
      <w:pPr>
        <w:jc w:val="both"/>
        <w:ind w:firstLine="656"/>
        <w:spacing w:after="0" w:line="250" w:lineRule="auto"/>
        <w:tabs>
          <w:tab w:leader="none" w:pos="1134" w:val="left"/>
        </w:tabs>
        <w:numPr>
          <w:ilvl w:val="0"/>
          <w:numId w:val="543"/>
        </w:numPr>
        <w:rPr>
          <w:rFonts w:ascii="Arial" w:cs="Arial" w:eastAsia="Arial" w:hAnsi="Arial"/>
          <w:sz w:val="22"/>
          <w:szCs w:val="22"/>
          <w:color w:val="auto"/>
        </w:rPr>
      </w:pPr>
      <w:r>
        <w:rPr>
          <w:rFonts w:ascii="Arial" w:cs="Arial" w:eastAsia="Arial" w:hAnsi="Arial"/>
          <w:sz w:val="22"/>
          <w:szCs w:val="22"/>
          <w:u w:val="single" w:color="auto"/>
          <w:color w:val="auto"/>
        </w:rPr>
        <w:t>Complete Agreement</w:t>
      </w:r>
      <w:r>
        <w:rPr>
          <w:rFonts w:ascii="Arial" w:cs="Arial" w:eastAsia="Arial" w:hAnsi="Arial"/>
          <w:sz w:val="22"/>
          <w:szCs w:val="22"/>
          <w:color w:val="auto"/>
        </w:rPr>
        <w:t>. There are no representations, warranties, agreements, arrangements or understandings, oral or written, between the parties or their representatives relating to the subject matter of this Sublease which are not fully expressed in this Sublease. This Sublease cannot be changed or terminated nor may any of its provisions be waived orally or in any manner other than by a written agreement executed by both parties.</w:t>
      </w:r>
    </w:p>
    <w:p>
      <w:pPr>
        <w:spacing w:after="0" w:line="133" w:lineRule="exact"/>
        <w:rPr>
          <w:rFonts w:ascii="Arial" w:cs="Arial" w:eastAsia="Arial" w:hAnsi="Arial"/>
          <w:sz w:val="22"/>
          <w:szCs w:val="22"/>
          <w:color w:val="auto"/>
        </w:rPr>
      </w:pPr>
    </w:p>
    <w:p>
      <w:pPr>
        <w:ind w:firstLine="656"/>
        <w:spacing w:after="0" w:line="263" w:lineRule="auto"/>
        <w:tabs>
          <w:tab w:leader="none" w:pos="1228" w:val="left"/>
        </w:tabs>
        <w:numPr>
          <w:ilvl w:val="0"/>
          <w:numId w:val="543"/>
        </w:numPr>
        <w:rPr>
          <w:rFonts w:ascii="Arial" w:cs="Arial" w:eastAsia="Arial" w:hAnsi="Arial"/>
          <w:sz w:val="22"/>
          <w:szCs w:val="22"/>
          <w:color w:val="auto"/>
        </w:rPr>
      </w:pPr>
      <w:r>
        <w:rPr>
          <w:rFonts w:ascii="Arial" w:cs="Arial" w:eastAsia="Arial" w:hAnsi="Arial"/>
          <w:sz w:val="22"/>
          <w:szCs w:val="22"/>
          <w:u w:val="single" w:color="auto"/>
          <w:color w:val="auto"/>
        </w:rPr>
        <w:t>CASp</w:t>
      </w:r>
      <w:r>
        <w:rPr>
          <w:rFonts w:ascii="Arial" w:cs="Arial" w:eastAsia="Arial" w:hAnsi="Arial"/>
          <w:sz w:val="22"/>
          <w:szCs w:val="22"/>
          <w:color w:val="auto"/>
        </w:rPr>
        <w:t>. The Subleased Premises has not undergone an inspection by a Certified Access Specialist (CASp). This notice is given pursuant to California Civil Code Section 1938.</w:t>
      </w:r>
    </w:p>
    <w:p>
      <w:pPr>
        <w:spacing w:after="0" w:line="120" w:lineRule="exact"/>
        <w:rPr>
          <w:rFonts w:ascii="Arial" w:cs="Arial" w:eastAsia="Arial" w:hAnsi="Arial"/>
          <w:sz w:val="22"/>
          <w:szCs w:val="22"/>
          <w:color w:val="auto"/>
        </w:rPr>
      </w:pPr>
    </w:p>
    <w:p>
      <w:pPr>
        <w:jc w:val="both"/>
        <w:ind w:firstLine="656"/>
        <w:spacing w:after="0" w:line="287" w:lineRule="auto"/>
        <w:tabs>
          <w:tab w:leader="none" w:pos="1215" w:val="left"/>
        </w:tabs>
        <w:numPr>
          <w:ilvl w:val="0"/>
          <w:numId w:val="543"/>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Subtenant acknowledges that the content of this Sublease and any related documents (including, without limitation, the terms and conditions of the Master Lease) are confidential information. Sublandlord and Subtenant shall keep such confidential information strictly confidential and shall not disclose such confidential information to any person or entity other than their respective financial, legal and space planning consultants, or their respective directors, officers, employees, attorneys, or accountants, to potential sub-subtenants (in the case of Subtenant), to Landlord and Landlord’s lenders (in the case of Sublandlord) and to potential assignees of the Master Lease or this Sublease, or to the extent that disclosure is mandated by applicable laws. Notwithstanding the foregoing, the restriction on disclosure described in this Section 23 will not apply with respect to (i) information which is or becomes generally available to the public other than as a result of a disclosure by a party hereto, or (ii) the inclusion by either party of a reference to this Sublease and/or information regarding the rent payable hereunder in such party’s financial statement(s) which are compiled in a normal course of such party’s business (and the subsequent submission of such financial statements to governmental authorities as required by applicable law and/or potential investors).</w:t>
      </w:r>
    </w:p>
    <w:p>
      <w:pPr>
        <w:spacing w:after="0" w:line="109" w:lineRule="exact"/>
        <w:rPr>
          <w:rFonts w:ascii="Arial" w:cs="Arial" w:eastAsia="Arial" w:hAnsi="Arial"/>
          <w:sz w:val="19"/>
          <w:szCs w:val="19"/>
          <w:color w:val="auto"/>
        </w:rPr>
      </w:pPr>
    </w:p>
    <w:p>
      <w:pPr>
        <w:jc w:val="both"/>
        <w:ind w:firstLine="656"/>
        <w:spacing w:after="0" w:line="259" w:lineRule="auto"/>
        <w:tabs>
          <w:tab w:leader="none" w:pos="1296" w:val="left"/>
        </w:tabs>
        <w:numPr>
          <w:ilvl w:val="0"/>
          <w:numId w:val="543"/>
        </w:numPr>
        <w:rPr>
          <w:rFonts w:ascii="Arial" w:cs="Arial" w:eastAsia="Arial" w:hAnsi="Arial"/>
          <w:sz w:val="21"/>
          <w:szCs w:val="21"/>
          <w:color w:val="auto"/>
        </w:rPr>
      </w:pPr>
      <w:r>
        <w:rPr>
          <w:rFonts w:ascii="Arial" w:cs="Arial" w:eastAsia="Arial" w:hAnsi="Arial"/>
          <w:sz w:val="21"/>
          <w:szCs w:val="21"/>
          <w:u w:val="single" w:color="auto"/>
          <w:color w:val="auto"/>
        </w:rPr>
        <w:t>Interpretation</w:t>
      </w:r>
      <w:r>
        <w:rPr>
          <w:rFonts w:ascii="Arial" w:cs="Arial" w:eastAsia="Arial" w:hAnsi="Arial"/>
          <w:sz w:val="21"/>
          <w:szCs w:val="21"/>
          <w:color w:val="auto"/>
        </w:rPr>
        <w:t>. Irrespective of the place of execution or performance, this Sublease shall be governed by and construed in accordance with the laws of the State of California. If any provision of this Sublease or the application thereof to any person or circumstance shall, for any reason and to any extent, be invalid or unenforceable, the remainder of this Sublease and the application of that provision to other persons or circumstances shall not be affected but rather shall be enforced to the extent permitted by law. The table of contents, captions, headings and titles, if any, in this Sublease are solely for convenience of reference and shall not affect its interpretation. This Sublease shall be construed without regard to any presumption or other rule requiring construction against the party causing this Sublease or any part thereof to be drafted. If any words or phrases in this Sublease shall have been stricken out or otherwise eliminated,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27" w:right="339" w:bottom="1440" w:gutter="0" w:footer="0" w:header="0"/>
        </w:sectPr>
      </w:pPr>
    </w:p>
    <w:bookmarkStart w:id="557" w:name="page558"/>
    <w:bookmarkEnd w:id="557"/>
    <w:p>
      <w:pPr>
        <w:jc w:val="both"/>
        <w:spacing w:after="0" w:line="290" w:lineRule="auto"/>
        <w:rPr>
          <w:sz w:val="20"/>
          <w:szCs w:val="20"/>
          <w:color w:val="auto"/>
        </w:rPr>
      </w:pPr>
      <w:r>
        <w:rPr>
          <w:rFonts w:ascii="Arial" w:cs="Arial" w:eastAsia="Arial" w:hAnsi="Arial"/>
          <w:sz w:val="19"/>
          <w:szCs w:val="19"/>
          <w:color w:val="auto"/>
        </w:rPr>
        <w:t>whether or not any other words or phrases have been added, this Sublease shall be construed as if the words or phrases so stricken out or otherwise eliminated were never included in this Sublease and no implication or inference shall be drawn from the fact that said words or phrases were so stricken out or otherwise eliminated. Each covenant, agreement, obligation or other provision of this Sublease shall be deemed and construed as a separate and independent covenant of the party bound by, undertaking or making same, not dependent on any other provision of this Sublease unless otherwise expressly provided. All terms and words used in this Sublease, regardless of the number or gender in which they are used, shall be deemed to include any other number and any other gender as the context may require. The word “person” as used in this Sublease shall mean a natural person or persons, a partnership, a corporation or any other form of business or legal association or entity.</w:t>
      </w:r>
    </w:p>
    <w:p>
      <w:pPr>
        <w:spacing w:after="0" w:line="102" w:lineRule="exact"/>
        <w:rPr>
          <w:sz w:val="20"/>
          <w:szCs w:val="20"/>
          <w:color w:val="auto"/>
        </w:rPr>
      </w:pPr>
    </w:p>
    <w:p>
      <w:pPr>
        <w:jc w:val="both"/>
        <w:ind w:firstLine="656"/>
        <w:spacing w:after="0" w:line="297" w:lineRule="auto"/>
        <w:tabs>
          <w:tab w:leader="none" w:pos="1188" w:val="left"/>
        </w:tabs>
        <w:numPr>
          <w:ilvl w:val="0"/>
          <w:numId w:val="544"/>
        </w:numPr>
        <w:rPr>
          <w:rFonts w:ascii="Arial" w:cs="Arial" w:eastAsia="Arial" w:hAnsi="Arial"/>
          <w:sz w:val="19"/>
          <w:szCs w:val="19"/>
          <w:color w:val="auto"/>
        </w:rPr>
      </w:pPr>
      <w:r>
        <w:rPr>
          <w:rFonts w:ascii="Arial" w:cs="Arial" w:eastAsia="Arial" w:hAnsi="Arial"/>
          <w:sz w:val="19"/>
          <w:szCs w:val="19"/>
          <w:u w:val="single" w:color="auto"/>
          <w:color w:val="auto"/>
        </w:rPr>
        <w:t>USA Patriot Act Disclosures</w:t>
      </w:r>
      <w:r>
        <w:rPr>
          <w:rFonts w:ascii="Arial" w:cs="Arial" w:eastAsia="Arial" w:hAnsi="Arial"/>
          <w:sz w:val="19"/>
          <w:szCs w:val="19"/>
          <w:color w:val="auto"/>
        </w:rPr>
        <w:t>. Subtenant is currently in compliance with and shall at all times during the Sublease Term remain in compliance with the regulations of the Office of Foreign Asset Control (“</w:t>
      </w:r>
      <w:r>
        <w:rPr>
          <w:rFonts w:ascii="Arial" w:cs="Arial" w:eastAsia="Arial" w:hAnsi="Arial"/>
          <w:sz w:val="19"/>
          <w:szCs w:val="19"/>
          <w:b w:val="1"/>
          <w:bCs w:val="1"/>
          <w:color w:val="auto"/>
        </w:rPr>
        <w:t>OFAC</w:t>
      </w:r>
      <w:r>
        <w:rPr>
          <w:rFonts w:ascii="Arial" w:cs="Arial" w:eastAsia="Arial" w:hAnsi="Arial"/>
          <w:sz w:val="19"/>
          <w:szCs w:val="19"/>
          <w:color w:val="auto"/>
        </w:rPr>
        <w:t>”) of the Department of the Treasury (including those named on OFAC’s Specially Designated and Blocked Persons List) and any statute, executive order (including the September 24, 2001, Executive Order Blocking Property and Prohibiting Transactions with Persons Who Commit, Threaten to Commit, or Support Terrorism), or other governmental action relating thereto.</w:t>
      </w:r>
    </w:p>
    <w:p>
      <w:pPr>
        <w:spacing w:after="0" w:line="92" w:lineRule="exact"/>
        <w:rPr>
          <w:rFonts w:ascii="Arial" w:cs="Arial" w:eastAsia="Arial" w:hAnsi="Arial"/>
          <w:sz w:val="19"/>
          <w:szCs w:val="19"/>
          <w:color w:val="auto"/>
        </w:rPr>
      </w:pPr>
    </w:p>
    <w:p>
      <w:pPr>
        <w:jc w:val="both"/>
        <w:ind w:firstLine="656"/>
        <w:spacing w:after="0" w:line="247" w:lineRule="auto"/>
        <w:tabs>
          <w:tab w:leader="none" w:pos="1228" w:val="left"/>
        </w:tabs>
        <w:numPr>
          <w:ilvl w:val="0"/>
          <w:numId w:val="544"/>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Sublease may be executed in multiple counterparts, each of which is deemed an original but which together constitute one and the same instrument. This Sublease shall be fully executed when each party whose signature is required has signed and delivered to each of the parties at least one counterpart, even though no single counterpart contains the signatures of all of the parties hereto. This Sublease may be executed in so-called “pdf” format and each party has the right to rely upon a pdf counterpart of this Sublease signed by the other party to the same extent as if such party had received an original counterpart.</w:t>
      </w:r>
    </w:p>
    <w:p>
      <w:pPr>
        <w:spacing w:after="0" w:line="138" w:lineRule="exact"/>
        <w:rPr>
          <w:rFonts w:ascii="Arial" w:cs="Arial" w:eastAsia="Arial" w:hAnsi="Arial"/>
          <w:sz w:val="22"/>
          <w:szCs w:val="22"/>
          <w:color w:val="auto"/>
        </w:rPr>
      </w:pPr>
    </w:p>
    <w:p>
      <w:pPr>
        <w:jc w:val="both"/>
        <w:ind w:firstLine="656"/>
        <w:spacing w:after="0" w:line="246" w:lineRule="auto"/>
        <w:tabs>
          <w:tab w:leader="none" w:pos="1174" w:val="left"/>
        </w:tabs>
        <w:numPr>
          <w:ilvl w:val="0"/>
          <w:numId w:val="544"/>
        </w:numPr>
        <w:rPr>
          <w:rFonts w:ascii="Arial" w:cs="Arial" w:eastAsia="Arial" w:hAnsi="Arial"/>
          <w:sz w:val="22"/>
          <w:szCs w:val="22"/>
          <w:color w:val="auto"/>
        </w:rPr>
      </w:pPr>
      <w:r>
        <w:rPr>
          <w:rFonts w:ascii="Arial" w:cs="Arial" w:eastAsia="Arial" w:hAnsi="Arial"/>
          <w:sz w:val="22"/>
          <w:szCs w:val="22"/>
          <w:u w:val="single" w:color="auto"/>
          <w:color w:val="auto"/>
        </w:rPr>
        <w:t>Due Authorization</w:t>
      </w:r>
      <w:r>
        <w:rPr>
          <w:rFonts w:ascii="Arial" w:cs="Arial" w:eastAsia="Arial" w:hAnsi="Arial"/>
          <w:sz w:val="22"/>
          <w:szCs w:val="22"/>
          <w:color w:val="auto"/>
        </w:rPr>
        <w:t>. Each party represents and warrants to the other party that (i) each party, on its own behalf, has all necessary power and authority to execute and deliver this Sublease, to perform its respective obligations hereunder, and to consummate the transactions contemplated hereunder, (ii) no other proceedings on the part of any party are necessary to authorize the execution and delivery of this Sublease or to consummate the transactions contemplated hereunder and (iii) this Sublease has been duly and validly executed and delivered by each party hereto and shall constitute a valid, legal and binding agreement of each of respective party, enforceable against each party in accordance with and subject to the terms and conditions of this Sublease.</w:t>
      </w:r>
    </w:p>
    <w:p>
      <w:pPr>
        <w:spacing w:after="0" w:line="142" w:lineRule="exact"/>
        <w:rPr>
          <w:rFonts w:ascii="Arial" w:cs="Arial" w:eastAsia="Arial" w:hAnsi="Arial"/>
          <w:sz w:val="22"/>
          <w:szCs w:val="22"/>
          <w:color w:val="auto"/>
        </w:rPr>
      </w:pPr>
    </w:p>
    <w:p>
      <w:pPr>
        <w:jc w:val="both"/>
        <w:ind w:firstLine="656"/>
        <w:spacing w:after="0" w:line="294" w:lineRule="auto"/>
        <w:tabs>
          <w:tab w:leader="none" w:pos="1134" w:val="left"/>
        </w:tabs>
        <w:numPr>
          <w:ilvl w:val="0"/>
          <w:numId w:val="544"/>
        </w:numPr>
        <w:rPr>
          <w:rFonts w:ascii="Arial" w:cs="Arial" w:eastAsia="Arial" w:hAnsi="Arial"/>
          <w:sz w:val="19"/>
          <w:szCs w:val="19"/>
          <w:color w:val="auto"/>
        </w:rPr>
      </w:pPr>
      <w:r>
        <w:rPr>
          <w:rFonts w:ascii="Arial" w:cs="Arial" w:eastAsia="Arial" w:hAnsi="Arial"/>
          <w:sz w:val="19"/>
          <w:szCs w:val="19"/>
          <w:u w:val="single" w:color="auto"/>
          <w:color w:val="auto"/>
        </w:rPr>
        <w:t>Third Floor Expansion</w:t>
      </w:r>
      <w:r>
        <w:rPr>
          <w:rFonts w:ascii="Arial" w:cs="Arial" w:eastAsia="Arial" w:hAnsi="Arial"/>
          <w:sz w:val="19"/>
          <w:szCs w:val="19"/>
          <w:color w:val="auto"/>
        </w:rPr>
        <w:t>. The parties acknowledge that Subtenant desires to expand the Subleased Premises to include a portion of the third (3rd) floor of the Building and Sublandlord similarly desires to sublease a portion of the third (3rd) floor of the Building, but is only willing to do so if the applicable portion of the third (3rd) floor of the Building is configured and demised in a manner such that Sublandlord’s subleasing of such space will not trigger on the part of Landlord under the Master Lease to recapture any portion of the Master Lease Premises. As of the Effective Date, Sublandlord and Subtenant have not agreed upon a mutually acceptable configuration of the applicable portion of the third (3rd) floor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27" w:right="339" w:bottom="1440" w:gutter="0" w:footer="0" w:header="0"/>
        </w:sectPr>
      </w:pPr>
    </w:p>
    <w:bookmarkStart w:id="558" w:name="page559"/>
    <w:bookmarkEnd w:id="558"/>
    <w:p>
      <w:pPr>
        <w:jc w:val="both"/>
        <w:spacing w:after="0" w:line="259" w:lineRule="auto"/>
        <w:rPr>
          <w:sz w:val="20"/>
          <w:szCs w:val="20"/>
          <w:color w:val="auto"/>
        </w:rPr>
      </w:pPr>
      <w:r>
        <w:rPr>
          <w:rFonts w:ascii="Arial" w:cs="Arial" w:eastAsia="Arial" w:hAnsi="Arial"/>
          <w:sz w:val="21"/>
          <w:szCs w:val="21"/>
          <w:color w:val="auto"/>
        </w:rPr>
        <w:t>Building but agree that if, Sublandlord and Subtenant so agree upon any such configuration, the parties’ willingness to enter into an amendment to this Sublease adding such third (3rd) floor to the Subleased Premises will also be conditioned upon Landlord’s agreement that such configuration will not trigger Landlord’s recapture right under the Master Lease. Taking into account the foregoing, however, Sublandlord and Subtenant each agree to reasonably cooperate in good faith to reach agreement upon a mutually acceptable configuration of applicable space on the third (3rd) floor (and associated economic terms), for the purposes of (i) submitting the same to Landlord for review and (ii) provided Landlord similarly agrees that a sublease of such space to Subtenant would not trigger Landlord’s recapture rights, enter into an amendment to this Sublease providing for the subleasing of such space by Subtenant.</w:t>
      </w:r>
    </w:p>
    <w:p>
      <w:pPr>
        <w:spacing w:after="0" w:line="129" w:lineRule="exact"/>
        <w:rPr>
          <w:sz w:val="20"/>
          <w:szCs w:val="20"/>
          <w:color w:val="auto"/>
        </w:rPr>
      </w:pPr>
    </w:p>
    <w:p>
      <w:pPr>
        <w:ind w:left="1140" w:hanging="484"/>
        <w:spacing w:after="0"/>
        <w:tabs>
          <w:tab w:leader="none" w:pos="1140" w:val="left"/>
        </w:tabs>
        <w:numPr>
          <w:ilvl w:val="0"/>
          <w:numId w:val="545"/>
        </w:numPr>
        <w:rPr>
          <w:rFonts w:ascii="Arial" w:cs="Arial" w:eastAsia="Arial" w:hAnsi="Arial"/>
          <w:sz w:val="22"/>
          <w:szCs w:val="22"/>
          <w:color w:val="auto"/>
        </w:rPr>
      </w:pPr>
      <w:r>
        <w:rPr>
          <w:rFonts w:ascii="Arial" w:cs="Arial" w:eastAsia="Arial" w:hAnsi="Arial"/>
          <w:sz w:val="22"/>
          <w:szCs w:val="22"/>
          <w:u w:val="single" w:color="auto"/>
          <w:color w:val="auto"/>
        </w:rPr>
        <w:t>Sublandlord Representations and Covenants</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ind w:left="1760" w:hanging="456"/>
        <w:spacing w:after="0"/>
        <w:tabs>
          <w:tab w:leader="none" w:pos="1760" w:val="left"/>
        </w:tabs>
        <w:numPr>
          <w:ilvl w:val="1"/>
          <w:numId w:val="545"/>
        </w:numPr>
        <w:rPr>
          <w:rFonts w:ascii="Arial" w:cs="Arial" w:eastAsia="Arial" w:hAnsi="Arial"/>
          <w:sz w:val="22"/>
          <w:szCs w:val="22"/>
          <w:color w:val="auto"/>
        </w:rPr>
      </w:pPr>
      <w:r>
        <w:rPr>
          <w:rFonts w:ascii="Arial" w:cs="Arial" w:eastAsia="Arial" w:hAnsi="Arial"/>
          <w:sz w:val="22"/>
          <w:szCs w:val="22"/>
          <w:color w:val="auto"/>
        </w:rPr>
        <w:t>Sublandlord hereby represents and warrants to Subtenant that, as of the Effective Date:</w:t>
      </w:r>
    </w:p>
    <w:p>
      <w:pPr>
        <w:spacing w:after="0" w:line="165" w:lineRule="exact"/>
        <w:rPr>
          <w:rFonts w:ascii="Arial" w:cs="Arial" w:eastAsia="Arial" w:hAnsi="Arial"/>
          <w:sz w:val="22"/>
          <w:szCs w:val="22"/>
          <w:color w:val="auto"/>
        </w:rPr>
      </w:pPr>
    </w:p>
    <w:p>
      <w:pPr>
        <w:ind w:left="2360" w:hanging="408"/>
        <w:spacing w:after="0"/>
        <w:tabs>
          <w:tab w:leader="none" w:pos="2360" w:val="left"/>
        </w:tabs>
        <w:numPr>
          <w:ilvl w:val="2"/>
          <w:numId w:val="545"/>
        </w:numPr>
        <w:rPr>
          <w:rFonts w:ascii="Arial" w:cs="Arial" w:eastAsia="Arial" w:hAnsi="Arial"/>
          <w:sz w:val="22"/>
          <w:szCs w:val="22"/>
          <w:color w:val="auto"/>
        </w:rPr>
      </w:pPr>
      <w:r>
        <w:rPr>
          <w:rFonts w:ascii="Arial" w:cs="Arial" w:eastAsia="Arial" w:hAnsi="Arial"/>
          <w:sz w:val="22"/>
          <w:szCs w:val="22"/>
          <w:color w:val="auto"/>
        </w:rPr>
        <w:t>The Master Lease is in full force and effect;</w:t>
      </w:r>
    </w:p>
    <w:p>
      <w:pPr>
        <w:spacing w:after="0" w:line="165" w:lineRule="exact"/>
        <w:rPr>
          <w:rFonts w:ascii="Arial" w:cs="Arial" w:eastAsia="Arial" w:hAnsi="Arial"/>
          <w:sz w:val="22"/>
          <w:szCs w:val="22"/>
          <w:color w:val="auto"/>
        </w:rPr>
      </w:pPr>
    </w:p>
    <w:p>
      <w:pPr>
        <w:jc w:val="both"/>
        <w:ind w:firstLine="1952"/>
        <w:spacing w:after="0" w:line="253" w:lineRule="auto"/>
        <w:tabs>
          <w:tab w:leader="none" w:pos="2481" w:val="left"/>
        </w:tabs>
        <w:numPr>
          <w:ilvl w:val="2"/>
          <w:numId w:val="545"/>
        </w:numPr>
        <w:rPr>
          <w:rFonts w:ascii="Arial" w:cs="Arial" w:eastAsia="Arial" w:hAnsi="Arial"/>
          <w:sz w:val="22"/>
          <w:szCs w:val="22"/>
          <w:color w:val="auto"/>
        </w:rPr>
      </w:pPr>
      <w:r>
        <w:rPr>
          <w:rFonts w:ascii="Arial" w:cs="Arial" w:eastAsia="Arial" w:hAnsi="Arial"/>
          <w:sz w:val="22"/>
          <w:szCs w:val="22"/>
          <w:color w:val="auto"/>
        </w:rPr>
        <w:t>Sublandlord has provided Subtenant a true, correct and complete (other than redactions to financial terms) copy of the Master Lease and all other material agreements between Landlord and Sublandlord relating to the leasing, use and occupancy of the Subleased Premises;</w:t>
      </w:r>
    </w:p>
    <w:p>
      <w:pPr>
        <w:spacing w:after="0" w:line="131" w:lineRule="exact"/>
        <w:rPr>
          <w:rFonts w:ascii="Arial" w:cs="Arial" w:eastAsia="Arial" w:hAnsi="Arial"/>
          <w:sz w:val="22"/>
          <w:szCs w:val="22"/>
          <w:color w:val="auto"/>
        </w:rPr>
      </w:pPr>
    </w:p>
    <w:p>
      <w:pPr>
        <w:jc w:val="both"/>
        <w:ind w:firstLine="1952"/>
        <w:spacing w:after="0" w:line="253" w:lineRule="auto"/>
        <w:tabs>
          <w:tab w:leader="none" w:pos="2586" w:val="left"/>
        </w:tabs>
        <w:numPr>
          <w:ilvl w:val="2"/>
          <w:numId w:val="545"/>
        </w:numPr>
        <w:rPr>
          <w:rFonts w:ascii="Arial" w:cs="Arial" w:eastAsia="Arial" w:hAnsi="Arial"/>
          <w:sz w:val="22"/>
          <w:szCs w:val="22"/>
          <w:color w:val="auto"/>
        </w:rPr>
      </w:pPr>
      <w:r>
        <w:rPr>
          <w:rFonts w:ascii="Arial" w:cs="Arial" w:eastAsia="Arial" w:hAnsi="Arial"/>
          <w:sz w:val="22"/>
          <w:szCs w:val="22"/>
          <w:color w:val="auto"/>
        </w:rPr>
        <w:t>Sublandlord has not received any notice of default from Landlord, nor has Sublandlord sent any notice of default to Landlord under the Master Lease nor is Sublandlord aware of any state of facts which with notice, the passage of time, or both, would constitute a material Event of Default under the Master Lease;</w:t>
      </w:r>
    </w:p>
    <w:p>
      <w:pPr>
        <w:spacing w:after="0" w:line="131" w:lineRule="exact"/>
        <w:rPr>
          <w:rFonts w:ascii="Arial" w:cs="Arial" w:eastAsia="Arial" w:hAnsi="Arial"/>
          <w:sz w:val="22"/>
          <w:szCs w:val="22"/>
          <w:color w:val="auto"/>
        </w:rPr>
      </w:pPr>
    </w:p>
    <w:p>
      <w:pPr>
        <w:jc w:val="both"/>
        <w:ind w:firstLine="1952"/>
        <w:spacing w:after="0" w:line="312" w:lineRule="auto"/>
        <w:tabs>
          <w:tab w:leader="none" w:pos="2499" w:val="left"/>
        </w:tabs>
        <w:numPr>
          <w:ilvl w:val="2"/>
          <w:numId w:val="545"/>
        </w:numPr>
        <w:rPr>
          <w:rFonts w:ascii="Arial" w:cs="Arial" w:eastAsia="Arial" w:hAnsi="Arial"/>
          <w:sz w:val="19"/>
          <w:szCs w:val="19"/>
          <w:color w:val="auto"/>
        </w:rPr>
      </w:pPr>
      <w:r>
        <w:rPr>
          <w:rFonts w:ascii="Arial" w:cs="Arial" w:eastAsia="Arial" w:hAnsi="Arial"/>
          <w:sz w:val="19"/>
          <w:szCs w:val="19"/>
          <w:color w:val="auto"/>
        </w:rPr>
        <w:t>Sublandlord has not received written notice from any governmental authority of any noncompliance with applicable laws and codes affecting the Subleased Premises (Sublandlord is in the process of performing certain modifications/upgrades to the sprinkler heads in the Master Lease Premises to insure that they remain code-compliant); and</w:t>
      </w:r>
    </w:p>
    <w:p>
      <w:pPr>
        <w:spacing w:after="0" w:line="79" w:lineRule="exact"/>
        <w:rPr>
          <w:rFonts w:ascii="Arial" w:cs="Arial" w:eastAsia="Arial" w:hAnsi="Arial"/>
          <w:sz w:val="19"/>
          <w:szCs w:val="19"/>
          <w:color w:val="auto"/>
        </w:rPr>
      </w:pPr>
    </w:p>
    <w:p>
      <w:pPr>
        <w:ind w:firstLine="1952"/>
        <w:spacing w:after="0" w:line="263" w:lineRule="auto"/>
        <w:tabs>
          <w:tab w:leader="none" w:pos="2422" w:val="left"/>
        </w:tabs>
        <w:numPr>
          <w:ilvl w:val="2"/>
          <w:numId w:val="545"/>
        </w:numPr>
        <w:rPr>
          <w:rFonts w:ascii="Arial" w:cs="Arial" w:eastAsia="Arial" w:hAnsi="Arial"/>
          <w:sz w:val="22"/>
          <w:szCs w:val="22"/>
          <w:color w:val="auto"/>
        </w:rPr>
      </w:pPr>
      <w:r>
        <w:rPr>
          <w:rFonts w:ascii="Arial" w:cs="Arial" w:eastAsia="Arial" w:hAnsi="Arial"/>
          <w:sz w:val="22"/>
          <w:szCs w:val="22"/>
          <w:color w:val="auto"/>
        </w:rPr>
        <w:t>To Sublandlord’s actual knowledge, all mechanical, electrical, plumbing and lighting systems serving the Subleased Premises are in good working order.</w:t>
      </w:r>
    </w:p>
    <w:p>
      <w:pPr>
        <w:spacing w:after="0" w:line="120" w:lineRule="exact"/>
        <w:rPr>
          <w:rFonts w:ascii="Arial" w:cs="Arial" w:eastAsia="Arial" w:hAnsi="Arial"/>
          <w:sz w:val="22"/>
          <w:szCs w:val="22"/>
          <w:color w:val="auto"/>
        </w:rPr>
      </w:pPr>
    </w:p>
    <w:p>
      <w:pPr>
        <w:ind w:left="1780" w:hanging="476"/>
        <w:spacing w:after="0"/>
        <w:tabs>
          <w:tab w:leader="none" w:pos="1780" w:val="left"/>
        </w:tabs>
        <w:numPr>
          <w:ilvl w:val="1"/>
          <w:numId w:val="545"/>
        </w:numPr>
        <w:rPr>
          <w:rFonts w:ascii="Arial" w:cs="Arial" w:eastAsia="Arial" w:hAnsi="Arial"/>
          <w:sz w:val="22"/>
          <w:szCs w:val="22"/>
          <w:color w:val="auto"/>
        </w:rPr>
      </w:pPr>
      <w:r>
        <w:rPr>
          <w:rFonts w:ascii="Arial" w:cs="Arial" w:eastAsia="Arial" w:hAnsi="Arial"/>
          <w:sz w:val="22"/>
          <w:szCs w:val="22"/>
          <w:color w:val="auto"/>
        </w:rPr>
        <w:t>Sublandlord hereby covenants to Subtenant that, on and after the Effective Date:</w:t>
      </w:r>
    </w:p>
    <w:p>
      <w:pPr>
        <w:spacing w:after="0" w:line="165" w:lineRule="exact"/>
        <w:rPr>
          <w:rFonts w:ascii="Arial" w:cs="Arial" w:eastAsia="Arial" w:hAnsi="Arial"/>
          <w:sz w:val="22"/>
          <w:szCs w:val="22"/>
          <w:color w:val="auto"/>
        </w:rPr>
      </w:pPr>
    </w:p>
    <w:p>
      <w:pPr>
        <w:jc w:val="both"/>
        <w:ind w:firstLine="1952"/>
        <w:spacing w:after="0" w:line="265" w:lineRule="auto"/>
        <w:tabs>
          <w:tab w:leader="none" w:pos="2553" w:val="left"/>
        </w:tabs>
        <w:numPr>
          <w:ilvl w:val="2"/>
          <w:numId w:val="545"/>
        </w:numPr>
        <w:rPr>
          <w:rFonts w:ascii="Arial" w:cs="Arial" w:eastAsia="Arial" w:hAnsi="Arial"/>
          <w:sz w:val="21"/>
          <w:szCs w:val="21"/>
          <w:color w:val="auto"/>
        </w:rPr>
      </w:pPr>
      <w:r>
        <w:rPr>
          <w:rFonts w:ascii="Arial" w:cs="Arial" w:eastAsia="Arial" w:hAnsi="Arial"/>
          <w:sz w:val="21"/>
          <w:szCs w:val="21"/>
          <w:color w:val="auto"/>
        </w:rPr>
        <w:t xml:space="preserve">Sublandlord shall not modify or amend the Master Lease in any manner which would reduce Subtenant’s rights hereunder (except to a </w:t>
      </w:r>
      <w:r>
        <w:rPr>
          <w:rFonts w:ascii="Arial" w:cs="Arial" w:eastAsia="Arial" w:hAnsi="Arial"/>
          <w:sz w:val="21"/>
          <w:szCs w:val="21"/>
          <w:i w:val="1"/>
          <w:iCs w:val="1"/>
          <w:color w:val="auto"/>
        </w:rPr>
        <w:t>de minimis</w:t>
      </w:r>
      <w:r>
        <w:rPr>
          <w:rFonts w:ascii="Arial" w:cs="Arial" w:eastAsia="Arial" w:hAnsi="Arial"/>
          <w:sz w:val="21"/>
          <w:szCs w:val="21"/>
          <w:color w:val="auto"/>
        </w:rPr>
        <w:t xml:space="preserve"> extent) or increase Subtenant’s obligations hereunder (except to a </w:t>
      </w:r>
      <w:r>
        <w:rPr>
          <w:rFonts w:ascii="Arial" w:cs="Arial" w:eastAsia="Arial" w:hAnsi="Arial"/>
          <w:sz w:val="21"/>
          <w:szCs w:val="21"/>
          <w:i w:val="1"/>
          <w:iCs w:val="1"/>
          <w:color w:val="auto"/>
        </w:rPr>
        <w:t>de minimis</w:t>
      </w:r>
      <w:r>
        <w:rPr>
          <w:rFonts w:ascii="Arial" w:cs="Arial" w:eastAsia="Arial" w:hAnsi="Arial"/>
          <w:sz w:val="21"/>
          <w:szCs w:val="21"/>
          <w:color w:val="auto"/>
        </w:rPr>
        <w:t xml:space="preserve"> extent), or voluntarily surrender the Master Lease or enter into any termination thereof (other than pursuant to any termination arising as a result of a casualty or taking), without the prior written consent of Subtenant;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27" w:right="339" w:bottom="1440" w:gutter="0" w:footer="0" w:header="0"/>
        </w:sectPr>
      </w:pPr>
    </w:p>
    <w:bookmarkStart w:id="559" w:name="page560"/>
    <w:bookmarkEnd w:id="559"/>
    <w:p>
      <w:pPr>
        <w:jc w:val="both"/>
        <w:ind w:firstLine="1952"/>
        <w:spacing w:after="0" w:line="265" w:lineRule="auto"/>
        <w:tabs>
          <w:tab w:leader="none" w:pos="2567" w:val="left"/>
        </w:tabs>
        <w:numPr>
          <w:ilvl w:val="2"/>
          <w:numId w:val="546"/>
        </w:numPr>
        <w:rPr>
          <w:rFonts w:ascii="Arial" w:cs="Arial" w:eastAsia="Arial" w:hAnsi="Arial"/>
          <w:sz w:val="21"/>
          <w:szCs w:val="21"/>
          <w:color w:val="auto"/>
        </w:rPr>
      </w:pPr>
      <w:r>
        <w:rPr>
          <w:rFonts w:ascii="Arial" w:cs="Arial" w:eastAsia="Arial" w:hAnsi="Arial"/>
          <w:sz w:val="21"/>
          <w:szCs w:val="21"/>
          <w:color w:val="auto"/>
        </w:rPr>
        <w:t>Sublandlord will indemnify Subtenant for (1) Sublandlord’s breach of Sublandlord’s obligations under the Master Lease to the extent not caused or contributed to by Subtenant, and (2) any damage to person or (subject to the provisions of Paragraph 10 of the Original Master Lease, as incorporated herein by reference) property on the Subleased Premises to the extent caused by Sublandlord’s gross negligence or willful misconduct; and</w:t>
      </w:r>
    </w:p>
    <w:p>
      <w:pPr>
        <w:spacing w:after="0" w:line="121" w:lineRule="exact"/>
        <w:rPr>
          <w:rFonts w:ascii="Arial" w:cs="Arial" w:eastAsia="Arial" w:hAnsi="Arial"/>
          <w:sz w:val="21"/>
          <w:szCs w:val="21"/>
          <w:color w:val="auto"/>
        </w:rPr>
      </w:pPr>
    </w:p>
    <w:p>
      <w:pPr>
        <w:jc w:val="both"/>
        <w:ind w:firstLine="1952"/>
        <w:spacing w:after="0" w:line="253" w:lineRule="auto"/>
        <w:tabs>
          <w:tab w:leader="none" w:pos="2503" w:val="left"/>
        </w:tabs>
        <w:numPr>
          <w:ilvl w:val="2"/>
          <w:numId w:val="546"/>
        </w:numPr>
        <w:rPr>
          <w:rFonts w:ascii="Arial" w:cs="Arial" w:eastAsia="Arial" w:hAnsi="Arial"/>
          <w:sz w:val="22"/>
          <w:szCs w:val="22"/>
          <w:color w:val="auto"/>
        </w:rPr>
      </w:pPr>
      <w:r>
        <w:rPr>
          <w:rFonts w:ascii="Arial" w:cs="Arial" w:eastAsia="Arial" w:hAnsi="Arial"/>
          <w:sz w:val="22"/>
          <w:szCs w:val="22"/>
          <w:color w:val="auto"/>
        </w:rPr>
        <w:t>Sublandlord shall timely perform those covenants and obligations under the Master Lease which are not to be performed by Subtenant pursuant to this Sublease or by other Subtenants pursuant to other subleases affecting the Master Lease Premises.</w:t>
      </w:r>
    </w:p>
    <w:p>
      <w:pPr>
        <w:spacing w:after="0" w:line="131" w:lineRule="exact"/>
        <w:rPr>
          <w:rFonts w:ascii="Arial" w:cs="Arial" w:eastAsia="Arial" w:hAnsi="Arial"/>
          <w:sz w:val="22"/>
          <w:szCs w:val="22"/>
          <w:color w:val="auto"/>
        </w:rPr>
      </w:pPr>
    </w:p>
    <w:p>
      <w:pPr>
        <w:ind w:left="1140" w:hanging="484"/>
        <w:spacing w:after="0"/>
        <w:tabs>
          <w:tab w:leader="none" w:pos="1140" w:val="left"/>
        </w:tabs>
        <w:numPr>
          <w:ilvl w:val="0"/>
          <w:numId w:val="547"/>
        </w:numPr>
        <w:rPr>
          <w:rFonts w:ascii="Arial" w:cs="Arial" w:eastAsia="Arial" w:hAnsi="Arial"/>
          <w:sz w:val="22"/>
          <w:szCs w:val="22"/>
          <w:color w:val="auto"/>
        </w:rPr>
      </w:pPr>
      <w:r>
        <w:rPr>
          <w:rFonts w:ascii="Arial" w:cs="Arial" w:eastAsia="Arial" w:hAnsi="Arial"/>
          <w:sz w:val="22"/>
          <w:szCs w:val="22"/>
          <w:u w:val="single" w:color="auto"/>
          <w:color w:val="auto"/>
        </w:rPr>
        <w:t>Landlord’s Consent</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jc w:val="both"/>
        <w:ind w:firstLine="1304"/>
        <w:spacing w:after="0" w:line="259" w:lineRule="auto"/>
        <w:tabs>
          <w:tab w:leader="none" w:pos="1887" w:val="left"/>
        </w:tabs>
        <w:numPr>
          <w:ilvl w:val="1"/>
          <w:numId w:val="547"/>
        </w:numPr>
        <w:rPr>
          <w:rFonts w:ascii="Arial" w:cs="Arial" w:eastAsia="Arial" w:hAnsi="Arial"/>
          <w:sz w:val="21"/>
          <w:szCs w:val="21"/>
          <w:color w:val="auto"/>
        </w:rPr>
      </w:pPr>
      <w:r>
        <w:rPr>
          <w:rFonts w:ascii="Arial" w:cs="Arial" w:eastAsia="Arial" w:hAnsi="Arial"/>
          <w:sz w:val="21"/>
          <w:szCs w:val="21"/>
          <w:color w:val="auto"/>
        </w:rPr>
        <w:t>Sublandlord shall, promptly after execution of this Sublease by both parties, submit a copy of same to Landlord and thereafter each party agrees to use diligent good faith efforts to promptly obtain the Consent. If the Consent is not obtained within ninety (90) days after the Effective Date (the “</w:t>
      </w:r>
      <w:r>
        <w:rPr>
          <w:rFonts w:ascii="Arial" w:cs="Arial" w:eastAsia="Arial" w:hAnsi="Arial"/>
          <w:sz w:val="21"/>
          <w:szCs w:val="21"/>
          <w:b w:val="1"/>
          <w:bCs w:val="1"/>
          <w:color w:val="auto"/>
        </w:rPr>
        <w:t>Outside Consent Date</w:t>
      </w:r>
      <w:r>
        <w:rPr>
          <w:rFonts w:ascii="Arial" w:cs="Arial" w:eastAsia="Arial" w:hAnsi="Arial"/>
          <w:sz w:val="21"/>
          <w:szCs w:val="21"/>
          <w:color w:val="auto"/>
        </w:rPr>
        <w:t>”), either party may terminate this Sublease upon written notice thereof to the other delivered at any time prior to the mutual execution and delivery of the Consent, in which event Sublandlord shall return to Subtenant all amounts paid under this Sublease within five (5) business days and neither party shall have any further obligation to the other party under this Sublease. Sublandlord’s obligations under this Section 29(a) shall survive the expiration or earlier termination of this Sublease. Neither party hereto will have the right to terminate this Sublease due to a failure to procure the Consent if such failure is attributable to such party’s failure to use diligent good faith efforts to obtain the Consent.</w:t>
      </w:r>
    </w:p>
    <w:p>
      <w:pPr>
        <w:spacing w:after="0" w:line="125" w:lineRule="exact"/>
        <w:rPr>
          <w:rFonts w:ascii="Arial" w:cs="Arial" w:eastAsia="Arial" w:hAnsi="Arial"/>
          <w:sz w:val="21"/>
          <w:szCs w:val="21"/>
          <w:color w:val="auto"/>
        </w:rPr>
      </w:pPr>
    </w:p>
    <w:p>
      <w:pPr>
        <w:jc w:val="both"/>
        <w:ind w:firstLine="1304"/>
        <w:spacing w:after="0" w:line="250" w:lineRule="auto"/>
        <w:tabs>
          <w:tab w:leader="none" w:pos="1823" w:val="left"/>
        </w:tabs>
        <w:numPr>
          <w:ilvl w:val="1"/>
          <w:numId w:val="547"/>
        </w:numPr>
        <w:rPr>
          <w:rFonts w:ascii="Arial" w:cs="Arial" w:eastAsia="Arial" w:hAnsi="Arial"/>
          <w:sz w:val="22"/>
          <w:szCs w:val="22"/>
          <w:color w:val="auto"/>
        </w:rPr>
      </w:pPr>
      <w:r>
        <w:rPr>
          <w:rFonts w:ascii="Arial" w:cs="Arial" w:eastAsia="Arial" w:hAnsi="Arial"/>
          <w:sz w:val="22"/>
          <w:szCs w:val="22"/>
          <w:color w:val="auto"/>
        </w:rPr>
        <w:t>Except to the extent expressly provided in the Consent to the contrary, Landlord's consent to this Sublease shall not be deemed or construed to modify, amend or affect the terms and provisions of the Master Lease, or Sublandlord's obligations thereunder, which shall continue to apply to the Master Lease Premises, including the Subleased Premises, and the occupants thereof, as if this Sublease had not been made.</w:t>
      </w:r>
    </w:p>
    <w:p>
      <w:pPr>
        <w:spacing w:after="0" w:line="133" w:lineRule="exact"/>
        <w:rPr>
          <w:rFonts w:ascii="Arial" w:cs="Arial" w:eastAsia="Arial" w:hAnsi="Arial"/>
          <w:sz w:val="22"/>
          <w:szCs w:val="22"/>
          <w:color w:val="auto"/>
        </w:rPr>
      </w:pPr>
    </w:p>
    <w:p>
      <w:pPr>
        <w:ind w:right="20" w:firstLine="1304"/>
        <w:spacing w:after="0" w:line="263" w:lineRule="auto"/>
        <w:tabs>
          <w:tab w:leader="none" w:pos="1766" w:val="left"/>
        </w:tabs>
        <w:numPr>
          <w:ilvl w:val="1"/>
          <w:numId w:val="547"/>
        </w:numPr>
        <w:rPr>
          <w:rFonts w:ascii="Arial" w:cs="Arial" w:eastAsia="Arial" w:hAnsi="Arial"/>
          <w:sz w:val="22"/>
          <w:szCs w:val="22"/>
          <w:color w:val="auto"/>
        </w:rPr>
      </w:pPr>
      <w:r>
        <w:rPr>
          <w:rFonts w:ascii="Arial" w:cs="Arial" w:eastAsia="Arial" w:hAnsi="Arial"/>
          <w:sz w:val="22"/>
          <w:szCs w:val="22"/>
          <w:color w:val="auto"/>
        </w:rPr>
        <w:t>Sublandlord shall pay all fees imposed by Landlord in connection with Landlord’s review and/or approval of this Sublease in accordance with the terms of the Master Lease.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27" w:right="339" w:bottom="1440" w:gutter="0" w:footer="0" w:header="0"/>
        </w:sectPr>
      </w:pPr>
    </w:p>
    <w:bookmarkStart w:id="560" w:name="page561"/>
    <w:bookmarkEnd w:id="560"/>
    <w:p>
      <w:pPr>
        <w:jc w:val="center"/>
        <w:ind w:right="40"/>
        <w:spacing w:after="0"/>
        <w:rPr>
          <w:sz w:val="20"/>
          <w:szCs w:val="20"/>
          <w:color w:val="auto"/>
        </w:rPr>
      </w:pPr>
      <w:r>
        <w:rPr>
          <w:rFonts w:ascii="Arial" w:cs="Arial" w:eastAsia="Arial" w:hAnsi="Arial"/>
          <w:sz w:val="22"/>
          <w:szCs w:val="22"/>
          <w:color w:val="1D1D1D"/>
        </w:rPr>
        <w:t>IN WITNESS WHEREOF</w:t>
      </w:r>
      <w:r>
        <w:rPr>
          <w:rFonts w:ascii="Arial" w:cs="Arial" w:eastAsia="Arial" w:hAnsi="Arial"/>
          <w:sz w:val="22"/>
          <w:szCs w:val="22"/>
          <w:color w:val="484848"/>
        </w:rPr>
        <w:t>,</w:t>
      </w:r>
      <w:r>
        <w:rPr>
          <w:rFonts w:ascii="Arial" w:cs="Arial" w:eastAsia="Arial" w:hAnsi="Arial"/>
          <w:sz w:val="22"/>
          <w:szCs w:val="22"/>
          <w:color w:val="1D1D1D"/>
        </w:rPr>
        <w:t xml:space="preserve"> the parties hereto hereby execute this Sublease as of the Effective Date.</w:t>
      </w:r>
    </w:p>
    <w:p>
      <w:pPr>
        <w:spacing w:after="0" w:line="220" w:lineRule="exact"/>
        <w:rPr>
          <w:sz w:val="20"/>
          <w:szCs w:val="20"/>
          <w:color w:val="auto"/>
        </w:rPr>
      </w:pPr>
    </w:p>
    <w:tbl>
      <w:tblPr>
        <w:tblLayout w:type="fixed"/>
        <w:tblInd w:w="4820" w:type="dxa"/>
        <w:tblCellMar>
          <w:top w:w="0" w:type="dxa"/>
          <w:left w:w="0" w:type="dxa"/>
          <w:bottom w:w="0" w:type="dxa"/>
          <w:right w:w="0" w:type="dxa"/>
        </w:tblCellMar>
      </w:tblPr>
      <w:tr>
        <w:trPr>
          <w:trHeight w:val="257"/>
        </w:trPr>
        <w:tc>
          <w:tcPr>
            <w:tcW w:w="1660" w:type="dxa"/>
            <w:vAlign w:val="bottom"/>
          </w:tcPr>
          <w:p>
            <w:pPr>
              <w:spacing w:after="0"/>
              <w:rPr>
                <w:sz w:val="20"/>
                <w:szCs w:val="20"/>
                <w:color w:val="auto"/>
              </w:rPr>
            </w:pPr>
            <w:r>
              <w:rPr>
                <w:rFonts w:ascii="Arial" w:cs="Arial" w:eastAsia="Arial" w:hAnsi="Arial"/>
                <w:sz w:val="22"/>
                <w:szCs w:val="22"/>
                <w:color w:val="auto"/>
                <w:w w:val="95"/>
              </w:rPr>
              <w:t>SUBLANDLORD:</w:t>
            </w:r>
          </w:p>
        </w:tc>
        <w:tc>
          <w:tcPr>
            <w:tcW w:w="4760" w:type="dxa"/>
            <w:vAlign w:val="bottom"/>
          </w:tcPr>
          <w:p>
            <w:pPr>
              <w:ind w:left="860"/>
              <w:spacing w:after="0"/>
              <w:rPr>
                <w:sz w:val="20"/>
                <w:szCs w:val="20"/>
                <w:color w:val="auto"/>
              </w:rPr>
            </w:pPr>
            <w:r>
              <w:rPr>
                <w:rFonts w:ascii="Arial" w:cs="Arial" w:eastAsia="Arial" w:hAnsi="Arial"/>
                <w:sz w:val="22"/>
                <w:szCs w:val="22"/>
                <w:color w:val="auto"/>
              </w:rPr>
              <w:t>TWITTER, INC.,</w:t>
            </w:r>
          </w:p>
        </w:tc>
      </w:tr>
      <w:tr>
        <w:trPr>
          <w:trHeight w:val="274"/>
        </w:trPr>
        <w:tc>
          <w:tcPr>
            <w:tcW w:w="1660" w:type="dxa"/>
            <w:vAlign w:val="bottom"/>
          </w:tcPr>
          <w:p>
            <w:pPr>
              <w:spacing w:after="0"/>
              <w:rPr>
                <w:sz w:val="23"/>
                <w:szCs w:val="23"/>
                <w:color w:val="auto"/>
              </w:rPr>
            </w:pPr>
          </w:p>
        </w:tc>
        <w:tc>
          <w:tcPr>
            <w:tcW w:w="4760" w:type="dxa"/>
            <w:vAlign w:val="bottom"/>
          </w:tcPr>
          <w:p>
            <w:pPr>
              <w:ind w:left="860"/>
              <w:spacing w:after="0"/>
              <w:rPr>
                <w:sz w:val="20"/>
                <w:szCs w:val="20"/>
                <w:color w:val="auto"/>
              </w:rPr>
            </w:pPr>
            <w:r>
              <w:rPr>
                <w:rFonts w:ascii="Arial" w:cs="Arial" w:eastAsia="Arial" w:hAnsi="Arial"/>
                <w:sz w:val="22"/>
                <w:szCs w:val="22"/>
                <w:color w:val="auto"/>
              </w:rPr>
              <w:t>a Delaware corporation</w:t>
            </w:r>
          </w:p>
        </w:tc>
      </w:tr>
      <w:tr>
        <w:trPr>
          <w:trHeight w:val="591"/>
        </w:trPr>
        <w:tc>
          <w:tcPr>
            <w:tcW w:w="1660" w:type="dxa"/>
            <w:vAlign w:val="bottom"/>
          </w:tcPr>
          <w:p>
            <w:pPr>
              <w:spacing w:after="0"/>
              <w:rPr>
                <w:sz w:val="20"/>
                <w:szCs w:val="20"/>
                <w:color w:val="auto"/>
              </w:rPr>
            </w:pPr>
            <w:r>
              <w:rPr>
                <w:rFonts w:ascii="Arial" w:cs="Arial" w:eastAsia="Arial" w:hAnsi="Arial"/>
                <w:sz w:val="22"/>
                <w:szCs w:val="22"/>
                <w:color w:val="auto"/>
              </w:rPr>
              <w:t>By:</w:t>
            </w:r>
          </w:p>
        </w:tc>
        <w:tc>
          <w:tcPr>
            <w:tcW w:w="47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Anthony Noto</w:t>
            </w:r>
          </w:p>
        </w:tc>
      </w:tr>
      <w:tr>
        <w:trPr>
          <w:trHeight w:val="304"/>
        </w:trPr>
        <w:tc>
          <w:tcPr>
            <w:tcW w:w="1660" w:type="dxa"/>
            <w:vAlign w:val="bottom"/>
          </w:tcPr>
          <w:p>
            <w:pPr>
              <w:spacing w:after="0"/>
              <w:rPr>
                <w:sz w:val="20"/>
                <w:szCs w:val="20"/>
                <w:color w:val="auto"/>
              </w:rPr>
            </w:pPr>
            <w:r>
              <w:rPr>
                <w:rFonts w:ascii="Arial" w:cs="Arial" w:eastAsia="Arial" w:hAnsi="Arial"/>
                <w:sz w:val="22"/>
                <w:szCs w:val="22"/>
                <w:color w:val="auto"/>
              </w:rPr>
              <w:t>Print Name:</w:t>
            </w:r>
          </w:p>
        </w:tc>
        <w:tc>
          <w:tcPr>
            <w:tcW w:w="47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Anthony Noto</w:t>
            </w:r>
          </w:p>
        </w:tc>
      </w:tr>
      <w:tr>
        <w:trPr>
          <w:trHeight w:val="304"/>
        </w:trPr>
        <w:tc>
          <w:tcPr>
            <w:tcW w:w="1660" w:type="dxa"/>
            <w:vAlign w:val="bottom"/>
          </w:tcPr>
          <w:p>
            <w:pPr>
              <w:spacing w:after="0"/>
              <w:rPr>
                <w:sz w:val="20"/>
                <w:szCs w:val="20"/>
                <w:color w:val="auto"/>
              </w:rPr>
            </w:pPr>
            <w:r>
              <w:rPr>
                <w:rFonts w:ascii="Arial" w:cs="Arial" w:eastAsia="Arial" w:hAnsi="Arial"/>
                <w:sz w:val="22"/>
                <w:szCs w:val="22"/>
                <w:color w:val="auto"/>
              </w:rPr>
              <w:t>Title:</w:t>
            </w:r>
          </w:p>
        </w:tc>
        <w:tc>
          <w:tcPr>
            <w:tcW w:w="47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CFO</w:t>
            </w:r>
          </w:p>
        </w:tc>
      </w:tr>
      <w:tr>
        <w:trPr>
          <w:trHeight w:val="532"/>
        </w:trPr>
        <w:tc>
          <w:tcPr>
            <w:tcW w:w="1660" w:type="dxa"/>
            <w:vAlign w:val="bottom"/>
          </w:tcPr>
          <w:p>
            <w:pPr>
              <w:spacing w:after="0"/>
              <w:rPr>
                <w:sz w:val="20"/>
                <w:szCs w:val="20"/>
                <w:color w:val="auto"/>
              </w:rPr>
            </w:pPr>
            <w:r>
              <w:rPr>
                <w:rFonts w:ascii="Arial" w:cs="Arial" w:eastAsia="Arial" w:hAnsi="Arial"/>
                <w:sz w:val="22"/>
                <w:szCs w:val="22"/>
                <w:color w:val="auto"/>
              </w:rPr>
              <w:t>SUBTENANT:</w:t>
            </w:r>
          </w:p>
        </w:tc>
        <w:tc>
          <w:tcPr>
            <w:tcW w:w="4760" w:type="dxa"/>
            <w:vAlign w:val="bottom"/>
          </w:tcPr>
          <w:p>
            <w:pPr>
              <w:ind w:left="860"/>
              <w:spacing w:after="0"/>
              <w:rPr>
                <w:sz w:val="20"/>
                <w:szCs w:val="20"/>
                <w:color w:val="auto"/>
              </w:rPr>
            </w:pPr>
            <w:r>
              <w:rPr>
                <w:rFonts w:ascii="Arial" w:cs="Arial" w:eastAsia="Arial" w:hAnsi="Arial"/>
                <w:sz w:val="22"/>
                <w:szCs w:val="22"/>
                <w:color w:val="auto"/>
              </w:rPr>
              <w:t>NERDWALLET, INC.,</w:t>
            </w:r>
          </w:p>
        </w:tc>
      </w:tr>
      <w:tr>
        <w:trPr>
          <w:trHeight w:val="274"/>
        </w:trPr>
        <w:tc>
          <w:tcPr>
            <w:tcW w:w="1660" w:type="dxa"/>
            <w:vAlign w:val="bottom"/>
          </w:tcPr>
          <w:p>
            <w:pPr>
              <w:spacing w:after="0"/>
              <w:rPr>
                <w:sz w:val="23"/>
                <w:szCs w:val="23"/>
                <w:color w:val="auto"/>
              </w:rPr>
            </w:pPr>
          </w:p>
        </w:tc>
        <w:tc>
          <w:tcPr>
            <w:tcW w:w="4760" w:type="dxa"/>
            <w:vAlign w:val="bottom"/>
          </w:tcPr>
          <w:p>
            <w:pPr>
              <w:ind w:left="860"/>
              <w:spacing w:after="0"/>
              <w:rPr>
                <w:sz w:val="20"/>
                <w:szCs w:val="20"/>
                <w:color w:val="auto"/>
              </w:rPr>
            </w:pPr>
            <w:r>
              <w:rPr>
                <w:rFonts w:ascii="Arial" w:cs="Arial" w:eastAsia="Arial" w:hAnsi="Arial"/>
                <w:sz w:val="22"/>
                <w:szCs w:val="22"/>
                <w:color w:val="auto"/>
              </w:rPr>
              <w:t>a Delaware corporation</w:t>
            </w:r>
          </w:p>
        </w:tc>
      </w:tr>
      <w:tr>
        <w:trPr>
          <w:trHeight w:val="591"/>
        </w:trPr>
        <w:tc>
          <w:tcPr>
            <w:tcW w:w="1660" w:type="dxa"/>
            <w:vAlign w:val="bottom"/>
          </w:tcPr>
          <w:p>
            <w:pPr>
              <w:spacing w:after="0"/>
              <w:rPr>
                <w:sz w:val="20"/>
                <w:szCs w:val="20"/>
                <w:color w:val="auto"/>
              </w:rPr>
            </w:pPr>
            <w:r>
              <w:rPr>
                <w:rFonts w:ascii="Arial" w:cs="Arial" w:eastAsia="Arial" w:hAnsi="Arial"/>
                <w:sz w:val="22"/>
                <w:szCs w:val="22"/>
                <w:color w:val="auto"/>
              </w:rPr>
              <w:t>By:</w:t>
            </w:r>
          </w:p>
        </w:tc>
        <w:tc>
          <w:tcPr>
            <w:tcW w:w="47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Tim Chen</w:t>
            </w:r>
          </w:p>
        </w:tc>
      </w:tr>
      <w:tr>
        <w:trPr>
          <w:trHeight w:val="304"/>
        </w:trPr>
        <w:tc>
          <w:tcPr>
            <w:tcW w:w="1660" w:type="dxa"/>
            <w:vAlign w:val="bottom"/>
          </w:tcPr>
          <w:p>
            <w:pPr>
              <w:spacing w:after="0"/>
              <w:rPr>
                <w:sz w:val="20"/>
                <w:szCs w:val="20"/>
                <w:color w:val="auto"/>
              </w:rPr>
            </w:pPr>
            <w:r>
              <w:rPr>
                <w:rFonts w:ascii="Arial" w:cs="Arial" w:eastAsia="Arial" w:hAnsi="Arial"/>
                <w:sz w:val="22"/>
                <w:szCs w:val="22"/>
                <w:color w:val="auto"/>
              </w:rPr>
              <w:t>Print Name:</w:t>
            </w:r>
          </w:p>
        </w:tc>
        <w:tc>
          <w:tcPr>
            <w:tcW w:w="47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Tim Chen</w:t>
            </w:r>
          </w:p>
        </w:tc>
      </w:tr>
      <w:tr>
        <w:trPr>
          <w:trHeight w:val="304"/>
        </w:trPr>
        <w:tc>
          <w:tcPr>
            <w:tcW w:w="1660" w:type="dxa"/>
            <w:vAlign w:val="bottom"/>
          </w:tcPr>
          <w:p>
            <w:pPr>
              <w:spacing w:after="0"/>
              <w:rPr>
                <w:sz w:val="20"/>
                <w:szCs w:val="20"/>
                <w:color w:val="auto"/>
              </w:rPr>
            </w:pPr>
            <w:r>
              <w:rPr>
                <w:rFonts w:ascii="Arial" w:cs="Arial" w:eastAsia="Arial" w:hAnsi="Arial"/>
                <w:sz w:val="22"/>
                <w:szCs w:val="22"/>
                <w:color w:val="auto"/>
              </w:rPr>
              <w:t>Title:</w:t>
            </w:r>
          </w:p>
        </w:tc>
        <w:tc>
          <w:tcPr>
            <w:tcW w:w="47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CEO</w:t>
            </w:r>
          </w:p>
        </w:tc>
      </w:tr>
      <w:tr>
        <w:trPr>
          <w:trHeight w:val="561"/>
        </w:trPr>
        <w:tc>
          <w:tcPr>
            <w:tcW w:w="1660" w:type="dxa"/>
            <w:vAlign w:val="bottom"/>
          </w:tcPr>
          <w:p>
            <w:pPr>
              <w:spacing w:after="0"/>
              <w:rPr>
                <w:sz w:val="20"/>
                <w:szCs w:val="20"/>
                <w:color w:val="auto"/>
              </w:rPr>
            </w:pPr>
            <w:r>
              <w:rPr>
                <w:rFonts w:ascii="Arial" w:cs="Arial" w:eastAsia="Arial" w:hAnsi="Arial"/>
                <w:sz w:val="22"/>
                <w:szCs w:val="22"/>
                <w:color w:val="auto"/>
              </w:rPr>
              <w:t>By:</w:t>
            </w:r>
          </w:p>
        </w:tc>
        <w:tc>
          <w:tcPr>
            <w:tcW w:w="47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Robert Lattuga</w:t>
            </w:r>
          </w:p>
        </w:tc>
      </w:tr>
      <w:tr>
        <w:trPr>
          <w:trHeight w:val="304"/>
        </w:trPr>
        <w:tc>
          <w:tcPr>
            <w:tcW w:w="1660" w:type="dxa"/>
            <w:vAlign w:val="bottom"/>
          </w:tcPr>
          <w:p>
            <w:pPr>
              <w:spacing w:after="0"/>
              <w:rPr>
                <w:sz w:val="20"/>
                <w:szCs w:val="20"/>
                <w:color w:val="auto"/>
              </w:rPr>
            </w:pPr>
            <w:r>
              <w:rPr>
                <w:rFonts w:ascii="Arial" w:cs="Arial" w:eastAsia="Arial" w:hAnsi="Arial"/>
                <w:sz w:val="22"/>
                <w:szCs w:val="22"/>
                <w:color w:val="auto"/>
              </w:rPr>
              <w:t>Print Name:</w:t>
            </w:r>
          </w:p>
        </w:tc>
        <w:tc>
          <w:tcPr>
            <w:tcW w:w="47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Robert Lattuga</w:t>
            </w:r>
          </w:p>
        </w:tc>
      </w:tr>
      <w:tr>
        <w:trPr>
          <w:trHeight w:val="304"/>
        </w:trPr>
        <w:tc>
          <w:tcPr>
            <w:tcW w:w="1660" w:type="dxa"/>
            <w:vAlign w:val="bottom"/>
          </w:tcPr>
          <w:p>
            <w:pPr>
              <w:spacing w:after="0"/>
              <w:rPr>
                <w:sz w:val="20"/>
                <w:szCs w:val="20"/>
                <w:color w:val="auto"/>
              </w:rPr>
            </w:pPr>
            <w:r>
              <w:rPr>
                <w:rFonts w:ascii="Arial" w:cs="Arial" w:eastAsia="Arial" w:hAnsi="Arial"/>
                <w:sz w:val="22"/>
                <w:szCs w:val="22"/>
                <w:color w:val="auto"/>
              </w:rPr>
              <w:t>Title:</w:t>
            </w:r>
          </w:p>
        </w:tc>
        <w:tc>
          <w:tcPr>
            <w:tcW w:w="47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General Counsel &amp; Secretary</w:t>
            </w:r>
          </w:p>
        </w:tc>
      </w:tr>
      <w:tr>
        <w:trPr>
          <w:trHeight w:val="257"/>
        </w:trPr>
        <w:tc>
          <w:tcPr>
            <w:tcW w:w="1660" w:type="dxa"/>
            <w:vAlign w:val="bottom"/>
          </w:tcPr>
          <w:p>
            <w:pPr>
              <w:spacing w:after="0"/>
              <w:rPr>
                <w:sz w:val="22"/>
                <w:szCs w:val="22"/>
                <w:color w:val="auto"/>
              </w:rPr>
            </w:pPr>
          </w:p>
        </w:tc>
        <w:tc>
          <w:tcPr>
            <w:tcW w:w="4760" w:type="dxa"/>
            <w:vAlign w:val="bottom"/>
            <w:tcBorders>
              <w:bottom w:val="single" w:sz="8" w:color="auto"/>
            </w:tcBorders>
          </w:tcPr>
          <w:p>
            <w:pPr>
              <w:spacing w:after="0"/>
              <w:rPr>
                <w:sz w:val="22"/>
                <w:szCs w:val="22"/>
                <w:color w:val="auto"/>
              </w:rPr>
            </w:pPr>
          </w:p>
        </w:tc>
      </w:tr>
    </w:tbl>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2D2D2D"/>
        </w:rPr>
        <w:t xml:space="preserve">Unless </w:t>
      </w:r>
      <w:r>
        <w:rPr>
          <w:rFonts w:ascii="Arial" w:cs="Arial" w:eastAsia="Arial" w:hAnsi="Arial"/>
          <w:sz w:val="22"/>
          <w:szCs w:val="22"/>
          <w:color w:val="1D1D1D"/>
        </w:rPr>
        <w:t>evidence</w:t>
      </w:r>
      <w:r>
        <w:rPr>
          <w:rFonts w:ascii="Arial" w:cs="Arial" w:eastAsia="Arial" w:hAnsi="Arial"/>
          <w:sz w:val="22"/>
          <w:szCs w:val="22"/>
          <w:color w:val="2D2D2D"/>
        </w:rPr>
        <w:t xml:space="preserve"> of actual signature </w:t>
      </w:r>
      <w:r>
        <w:rPr>
          <w:rFonts w:ascii="Arial" w:cs="Arial" w:eastAsia="Arial" w:hAnsi="Arial"/>
          <w:sz w:val="22"/>
          <w:szCs w:val="22"/>
          <w:color w:val="1D1D1D"/>
        </w:rPr>
        <w:t>authority is provided for</w:t>
      </w:r>
      <w:r>
        <w:rPr>
          <w:rFonts w:ascii="Arial" w:cs="Arial" w:eastAsia="Arial" w:hAnsi="Arial"/>
          <w:sz w:val="22"/>
          <w:szCs w:val="22"/>
          <w:color w:val="2D2D2D"/>
        </w:rPr>
        <w:t xml:space="preserve"> a corporate Subtenant (a </w:t>
      </w:r>
      <w:r>
        <w:rPr>
          <w:rFonts w:ascii="Arial" w:cs="Arial" w:eastAsia="Arial" w:hAnsi="Arial"/>
          <w:sz w:val="22"/>
          <w:szCs w:val="22"/>
          <w:color w:val="000000"/>
        </w:rPr>
        <w:t>“</w:t>
      </w:r>
      <w:r>
        <w:rPr>
          <w:rFonts w:ascii="Arial" w:cs="Arial" w:eastAsia="Arial" w:hAnsi="Arial"/>
          <w:sz w:val="22"/>
          <w:szCs w:val="22"/>
          <w:b w:val="1"/>
          <w:bCs w:val="1"/>
          <w:color w:val="2D2D2D"/>
        </w:rPr>
        <w:t>Corporation</w:t>
      </w:r>
      <w:r>
        <w:rPr>
          <w:rFonts w:ascii="Arial" w:cs="Arial" w:eastAsia="Arial" w:hAnsi="Arial"/>
          <w:sz w:val="22"/>
          <w:szCs w:val="22"/>
          <w:color w:val="000000"/>
        </w:rPr>
        <w:t>”</w:t>
      </w:r>
      <w:r>
        <w:rPr>
          <w:rFonts w:ascii="Arial" w:cs="Arial" w:eastAsia="Arial" w:hAnsi="Arial"/>
          <w:sz w:val="22"/>
          <w:szCs w:val="22"/>
          <w:b w:val="1"/>
          <w:bCs w:val="1"/>
          <w:color w:val="2D2D2D"/>
        </w:rPr>
        <w:t>),</w:t>
      </w:r>
      <w:r>
        <w:rPr>
          <w:rFonts w:ascii="Arial" w:cs="Arial" w:eastAsia="Arial" w:hAnsi="Arial"/>
          <w:sz w:val="22"/>
          <w:szCs w:val="22"/>
          <w:color w:val="2D2D2D"/>
        </w:rPr>
        <w:t xml:space="preserve"> </w:t>
      </w:r>
      <w:r>
        <w:rPr>
          <w:rFonts w:ascii="Arial" w:cs="Arial" w:eastAsia="Arial" w:hAnsi="Arial"/>
          <w:sz w:val="22"/>
          <w:szCs w:val="22"/>
          <w:color w:val="1D1D1D"/>
        </w:rPr>
        <w:t>this Sublease must be</w:t>
      </w:r>
      <w:r>
        <w:rPr>
          <w:rFonts w:ascii="Arial" w:cs="Arial" w:eastAsia="Arial" w:hAnsi="Arial"/>
          <w:sz w:val="22"/>
          <w:szCs w:val="22"/>
          <w:color w:val="2D2D2D"/>
        </w:rPr>
        <w:t xml:space="preserve"> </w:t>
      </w:r>
      <w:r>
        <w:rPr>
          <w:rFonts w:ascii="Arial" w:cs="Arial" w:eastAsia="Arial" w:hAnsi="Arial"/>
          <w:sz w:val="22"/>
          <w:szCs w:val="22"/>
          <w:color w:val="1D1D1D"/>
        </w:rPr>
        <w:t xml:space="preserve">executed by the appropriate </w:t>
      </w:r>
      <w:r>
        <w:rPr>
          <w:rFonts w:ascii="Arial" w:cs="Arial" w:eastAsia="Arial" w:hAnsi="Arial"/>
          <w:sz w:val="22"/>
          <w:szCs w:val="22"/>
          <w:color w:val="2D2D2D"/>
        </w:rPr>
        <w:t>combination</w:t>
      </w:r>
      <w:r>
        <w:rPr>
          <w:rFonts w:ascii="Arial" w:cs="Arial" w:eastAsia="Arial" w:hAnsi="Arial"/>
          <w:sz w:val="22"/>
          <w:szCs w:val="22"/>
          <w:color w:val="1D1D1D"/>
        </w:rPr>
        <w:t xml:space="preserve"> of signatories. Accordingly, the individuals </w:t>
      </w:r>
      <w:r>
        <w:rPr>
          <w:rFonts w:ascii="Arial" w:cs="Arial" w:eastAsia="Arial" w:hAnsi="Arial"/>
          <w:sz w:val="22"/>
          <w:szCs w:val="22"/>
          <w:color w:val="2D2D2D"/>
        </w:rPr>
        <w:t>signing above</w:t>
      </w:r>
      <w:r>
        <w:rPr>
          <w:rFonts w:ascii="Arial" w:cs="Arial" w:eastAsia="Arial" w:hAnsi="Arial"/>
          <w:sz w:val="22"/>
          <w:szCs w:val="22"/>
          <w:color w:val="1D1D1D"/>
        </w:rPr>
        <w:t xml:space="preserve"> hereby represent and </w:t>
      </w:r>
      <w:r>
        <w:rPr>
          <w:rFonts w:ascii="Arial" w:cs="Arial" w:eastAsia="Arial" w:hAnsi="Arial"/>
          <w:sz w:val="22"/>
          <w:szCs w:val="22"/>
          <w:color w:val="2D2D2D"/>
        </w:rPr>
        <w:t>warrant</w:t>
      </w:r>
      <w:r>
        <w:rPr>
          <w:rFonts w:ascii="Arial" w:cs="Arial" w:eastAsia="Arial" w:hAnsi="Arial"/>
          <w:sz w:val="22"/>
          <w:szCs w:val="22"/>
          <w:color w:val="1D1D1D"/>
        </w:rPr>
        <w:t xml:space="preserve"> that </w:t>
      </w:r>
      <w:r>
        <w:rPr>
          <w:rFonts w:ascii="Arial" w:cs="Arial" w:eastAsia="Arial" w:hAnsi="Arial"/>
          <w:sz w:val="22"/>
          <w:szCs w:val="22"/>
          <w:color w:val="2D2D2D"/>
        </w:rPr>
        <w:t>at least one</w:t>
      </w:r>
      <w:r>
        <w:rPr>
          <w:rFonts w:ascii="Arial" w:cs="Arial" w:eastAsia="Arial" w:hAnsi="Arial"/>
          <w:sz w:val="22"/>
          <w:szCs w:val="22"/>
          <w:color w:val="1D1D1D"/>
        </w:rPr>
        <w:t xml:space="preserve"> of </w:t>
      </w:r>
      <w:r>
        <w:rPr>
          <w:rFonts w:ascii="Arial" w:cs="Arial" w:eastAsia="Arial" w:hAnsi="Arial"/>
          <w:sz w:val="22"/>
          <w:szCs w:val="22"/>
          <w:color w:val="2D2D2D"/>
        </w:rPr>
        <w:t>the</w:t>
      </w:r>
      <w:r>
        <w:rPr>
          <w:rFonts w:ascii="Arial" w:cs="Arial" w:eastAsia="Arial" w:hAnsi="Arial"/>
          <w:sz w:val="22"/>
          <w:szCs w:val="22"/>
          <w:color w:val="1D1D1D"/>
        </w:rPr>
        <w:t xml:space="preserve"> individuals </w:t>
      </w:r>
      <w:r>
        <w:rPr>
          <w:rFonts w:ascii="Arial" w:cs="Arial" w:eastAsia="Arial" w:hAnsi="Arial"/>
          <w:sz w:val="22"/>
          <w:szCs w:val="22"/>
          <w:color w:val="2D2D2D"/>
        </w:rPr>
        <w:t>signing above</w:t>
      </w:r>
      <w:r>
        <w:rPr>
          <w:rFonts w:ascii="Arial" w:cs="Arial" w:eastAsia="Arial" w:hAnsi="Arial"/>
          <w:sz w:val="22"/>
          <w:szCs w:val="22"/>
          <w:color w:val="1D1D1D"/>
        </w:rPr>
        <w:t xml:space="preserve"> is one of the </w:t>
      </w:r>
      <w:r>
        <w:rPr>
          <w:rFonts w:ascii="Arial" w:cs="Arial" w:eastAsia="Arial" w:hAnsi="Arial"/>
          <w:sz w:val="22"/>
          <w:szCs w:val="22"/>
          <w:color w:val="2D2D2D"/>
        </w:rPr>
        <w:t>following:</w:t>
      </w:r>
    </w:p>
    <w:p>
      <w:pPr>
        <w:spacing w:after="0" w:line="128" w:lineRule="exact"/>
        <w:rPr>
          <w:sz w:val="20"/>
          <w:szCs w:val="20"/>
          <w:color w:val="auto"/>
        </w:rPr>
      </w:pPr>
    </w:p>
    <w:p>
      <w:pPr>
        <w:ind w:firstLine="656"/>
        <w:spacing w:after="0" w:line="263" w:lineRule="auto"/>
        <w:tabs>
          <w:tab w:leader="none" w:pos="954" w:val="left"/>
        </w:tabs>
        <w:numPr>
          <w:ilvl w:val="0"/>
          <w:numId w:val="548"/>
        </w:numPr>
        <w:rPr>
          <w:rFonts w:ascii="Arial" w:cs="Arial" w:eastAsia="Arial" w:hAnsi="Arial"/>
          <w:sz w:val="22"/>
          <w:szCs w:val="22"/>
          <w:color w:val="2D2D2D"/>
        </w:rPr>
      </w:pPr>
      <w:r>
        <w:rPr>
          <w:rFonts w:ascii="Arial" w:cs="Arial" w:eastAsia="Arial" w:hAnsi="Arial"/>
          <w:sz w:val="22"/>
          <w:szCs w:val="22"/>
          <w:color w:val="2D2D2D"/>
        </w:rPr>
        <w:t xml:space="preserve">the chairman of </w:t>
      </w:r>
      <w:r>
        <w:rPr>
          <w:rFonts w:ascii="Arial" w:cs="Arial" w:eastAsia="Arial" w:hAnsi="Arial"/>
          <w:sz w:val="22"/>
          <w:szCs w:val="22"/>
          <w:color w:val="1D1D1D"/>
        </w:rPr>
        <w:t>the board, the chief</w:t>
      </w:r>
      <w:r>
        <w:rPr>
          <w:rFonts w:ascii="Arial" w:cs="Arial" w:eastAsia="Arial" w:hAnsi="Arial"/>
          <w:sz w:val="22"/>
          <w:szCs w:val="22"/>
          <w:color w:val="2D2D2D"/>
        </w:rPr>
        <w:t xml:space="preserve"> executive officer</w:t>
      </w:r>
      <w:r>
        <w:rPr>
          <w:rFonts w:ascii="Arial" w:cs="Arial" w:eastAsia="Arial" w:hAnsi="Arial"/>
          <w:sz w:val="22"/>
          <w:szCs w:val="22"/>
          <w:color w:val="484848"/>
        </w:rPr>
        <w:t>,</w:t>
      </w:r>
      <w:r>
        <w:rPr>
          <w:rFonts w:ascii="Arial" w:cs="Arial" w:eastAsia="Arial" w:hAnsi="Arial"/>
          <w:sz w:val="22"/>
          <w:szCs w:val="22"/>
          <w:color w:val="2D2D2D"/>
        </w:rPr>
        <w:t xml:space="preserve"> </w:t>
      </w:r>
      <w:r>
        <w:rPr>
          <w:rFonts w:ascii="Arial" w:cs="Arial" w:eastAsia="Arial" w:hAnsi="Arial"/>
          <w:sz w:val="22"/>
          <w:szCs w:val="22"/>
          <w:color w:val="1D1D1D"/>
        </w:rPr>
        <w:t>the</w:t>
      </w:r>
      <w:r>
        <w:rPr>
          <w:rFonts w:ascii="Arial" w:cs="Arial" w:eastAsia="Arial" w:hAnsi="Arial"/>
          <w:sz w:val="22"/>
          <w:szCs w:val="22"/>
          <w:color w:val="2D2D2D"/>
        </w:rPr>
        <w:t xml:space="preserve"> chief operational </w:t>
      </w:r>
      <w:r>
        <w:rPr>
          <w:rFonts w:ascii="Arial" w:cs="Arial" w:eastAsia="Arial" w:hAnsi="Arial"/>
          <w:sz w:val="22"/>
          <w:szCs w:val="22"/>
          <w:color w:val="1D1D1D"/>
        </w:rPr>
        <w:t>officer,</w:t>
      </w:r>
      <w:r>
        <w:rPr>
          <w:rFonts w:ascii="Arial" w:cs="Arial" w:eastAsia="Arial" w:hAnsi="Arial"/>
          <w:sz w:val="22"/>
          <w:szCs w:val="22"/>
          <w:color w:val="2D2D2D"/>
        </w:rPr>
        <w:t xml:space="preserve"> the </w:t>
      </w:r>
      <w:r>
        <w:rPr>
          <w:rFonts w:ascii="Arial" w:cs="Arial" w:eastAsia="Arial" w:hAnsi="Arial"/>
          <w:sz w:val="22"/>
          <w:szCs w:val="22"/>
          <w:color w:val="1D1D1D"/>
        </w:rPr>
        <w:t>president,</w:t>
      </w:r>
      <w:r>
        <w:rPr>
          <w:rFonts w:ascii="Arial" w:cs="Arial" w:eastAsia="Arial" w:hAnsi="Arial"/>
          <w:sz w:val="22"/>
          <w:szCs w:val="22"/>
          <w:color w:val="2D2D2D"/>
        </w:rPr>
        <w:t xml:space="preserve"> or </w:t>
      </w:r>
      <w:r>
        <w:rPr>
          <w:rFonts w:ascii="Arial" w:cs="Arial" w:eastAsia="Arial" w:hAnsi="Arial"/>
          <w:sz w:val="22"/>
          <w:szCs w:val="22"/>
          <w:color w:val="1D1D1D"/>
        </w:rPr>
        <w:t>a vice president</w:t>
      </w:r>
      <w:r>
        <w:rPr>
          <w:rFonts w:ascii="Arial" w:cs="Arial" w:eastAsia="Arial" w:hAnsi="Arial"/>
          <w:sz w:val="22"/>
          <w:szCs w:val="22"/>
          <w:color w:val="2D2D2D"/>
        </w:rPr>
        <w:t xml:space="preserve"> of </w:t>
      </w:r>
      <w:r>
        <w:rPr>
          <w:rFonts w:ascii="Arial" w:cs="Arial" w:eastAsia="Arial" w:hAnsi="Arial"/>
          <w:sz w:val="22"/>
          <w:szCs w:val="22"/>
          <w:color w:val="1D1D1D"/>
        </w:rPr>
        <w:t xml:space="preserve">the </w:t>
      </w:r>
      <w:r>
        <w:rPr>
          <w:rFonts w:ascii="Arial" w:cs="Arial" w:eastAsia="Arial" w:hAnsi="Arial"/>
          <w:sz w:val="22"/>
          <w:szCs w:val="22"/>
          <w:color w:val="2D2D2D"/>
        </w:rPr>
        <w:t>Corporation;</w:t>
      </w:r>
      <w:r>
        <w:rPr>
          <w:rFonts w:ascii="Arial" w:cs="Arial" w:eastAsia="Arial" w:hAnsi="Arial"/>
          <w:sz w:val="22"/>
          <w:szCs w:val="22"/>
          <w:color w:val="1D1D1D"/>
        </w:rPr>
        <w:t xml:space="preserve"> and</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color w:val="1D1D1D"/>
        </w:rPr>
        <w:t xml:space="preserve">that </w:t>
      </w:r>
      <w:r>
        <w:rPr>
          <w:rFonts w:ascii="Arial" w:cs="Arial" w:eastAsia="Arial" w:hAnsi="Arial"/>
          <w:sz w:val="22"/>
          <w:szCs w:val="22"/>
          <w:color w:val="2D2D2D"/>
        </w:rPr>
        <w:t>the</w:t>
      </w:r>
      <w:r>
        <w:rPr>
          <w:rFonts w:ascii="Arial" w:cs="Arial" w:eastAsia="Arial" w:hAnsi="Arial"/>
          <w:sz w:val="22"/>
          <w:szCs w:val="22"/>
          <w:color w:val="1D1D1D"/>
        </w:rPr>
        <w:t xml:space="preserve"> other individual is </w:t>
      </w:r>
      <w:r>
        <w:rPr>
          <w:rFonts w:ascii="Arial" w:cs="Arial" w:eastAsia="Arial" w:hAnsi="Arial"/>
          <w:sz w:val="22"/>
          <w:szCs w:val="22"/>
          <w:color w:val="2D2D2D"/>
        </w:rPr>
        <w:t>one</w:t>
      </w:r>
      <w:r>
        <w:rPr>
          <w:rFonts w:ascii="Arial" w:cs="Arial" w:eastAsia="Arial" w:hAnsi="Arial"/>
          <w:sz w:val="22"/>
          <w:szCs w:val="22"/>
          <w:color w:val="1D1D1D"/>
        </w:rPr>
        <w:t xml:space="preserve"> of the </w:t>
      </w:r>
      <w:r>
        <w:rPr>
          <w:rFonts w:ascii="Arial" w:cs="Arial" w:eastAsia="Arial" w:hAnsi="Arial"/>
          <w:sz w:val="22"/>
          <w:szCs w:val="22"/>
          <w:color w:val="2D2D2D"/>
        </w:rPr>
        <w:t>following:</w:t>
      </w:r>
    </w:p>
    <w:p>
      <w:pPr>
        <w:spacing w:after="0" w:line="166" w:lineRule="exact"/>
        <w:rPr>
          <w:sz w:val="20"/>
          <w:szCs w:val="20"/>
          <w:color w:val="auto"/>
        </w:rPr>
      </w:pPr>
    </w:p>
    <w:p>
      <w:pPr>
        <w:ind w:left="960" w:hanging="304"/>
        <w:spacing w:after="0"/>
        <w:tabs>
          <w:tab w:leader="none" w:pos="960" w:val="left"/>
        </w:tabs>
        <w:numPr>
          <w:ilvl w:val="0"/>
          <w:numId w:val="549"/>
        </w:numPr>
        <w:rPr>
          <w:rFonts w:ascii="Arial" w:cs="Arial" w:eastAsia="Arial" w:hAnsi="Arial"/>
          <w:sz w:val="22"/>
          <w:szCs w:val="22"/>
          <w:color w:val="2D2D2D"/>
        </w:rPr>
      </w:pPr>
      <w:r>
        <w:rPr>
          <w:rFonts w:ascii="Arial" w:cs="Arial" w:eastAsia="Arial" w:hAnsi="Arial"/>
          <w:sz w:val="22"/>
          <w:szCs w:val="22"/>
          <w:color w:val="1D1D1D"/>
        </w:rPr>
        <w:t xml:space="preserve">the </w:t>
      </w:r>
      <w:r>
        <w:rPr>
          <w:rFonts w:ascii="Arial" w:cs="Arial" w:eastAsia="Arial" w:hAnsi="Arial"/>
          <w:sz w:val="22"/>
          <w:szCs w:val="22"/>
          <w:color w:val="2D2D2D"/>
        </w:rPr>
        <w:t>secretary, assistant secretary</w:t>
      </w:r>
      <w:r>
        <w:rPr>
          <w:rFonts w:ascii="Arial" w:cs="Arial" w:eastAsia="Arial" w:hAnsi="Arial"/>
          <w:sz w:val="22"/>
          <w:szCs w:val="22"/>
          <w:color w:val="484848"/>
        </w:rPr>
        <w:t>,</w:t>
      </w:r>
      <w:r>
        <w:rPr>
          <w:rFonts w:ascii="Arial" w:cs="Arial" w:eastAsia="Arial" w:hAnsi="Arial"/>
          <w:sz w:val="22"/>
          <w:szCs w:val="22"/>
          <w:color w:val="1D1D1D"/>
        </w:rPr>
        <w:t xml:space="preserve"> the chief </w:t>
      </w:r>
      <w:r>
        <w:rPr>
          <w:rFonts w:ascii="Arial" w:cs="Arial" w:eastAsia="Arial" w:hAnsi="Arial"/>
          <w:sz w:val="22"/>
          <w:szCs w:val="22"/>
          <w:color w:val="2D2D2D"/>
        </w:rPr>
        <w:t>financial officer</w:t>
      </w:r>
      <w:r>
        <w:rPr>
          <w:rFonts w:ascii="Arial" w:cs="Arial" w:eastAsia="Arial" w:hAnsi="Arial"/>
          <w:sz w:val="22"/>
          <w:szCs w:val="22"/>
          <w:color w:val="484848"/>
        </w:rPr>
        <w:t>,</w:t>
      </w:r>
      <w:r>
        <w:rPr>
          <w:rFonts w:ascii="Arial" w:cs="Arial" w:eastAsia="Arial" w:hAnsi="Arial"/>
          <w:sz w:val="22"/>
          <w:szCs w:val="22"/>
          <w:color w:val="1D1D1D"/>
        </w:rPr>
        <w:t xml:space="preserve"> or assistant treasurer </w:t>
      </w:r>
      <w:r>
        <w:rPr>
          <w:rFonts w:ascii="Arial" w:cs="Arial" w:eastAsia="Arial" w:hAnsi="Arial"/>
          <w:sz w:val="22"/>
          <w:szCs w:val="22"/>
          <w:color w:val="2D2D2D"/>
        </w:rPr>
        <w:t>of</w:t>
      </w:r>
      <w:r>
        <w:rPr>
          <w:rFonts w:ascii="Arial" w:cs="Arial" w:eastAsia="Arial" w:hAnsi="Arial"/>
          <w:sz w:val="22"/>
          <w:szCs w:val="22"/>
          <w:color w:val="1D1D1D"/>
        </w:rPr>
        <w:t xml:space="preserve"> the </w:t>
      </w:r>
      <w:r>
        <w:rPr>
          <w:rFonts w:ascii="Arial" w:cs="Arial" w:eastAsia="Arial" w:hAnsi="Arial"/>
          <w:sz w:val="22"/>
          <w:szCs w:val="22"/>
          <w:color w:val="2D2D2D"/>
        </w:rPr>
        <w:t>Corporation.</w:t>
      </w:r>
    </w:p>
    <w:p>
      <w:pPr>
        <w:spacing w:after="0" w:line="166" w:lineRule="exact"/>
        <w:rPr>
          <w:sz w:val="20"/>
          <w:szCs w:val="20"/>
          <w:color w:val="auto"/>
        </w:rPr>
      </w:pPr>
    </w:p>
    <w:p>
      <w:pPr>
        <w:spacing w:after="0" w:line="343" w:lineRule="auto"/>
        <w:rPr>
          <w:sz w:val="20"/>
          <w:szCs w:val="20"/>
          <w:color w:val="auto"/>
        </w:rPr>
      </w:pPr>
      <w:r>
        <w:rPr>
          <w:rFonts w:ascii="Arial" w:cs="Arial" w:eastAsia="Arial" w:hAnsi="Arial"/>
          <w:sz w:val="19"/>
          <w:szCs w:val="19"/>
          <w:color w:val="1D1D1D"/>
        </w:rPr>
        <w:t xml:space="preserve">However, </w:t>
      </w:r>
      <w:r>
        <w:rPr>
          <w:rFonts w:ascii="Arial" w:cs="Arial" w:eastAsia="Arial" w:hAnsi="Arial"/>
          <w:sz w:val="19"/>
          <w:szCs w:val="19"/>
          <w:color w:val="2D2D2D"/>
        </w:rPr>
        <w:t>a single</w:t>
      </w:r>
      <w:r>
        <w:rPr>
          <w:rFonts w:ascii="Arial" w:cs="Arial" w:eastAsia="Arial" w:hAnsi="Arial"/>
          <w:sz w:val="19"/>
          <w:szCs w:val="19"/>
          <w:color w:val="1D1D1D"/>
        </w:rPr>
        <w:t xml:space="preserve"> individual </w:t>
      </w:r>
      <w:r>
        <w:rPr>
          <w:rFonts w:ascii="Arial" w:cs="Arial" w:eastAsia="Arial" w:hAnsi="Arial"/>
          <w:sz w:val="19"/>
          <w:szCs w:val="19"/>
          <w:color w:val="2D2D2D"/>
        </w:rPr>
        <w:t>signing alone for</w:t>
      </w:r>
      <w:r>
        <w:rPr>
          <w:rFonts w:ascii="Arial" w:cs="Arial" w:eastAsia="Arial" w:hAnsi="Arial"/>
          <w:sz w:val="19"/>
          <w:szCs w:val="19"/>
          <w:color w:val="1D1D1D"/>
        </w:rPr>
        <w:t xml:space="preserve"> the </w:t>
      </w:r>
      <w:r>
        <w:rPr>
          <w:rFonts w:ascii="Arial" w:cs="Arial" w:eastAsia="Arial" w:hAnsi="Arial"/>
          <w:sz w:val="19"/>
          <w:szCs w:val="19"/>
          <w:color w:val="2D2D2D"/>
        </w:rPr>
        <w:t>Corporation is</w:t>
      </w:r>
      <w:r>
        <w:rPr>
          <w:rFonts w:ascii="Arial" w:cs="Arial" w:eastAsia="Arial" w:hAnsi="Arial"/>
          <w:sz w:val="19"/>
          <w:szCs w:val="19"/>
          <w:color w:val="1D1D1D"/>
        </w:rPr>
        <w:t xml:space="preserve"> deemed </w:t>
      </w:r>
      <w:r>
        <w:rPr>
          <w:rFonts w:ascii="Arial" w:cs="Arial" w:eastAsia="Arial" w:hAnsi="Arial"/>
          <w:sz w:val="19"/>
          <w:szCs w:val="19"/>
          <w:color w:val="2D2D2D"/>
        </w:rPr>
        <w:t>to repre</w:t>
      </w:r>
      <w:r>
        <w:rPr>
          <w:rFonts w:ascii="Arial" w:cs="Arial" w:eastAsia="Arial" w:hAnsi="Arial"/>
          <w:sz w:val="19"/>
          <w:szCs w:val="19"/>
          <w:color w:val="484848"/>
        </w:rPr>
        <w:t>s</w:t>
      </w:r>
      <w:r>
        <w:rPr>
          <w:rFonts w:ascii="Arial" w:cs="Arial" w:eastAsia="Arial" w:hAnsi="Arial"/>
          <w:sz w:val="19"/>
          <w:szCs w:val="19"/>
          <w:color w:val="2D2D2D"/>
        </w:rPr>
        <w:t>ent and warrant</w:t>
      </w:r>
      <w:r>
        <w:rPr>
          <w:rFonts w:ascii="Arial" w:cs="Arial" w:eastAsia="Arial" w:hAnsi="Arial"/>
          <w:sz w:val="19"/>
          <w:szCs w:val="19"/>
          <w:color w:val="1D1D1D"/>
        </w:rPr>
        <w:t xml:space="preserve"> that </w:t>
      </w:r>
      <w:r>
        <w:rPr>
          <w:rFonts w:ascii="Arial" w:cs="Arial" w:eastAsia="Arial" w:hAnsi="Arial"/>
          <w:sz w:val="19"/>
          <w:szCs w:val="19"/>
          <w:color w:val="2D2D2D"/>
        </w:rPr>
        <w:t>such individual</w:t>
      </w:r>
      <w:r>
        <w:rPr>
          <w:rFonts w:ascii="Arial" w:cs="Arial" w:eastAsia="Arial" w:hAnsi="Arial"/>
          <w:sz w:val="19"/>
          <w:szCs w:val="19"/>
          <w:color w:val="1D1D1D"/>
        </w:rPr>
        <w:t xml:space="preserve"> holds at least </w:t>
      </w:r>
      <w:r>
        <w:rPr>
          <w:rFonts w:ascii="Arial" w:cs="Arial" w:eastAsia="Arial" w:hAnsi="Arial"/>
          <w:sz w:val="19"/>
          <w:szCs w:val="19"/>
          <w:color w:val="2D2D2D"/>
        </w:rPr>
        <w:t>two corporate office</w:t>
      </w:r>
      <w:r>
        <w:rPr>
          <w:rFonts w:ascii="Arial" w:cs="Arial" w:eastAsia="Arial" w:hAnsi="Arial"/>
          <w:sz w:val="19"/>
          <w:szCs w:val="19"/>
          <w:color w:val="484848"/>
        </w:rPr>
        <w:t>s</w:t>
      </w:r>
      <w:r>
        <w:rPr>
          <w:rFonts w:ascii="Arial" w:cs="Arial" w:eastAsia="Arial" w:hAnsi="Arial"/>
          <w:sz w:val="19"/>
          <w:szCs w:val="19"/>
          <w:color w:val="1D1D1D"/>
        </w:rPr>
        <w:t xml:space="preserve"> </w:t>
      </w:r>
      <w:r>
        <w:rPr>
          <w:rFonts w:ascii="Arial" w:cs="Arial" w:eastAsia="Arial" w:hAnsi="Arial"/>
          <w:sz w:val="19"/>
          <w:szCs w:val="19"/>
          <w:color w:val="2D2D2D"/>
        </w:rPr>
        <w:t>with one</w:t>
      </w:r>
      <w:r>
        <w:rPr>
          <w:rFonts w:ascii="Arial" w:cs="Arial" w:eastAsia="Arial" w:hAnsi="Arial"/>
          <w:sz w:val="19"/>
          <w:szCs w:val="19"/>
          <w:color w:val="1D1D1D"/>
        </w:rPr>
        <w:t xml:space="preserve"> office in </w:t>
      </w:r>
      <w:r>
        <w:rPr>
          <w:rFonts w:ascii="Arial" w:cs="Arial" w:eastAsia="Arial" w:hAnsi="Arial"/>
          <w:sz w:val="19"/>
          <w:szCs w:val="19"/>
          <w:color w:val="2D2D2D"/>
        </w:rPr>
        <w:t>each of the two</w:t>
      </w:r>
      <w:r>
        <w:rPr>
          <w:rFonts w:ascii="Arial" w:cs="Arial" w:eastAsia="Arial" w:hAnsi="Arial"/>
          <w:sz w:val="19"/>
          <w:szCs w:val="19"/>
          <w:color w:val="1D1D1D"/>
        </w:rPr>
        <w:t xml:space="preserve"> categories listed </w:t>
      </w:r>
      <w:r>
        <w:rPr>
          <w:rFonts w:ascii="Arial" w:cs="Arial" w:eastAsia="Arial" w:hAnsi="Arial"/>
          <w:sz w:val="19"/>
          <w:szCs w:val="19"/>
          <w:color w:val="2D2D2D"/>
        </w:rPr>
        <w:t>above (i.e</w:t>
      </w:r>
      <w:r>
        <w:rPr>
          <w:rFonts w:ascii="Arial" w:cs="Arial" w:eastAsia="Arial" w:hAnsi="Arial"/>
          <w:sz w:val="19"/>
          <w:szCs w:val="19"/>
          <w:color w:val="070707"/>
        </w:rPr>
        <w:t>.</w:t>
      </w:r>
      <w:r>
        <w:rPr>
          <w:rFonts w:ascii="Arial" w:cs="Arial" w:eastAsia="Arial" w:hAnsi="Arial"/>
          <w:sz w:val="19"/>
          <w:szCs w:val="19"/>
          <w:color w:val="484848"/>
        </w:rPr>
        <w:t>,</w:t>
      </w:r>
      <w:r>
        <w:rPr>
          <w:rFonts w:ascii="Arial" w:cs="Arial" w:eastAsia="Arial" w:hAnsi="Arial"/>
          <w:sz w:val="19"/>
          <w:szCs w:val="19"/>
          <w:color w:val="1D1D1D"/>
        </w:rPr>
        <w:t xml:space="preserve"> </w:t>
      </w:r>
      <w:r>
        <w:rPr>
          <w:rFonts w:ascii="Arial" w:cs="Arial" w:eastAsia="Arial" w:hAnsi="Arial"/>
          <w:sz w:val="19"/>
          <w:szCs w:val="19"/>
          <w:color w:val="2D2D2D"/>
        </w:rPr>
        <w:t>subsections (x) and (y)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27" w:right="339" w:bottom="1440" w:gutter="0" w:footer="0" w:header="0"/>
        </w:sectPr>
      </w:pPr>
    </w:p>
    <w:bookmarkStart w:id="561" w:name="page562"/>
    <w:bookmarkEnd w:id="561"/>
    <w:p>
      <w:pPr>
        <w:jc w:val="center"/>
        <w:ind w:right="19"/>
        <w:spacing w:after="0"/>
        <w:rPr>
          <w:sz w:val="20"/>
          <w:szCs w:val="20"/>
          <w:color w:val="auto"/>
        </w:rPr>
      </w:pPr>
      <w:r>
        <w:rPr>
          <w:rFonts w:ascii="Arial" w:cs="Arial" w:eastAsia="Arial" w:hAnsi="Arial"/>
          <w:sz w:val="22"/>
          <w:szCs w:val="22"/>
          <w:b w:val="1"/>
          <w:bCs w:val="1"/>
          <w:u w:val="single" w:color="auto"/>
          <w:color w:val="auto"/>
        </w:rPr>
        <w:t>EXHIBIT A-1</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Subleased Premises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Fourth (4th)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109855</wp:posOffset>
            </wp:positionV>
            <wp:extent cx="5100320" cy="22885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00320"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9019"/>
          </w:cols>
          <w:pgMar w:left="1440" w:top="1421" w:right="1440" w:bottom="1440" w:gutter="0" w:footer="0" w:header="0"/>
        </w:sectPr>
      </w:pPr>
    </w:p>
    <w:bookmarkStart w:id="562" w:name="page563"/>
    <w:bookmarkEnd w:id="562"/>
    <w:p>
      <w:pPr>
        <w:jc w:val="center"/>
        <w:ind w:right="19"/>
        <w:spacing w:after="0"/>
        <w:rPr>
          <w:sz w:val="20"/>
          <w:szCs w:val="20"/>
          <w:color w:val="auto"/>
        </w:rPr>
      </w:pPr>
      <w:r>
        <w:rPr>
          <w:rFonts w:ascii="Arial" w:cs="Arial" w:eastAsia="Arial" w:hAnsi="Arial"/>
          <w:sz w:val="22"/>
          <w:szCs w:val="22"/>
          <w:b w:val="1"/>
          <w:bCs w:val="1"/>
          <w:u w:val="single" w:color="auto"/>
          <w:color w:val="auto"/>
        </w:rPr>
        <w:t>EXHIBIT A-2</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Subleased Premises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Fifth (5th)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109855</wp:posOffset>
            </wp:positionV>
            <wp:extent cx="5160645" cy="23406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60645" cy="2340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9019"/>
          </w:cols>
          <w:pgMar w:left="1440" w:top="1421" w:right="1440" w:bottom="1440" w:gutter="0" w:footer="0" w:header="0"/>
        </w:sectPr>
      </w:pPr>
    </w:p>
    <w:bookmarkStart w:id="563" w:name="page564"/>
    <w:bookmarkEnd w:id="563"/>
    <w:p>
      <w:pPr>
        <w:jc w:val="center"/>
        <w:ind w:right="19"/>
        <w:spacing w:after="0"/>
        <w:rPr>
          <w:sz w:val="20"/>
          <w:szCs w:val="20"/>
          <w:color w:val="auto"/>
        </w:rPr>
      </w:pPr>
      <w:r>
        <w:rPr>
          <w:rFonts w:ascii="Arial" w:cs="Arial" w:eastAsia="Arial" w:hAnsi="Arial"/>
          <w:sz w:val="22"/>
          <w:szCs w:val="22"/>
          <w:b w:val="1"/>
          <w:bCs w:val="1"/>
          <w:u w:val="single" w:color="auto"/>
          <w:color w:val="auto"/>
        </w:rPr>
        <w:t>EXHIBIT A-3</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Subleased Premises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Sixth (6th)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109855</wp:posOffset>
            </wp:positionV>
            <wp:extent cx="5143500" cy="23228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9019"/>
          </w:cols>
          <w:pgMar w:left="1440" w:top="1421" w:right="1440" w:bottom="1440" w:gutter="0" w:footer="0" w:header="0"/>
        </w:sectPr>
      </w:pPr>
    </w:p>
    <w:bookmarkStart w:id="564" w:name="page565"/>
    <w:bookmarkEnd w:id="564"/>
    <w:p>
      <w:pPr>
        <w:jc w:val="center"/>
        <w:ind w:right="19"/>
        <w:spacing w:after="0"/>
        <w:rPr>
          <w:sz w:val="20"/>
          <w:szCs w:val="20"/>
          <w:color w:val="auto"/>
        </w:rPr>
      </w:pPr>
      <w:r>
        <w:rPr>
          <w:rFonts w:ascii="Arial" w:cs="Arial" w:eastAsia="Arial" w:hAnsi="Arial"/>
          <w:sz w:val="22"/>
          <w:szCs w:val="22"/>
          <w:b w:val="1"/>
          <w:bCs w:val="1"/>
          <w:u w:val="single" w:color="auto"/>
          <w:color w:val="auto"/>
        </w:rPr>
        <w:t>EXHIBIT A-4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u w:val="single" w:color="auto"/>
          <w:color w:val="auto"/>
        </w:rPr>
        <w:t>Expansion Space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Seventh (7th)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132080</wp:posOffset>
            </wp:positionV>
            <wp:extent cx="5186045" cy="23228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86045"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A-4</w:t>
      </w:r>
    </w:p>
    <w:p>
      <w:pPr>
        <w:sectPr>
          <w:pgSz w:w="11900" w:h="16838" w:orient="portrait"/>
          <w:cols w:equalWidth="0" w:num="1">
            <w:col w:w="9019"/>
          </w:cols>
          <w:pgMar w:left="1440" w:top="1421" w:right="1440" w:bottom="1440" w:gutter="0" w:footer="0" w:header="0"/>
        </w:sectPr>
      </w:pPr>
    </w:p>
    <w:bookmarkStart w:id="565" w:name="page566"/>
    <w:bookmarkEnd w:id="565"/>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Commencement Agreement</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24130</wp:posOffset>
            </wp:positionV>
            <wp:extent cx="228854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308" w:lineRule="exact"/>
        <w:rPr>
          <w:sz w:val="20"/>
          <w:szCs w:val="20"/>
          <w:color w:val="auto"/>
        </w:rPr>
      </w:pPr>
    </w:p>
    <w:p>
      <w:pPr>
        <w:ind w:left="20"/>
        <w:spacing w:after="0"/>
        <w:tabs>
          <w:tab w:leader="none" w:pos="1860" w:val="left"/>
        </w:tabs>
        <w:rPr>
          <w:sz w:val="20"/>
          <w:szCs w:val="20"/>
          <w:color w:val="auto"/>
        </w:rPr>
      </w:pPr>
      <w:r>
        <w:rPr>
          <w:rFonts w:ascii="Arial" w:cs="Arial" w:eastAsia="Arial" w:hAnsi="Arial"/>
          <w:sz w:val="22"/>
          <w:szCs w:val="22"/>
          <w:color w:val="auto"/>
        </w:rPr>
        <w:t>Subtenant</w:t>
      </w:r>
      <w:r>
        <w:rPr>
          <w:sz w:val="20"/>
          <w:szCs w:val="20"/>
          <w:color w:val="auto"/>
        </w:rPr>
        <w:tab/>
      </w:r>
      <w:r>
        <w:rPr>
          <w:rFonts w:ascii="Arial" w:cs="Arial" w:eastAsia="Arial" w:hAnsi="Arial"/>
          <w:sz w:val="22"/>
          <w:szCs w:val="22"/>
          <w:color w:val="auto"/>
        </w:rPr>
        <w:t>NerdWallet, Inc.</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367030</wp:posOffset>
            </wp:positionV>
            <wp:extent cx="228854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288540" cy="8255"/>
                    </a:xfrm>
                    <a:prstGeom prst="rect">
                      <a:avLst/>
                    </a:prstGeom>
                    <a:noFill/>
                  </pic:spPr>
                </pic:pic>
              </a:graphicData>
            </a:graphic>
          </wp:anchor>
        </w:drawing>
        <w:drawing>
          <wp:anchor simplePos="0" relativeHeight="251657728" behindDoc="1" locked="0" layoutInCell="0" allowOverlap="1">
            <wp:simplePos x="0" y="0"/>
            <wp:positionH relativeFrom="column">
              <wp:posOffset>1179195</wp:posOffset>
            </wp:positionH>
            <wp:positionV relativeFrom="paragraph">
              <wp:posOffset>195580</wp:posOffset>
            </wp:positionV>
            <wp:extent cx="228854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288540" cy="8255"/>
                    </a:xfrm>
                    <a:prstGeom prst="rect">
                      <a:avLst/>
                    </a:prstGeom>
                    <a:noFill/>
                  </pic:spPr>
                </pic:pic>
              </a:graphicData>
            </a:graphic>
          </wp:anchor>
        </w:drawing>
        <w:drawing>
          <wp:anchor simplePos="0" relativeHeight="251657728" behindDoc="1" locked="0" layoutInCell="0" allowOverlap="1">
            <wp:simplePos x="0" y="0"/>
            <wp:positionH relativeFrom="column">
              <wp:posOffset>1179195</wp:posOffset>
            </wp:positionH>
            <wp:positionV relativeFrom="paragraph">
              <wp:posOffset>24130</wp:posOffset>
            </wp:positionV>
            <wp:extent cx="228854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9"/>
          <w:szCs w:val="19"/>
          <w:color w:val="auto"/>
        </w:rPr>
        <w:t>Re:</w:t>
      </w:r>
      <w:r>
        <w:rPr>
          <w:sz w:val="20"/>
          <w:szCs w:val="20"/>
          <w:color w:val="auto"/>
        </w:rPr>
        <w:tab/>
      </w:r>
      <w:r>
        <w:rPr>
          <w:rFonts w:ascii="Arial" w:cs="Arial" w:eastAsia="Arial" w:hAnsi="Arial"/>
          <w:sz w:val="19"/>
          <w:szCs w:val="19"/>
          <w:color w:val="auto"/>
        </w:rPr>
        <w:t>Commencement Letter with respect to that certain Sublease dated as of _______________, 2016, by and between</w:t>
      </w:r>
    </w:p>
    <w:p>
      <w:pPr>
        <w:spacing w:after="0" w:line="56" w:lineRule="exact"/>
        <w:rPr>
          <w:sz w:val="20"/>
          <w:szCs w:val="20"/>
          <w:color w:val="auto"/>
        </w:rPr>
      </w:pPr>
    </w:p>
    <w:p>
      <w:pPr>
        <w:jc w:val="both"/>
        <w:ind w:left="660"/>
        <w:spacing w:after="0" w:line="262" w:lineRule="auto"/>
        <w:rPr>
          <w:sz w:val="20"/>
          <w:szCs w:val="20"/>
          <w:color w:val="auto"/>
        </w:rPr>
      </w:pPr>
      <w:r>
        <w:rPr>
          <w:rFonts w:ascii="Arial" w:cs="Arial" w:eastAsia="Arial" w:hAnsi="Arial"/>
          <w:sz w:val="21"/>
          <w:szCs w:val="21"/>
          <w:b w:val="1"/>
          <w:bCs w:val="1"/>
          <w:color w:val="auto"/>
        </w:rPr>
        <w:t>TWITTER, INC.</w:t>
      </w:r>
      <w:r>
        <w:rPr>
          <w:rFonts w:ascii="Arial" w:cs="Arial" w:eastAsia="Arial" w:hAnsi="Arial"/>
          <w:sz w:val="21"/>
          <w:szCs w:val="21"/>
          <w:color w:val="auto"/>
        </w:rPr>
        <w:t>, a Delaware corporation, as Sublandlord, and</w:t>
      </w:r>
      <w:r>
        <w:rPr>
          <w:rFonts w:ascii="Arial" w:cs="Arial" w:eastAsia="Arial" w:hAnsi="Arial"/>
          <w:sz w:val="21"/>
          <w:szCs w:val="21"/>
          <w:b w:val="1"/>
          <w:bCs w:val="1"/>
          <w:color w:val="auto"/>
        </w:rPr>
        <w:t xml:space="preserve"> NERDWALLET, INC.</w:t>
      </w:r>
      <w:r>
        <w:rPr>
          <w:rFonts w:ascii="Arial" w:cs="Arial" w:eastAsia="Arial" w:hAnsi="Arial"/>
          <w:sz w:val="21"/>
          <w:szCs w:val="21"/>
          <w:color w:val="auto"/>
        </w:rPr>
        <w:t>, a Delaware corporation, as</w:t>
      </w:r>
      <w:r>
        <w:rPr>
          <w:rFonts w:ascii="Arial" w:cs="Arial" w:eastAsia="Arial" w:hAnsi="Arial"/>
          <w:sz w:val="21"/>
          <w:szCs w:val="21"/>
          <w:b w:val="1"/>
          <w:bCs w:val="1"/>
          <w:color w:val="auto"/>
        </w:rPr>
        <w:t xml:space="preserve"> </w:t>
      </w:r>
      <w:r>
        <w:rPr>
          <w:rFonts w:ascii="Arial" w:cs="Arial" w:eastAsia="Arial" w:hAnsi="Arial"/>
          <w:sz w:val="21"/>
          <w:szCs w:val="21"/>
          <w:color w:val="auto"/>
        </w:rPr>
        <w:t>Subtenant, for 104,850 rentable square feet on the fourth (4th), fifth (5th) and sixth (6th) floors of the Building located at 875 Stevenson Street (also known as 1 Tenth Street), San Francisco, California.</w:t>
      </w:r>
    </w:p>
    <w:p>
      <w:pPr>
        <w:spacing w:after="0" w:line="123"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Dear</w:t>
      </w:r>
      <w:r>
        <w:rPr>
          <w:sz w:val="20"/>
          <w:szCs w:val="20"/>
          <w:color w:val="auto"/>
        </w:rPr>
        <w:tab/>
      </w:r>
      <w:r>
        <w:rPr>
          <w:rFonts w:ascii="Arial" w:cs="Arial" w:eastAsia="Arial" w:hAnsi="Arial"/>
          <w:sz w:val="19"/>
          <w:szCs w:val="19"/>
          <w:color w:val="auto"/>
        </w:rPr>
        <w:t>__________________:</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accordance with the terms and conditions of the above referenced Sublease, Subtenant accepts possession of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Subleased Premises and agrees:</w:t>
      </w:r>
    </w:p>
    <w:p>
      <w:pPr>
        <w:spacing w:after="0" w:line="148" w:lineRule="exact"/>
        <w:rPr>
          <w:sz w:val="20"/>
          <w:szCs w:val="20"/>
          <w:color w:val="auto"/>
        </w:rPr>
      </w:pPr>
    </w:p>
    <w:p>
      <w:pPr>
        <w:ind w:left="1300" w:hanging="644"/>
        <w:spacing w:after="0"/>
        <w:tabs>
          <w:tab w:leader="none" w:pos="1300" w:val="left"/>
        </w:tabs>
        <w:numPr>
          <w:ilvl w:val="0"/>
          <w:numId w:val="550"/>
        </w:numPr>
        <w:rPr>
          <w:rFonts w:ascii="Arial" w:cs="Arial" w:eastAsia="Arial" w:hAnsi="Arial"/>
          <w:sz w:val="22"/>
          <w:szCs w:val="22"/>
          <w:color w:val="auto"/>
        </w:rPr>
      </w:pPr>
      <w:r>
        <w:rPr>
          <w:rFonts w:ascii="Arial" w:cs="Arial" w:eastAsia="Arial" w:hAnsi="Arial"/>
          <w:sz w:val="22"/>
          <w:szCs w:val="22"/>
          <w:color w:val="auto"/>
        </w:rPr>
        <w:t>The Commencement Date is _________________________;</w:t>
      </w:r>
    </w:p>
    <w:p>
      <w:pPr>
        <w:spacing w:after="0" w:line="165" w:lineRule="exact"/>
        <w:rPr>
          <w:rFonts w:ascii="Arial" w:cs="Arial" w:eastAsia="Arial" w:hAnsi="Arial"/>
          <w:sz w:val="22"/>
          <w:szCs w:val="22"/>
          <w:color w:val="auto"/>
        </w:rPr>
      </w:pPr>
    </w:p>
    <w:p>
      <w:pPr>
        <w:ind w:left="1300" w:hanging="644"/>
        <w:spacing w:after="0"/>
        <w:tabs>
          <w:tab w:leader="none" w:pos="1300" w:val="left"/>
        </w:tabs>
        <w:numPr>
          <w:ilvl w:val="0"/>
          <w:numId w:val="550"/>
        </w:numPr>
        <w:rPr>
          <w:rFonts w:ascii="Arial" w:cs="Arial" w:eastAsia="Arial" w:hAnsi="Arial"/>
          <w:sz w:val="21"/>
          <w:szCs w:val="21"/>
          <w:color w:val="auto"/>
        </w:rPr>
      </w:pPr>
      <w:r>
        <w:rPr>
          <w:rFonts w:ascii="Arial" w:cs="Arial" w:eastAsia="Arial" w:hAnsi="Arial"/>
          <w:sz w:val="21"/>
          <w:szCs w:val="21"/>
          <w:color w:val="auto"/>
        </w:rPr>
        <w:t>The Abatement Period is the period commencing _________1, 201_ and expiring _____________, 201_;</w:t>
      </w:r>
    </w:p>
    <w:p>
      <w:pPr>
        <w:spacing w:after="0" w:line="177" w:lineRule="exact"/>
        <w:rPr>
          <w:rFonts w:ascii="Arial" w:cs="Arial" w:eastAsia="Arial" w:hAnsi="Arial"/>
          <w:sz w:val="21"/>
          <w:szCs w:val="21"/>
          <w:color w:val="auto"/>
        </w:rPr>
      </w:pPr>
    </w:p>
    <w:p>
      <w:pPr>
        <w:ind w:left="1300" w:hanging="644"/>
        <w:spacing w:after="0"/>
        <w:tabs>
          <w:tab w:leader="none" w:pos="1300" w:val="left"/>
        </w:tabs>
        <w:numPr>
          <w:ilvl w:val="0"/>
          <w:numId w:val="550"/>
        </w:numPr>
        <w:rPr>
          <w:rFonts w:ascii="Arial" w:cs="Arial" w:eastAsia="Arial" w:hAnsi="Arial"/>
          <w:sz w:val="22"/>
          <w:szCs w:val="22"/>
          <w:color w:val="auto"/>
        </w:rPr>
      </w:pPr>
      <w:r>
        <w:rPr>
          <w:rFonts w:ascii="Arial" w:cs="Arial" w:eastAsia="Arial" w:hAnsi="Arial"/>
          <w:sz w:val="22"/>
          <w:szCs w:val="22"/>
          <w:color w:val="auto"/>
        </w:rPr>
        <w:t>The Expiration Date is ________________.</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Please acknowledge your acceptance of possession and agreement to the terms set forth above by signing this Commencement Letter in the space provided and returning a fully executed counterpart (a scanned signature sent in PDF or similar format to ___________@______.com will suffice) to my attention.</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22"/>
          <w:szCs w:val="22"/>
          <w:color w:val="auto"/>
        </w:rPr>
        <w:t>Twitter, Inc.</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24130</wp:posOffset>
            </wp:positionV>
            <wp:extent cx="239141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Arial" w:cs="Arial" w:eastAsia="Arial" w:hAnsi="Arial"/>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24130</wp:posOffset>
            </wp:positionV>
            <wp:extent cx="239141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ectPr>
          <w:pgSz w:w="11900" w:h="16838" w:orient="portrait"/>
          <w:cols w:equalWidth="0" w:num="1">
            <w:col w:w="11240"/>
          </w:cols>
          <w:pgMar w:left="320" w:top="1421" w:right="339" w:bottom="1440" w:gutter="0" w:footer="0" w:header="0"/>
        </w:sectPr>
      </w:pPr>
    </w:p>
    <w:bookmarkStart w:id="566" w:name="page567"/>
    <w:bookmarkEnd w:id="566"/>
    <w:p>
      <w:pPr>
        <w:spacing w:after="0"/>
        <w:rPr>
          <w:sz w:val="20"/>
          <w:szCs w:val="20"/>
          <w:color w:val="auto"/>
        </w:rPr>
      </w:pPr>
      <w:r>
        <w:rPr>
          <w:rFonts w:ascii="Arial" w:cs="Arial" w:eastAsia="Arial" w:hAnsi="Arial"/>
          <w:sz w:val="22"/>
          <w:szCs w:val="22"/>
          <w:color w:val="auto"/>
        </w:rPr>
        <w:t>Agreed and Accepted:</w:t>
      </w:r>
    </w:p>
    <w:p>
      <w:pPr>
        <w:spacing w:after="0" w:line="166"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Subtenant:</w:t>
      </w:r>
      <w:r>
        <w:rPr>
          <w:sz w:val="20"/>
          <w:szCs w:val="20"/>
          <w:color w:val="auto"/>
        </w:rPr>
        <w:tab/>
      </w:r>
      <w:r>
        <w:rPr>
          <w:rFonts w:ascii="Arial" w:cs="Arial" w:eastAsia="Arial" w:hAnsi="Arial"/>
          <w:sz w:val="19"/>
          <w:szCs w:val="19"/>
          <w:color w:val="auto"/>
        </w:rPr>
        <w:t>Nerdwallet, Inc.</w:t>
      </w:r>
    </w:p>
    <w:p>
      <w:pPr>
        <w:spacing w:after="0" w:line="214" w:lineRule="exact"/>
        <w:rPr>
          <w:sz w:val="20"/>
          <w:szCs w:val="20"/>
          <w:color w:val="auto"/>
        </w:rPr>
      </w:pPr>
    </w:p>
    <w:p>
      <w:pPr>
        <w:ind w:left="1140"/>
        <w:spacing w:after="0"/>
        <w:tabs>
          <w:tab w:leader="none" w:pos="2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b w:val="1"/>
          <w:bCs w:val="1"/>
          <w:color w:val="auto"/>
        </w:rPr>
        <w:t>[EXHIBIT - - DO NOT 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27940</wp:posOffset>
            </wp:positionV>
            <wp:extent cx="24599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44"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24130</wp:posOffset>
            </wp:positionV>
            <wp:extent cx="24599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38"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24130</wp:posOffset>
            </wp:positionV>
            <wp:extent cx="24599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8"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24130</wp:posOffset>
            </wp:positionV>
            <wp:extent cx="24599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ind w:right="4359"/>
        <w:spacing w:after="0"/>
        <w:rPr>
          <w:sz w:val="20"/>
          <w:szCs w:val="20"/>
          <w:color w:val="auto"/>
        </w:rPr>
      </w:pPr>
      <w:r>
        <w:rPr>
          <w:rFonts w:ascii="Arial" w:cs="Arial" w:eastAsia="Arial" w:hAnsi="Arial"/>
          <w:sz w:val="22"/>
          <w:szCs w:val="22"/>
          <w:color w:val="auto"/>
        </w:rPr>
        <w:t>B-2</w:t>
      </w:r>
    </w:p>
    <w:p>
      <w:pPr>
        <w:sectPr>
          <w:pgSz w:w="11900" w:h="16838" w:orient="portrait"/>
          <w:cols w:equalWidth="0" w:num="1">
            <w:col w:w="10139"/>
          </w:cols>
          <w:pgMar w:left="320" w:top="1427" w:right="1440" w:bottom="1440" w:gutter="0" w:footer="0" w:header="0"/>
        </w:sectPr>
      </w:pPr>
    </w:p>
    <w:bookmarkStart w:id="567" w:name="page568"/>
    <w:bookmarkEnd w:id="567"/>
    <w:p>
      <w:pPr>
        <w:jc w:val="center"/>
        <w:ind w:right="-19"/>
        <w:spacing w:after="0"/>
        <w:rPr>
          <w:sz w:val="20"/>
          <w:szCs w:val="20"/>
          <w:color w:val="auto"/>
        </w:rPr>
      </w:pPr>
      <w:r>
        <w:rPr>
          <w:rFonts w:ascii="Arial" w:cs="Arial" w:eastAsia="Arial" w:hAnsi="Arial"/>
          <w:sz w:val="22"/>
          <w:szCs w:val="22"/>
          <w:b w:val="1"/>
          <w:bCs w:val="1"/>
          <w:color w:val="auto"/>
        </w:rPr>
        <w:t>EXHIBIT C-1</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SVB Form of Initial Letter of Credit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IRREVOCABLE STANDBY LETTER OF CREDIT NUMBER ____________</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ISSUE DATE: _________________</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ISSUING 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3003 TASMAN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2ND FLOOR, MAIL SORT HF210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 95054</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BENEFICIARY: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TWITTER,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1355 MARKET STREET, SUITE 900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 94103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DIRECTOR OF GLOBAL REAL ESTATE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APPLICANT: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NERDWALLET,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901 MARKET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94103</w:t>
      </w:r>
    </w:p>
    <w:p>
      <w:pPr>
        <w:spacing w:after="0" w:line="154"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AMOUNT:</w:t>
      </w:r>
      <w:r>
        <w:rPr>
          <w:rFonts w:ascii="Arial" w:cs="Arial" w:eastAsia="Arial" w:hAnsi="Arial"/>
          <w:sz w:val="19"/>
          <w:szCs w:val="19"/>
          <w:color w:val="auto"/>
        </w:rPr>
        <w:t>US$3,984,300.00 (THREE MILLION NINE HUNDRED EIGHTY FOUR THOUSAND THREE HUNDRED AND XX/100</w:t>
      </w:r>
      <w:r>
        <w:rPr>
          <w:rFonts w:ascii="Arial" w:cs="Arial" w:eastAsia="Arial" w:hAnsi="Arial"/>
          <w:sz w:val="18"/>
          <w:szCs w:val="18"/>
          <w:color w:val="auto"/>
        </w:rPr>
        <w:t xml:space="preserve"> </w:t>
      </w:r>
      <w:r>
        <w:rPr>
          <w:rFonts w:ascii="Arial" w:cs="Arial" w:eastAsia="Arial" w:hAnsi="Arial"/>
          <w:sz w:val="19"/>
          <w:szCs w:val="19"/>
          <w:color w:val="auto"/>
        </w:rPr>
        <w:t>U.S. DOLLARS)</w:t>
      </w:r>
    </w:p>
    <w:p>
      <w:pPr>
        <w:spacing w:after="0" w:line="155" w:lineRule="exact"/>
        <w:rPr>
          <w:sz w:val="20"/>
          <w:szCs w:val="20"/>
          <w:color w:val="auto"/>
        </w:rPr>
      </w:pPr>
    </w:p>
    <w:p>
      <w:pPr>
        <w:ind w:left="20"/>
        <w:spacing w:after="0"/>
        <w:tabs>
          <w:tab w:leader="none" w:pos="2660" w:val="left"/>
        </w:tabs>
        <w:rPr>
          <w:sz w:val="20"/>
          <w:szCs w:val="20"/>
          <w:color w:val="auto"/>
        </w:rPr>
      </w:pPr>
      <w:r>
        <w:rPr>
          <w:rFonts w:ascii="Arial" w:cs="Arial" w:eastAsia="Arial" w:hAnsi="Arial"/>
          <w:sz w:val="18"/>
          <w:szCs w:val="18"/>
          <w:color w:val="auto"/>
        </w:rPr>
        <w:t>EXPIRATION DATE:</w:t>
      </w:r>
      <w:r>
        <w:rPr>
          <w:sz w:val="20"/>
          <w:szCs w:val="20"/>
          <w:color w:val="auto"/>
        </w:rPr>
        <w:tab/>
      </w:r>
      <w:r>
        <w:rPr>
          <w:rFonts w:ascii="Arial" w:cs="Arial" w:eastAsia="Arial" w:hAnsi="Arial"/>
          <w:sz w:val="17"/>
          <w:szCs w:val="17"/>
          <w:color w:val="auto"/>
        </w:rPr>
        <w:t>SVB WILL PUT A SPECIFIC DATE HERE THAT’S 1 YEAR FROM ISSUANCE</w:t>
      </w:r>
    </w:p>
    <w:p>
      <w:pPr>
        <w:spacing w:after="0" w:line="333" w:lineRule="exact"/>
        <w:rPr>
          <w:sz w:val="20"/>
          <w:szCs w:val="20"/>
          <w:color w:val="auto"/>
        </w:rPr>
      </w:pPr>
    </w:p>
    <w:p>
      <w:pPr>
        <w:ind w:left="20"/>
        <w:spacing w:after="0"/>
        <w:tabs>
          <w:tab w:leader="none" w:pos="2660" w:val="left"/>
        </w:tabs>
        <w:rPr>
          <w:sz w:val="20"/>
          <w:szCs w:val="20"/>
          <w:color w:val="auto"/>
        </w:rPr>
      </w:pPr>
      <w:r>
        <w:rPr>
          <w:rFonts w:ascii="Arial" w:cs="Arial" w:eastAsia="Arial" w:hAnsi="Arial"/>
          <w:sz w:val="18"/>
          <w:szCs w:val="18"/>
          <w:color w:val="auto"/>
        </w:rPr>
        <w:t>LOCATION:</w:t>
      </w:r>
      <w:r>
        <w:rPr>
          <w:sz w:val="20"/>
          <w:szCs w:val="20"/>
          <w:color w:val="auto"/>
        </w:rPr>
        <w:tab/>
      </w:r>
      <w:r>
        <w:rPr>
          <w:rFonts w:ascii="Arial" w:cs="Arial" w:eastAsia="Arial" w:hAnsi="Arial"/>
          <w:sz w:val="18"/>
          <w:szCs w:val="18"/>
          <w:color w:val="auto"/>
        </w:rPr>
        <w:t>SANTA CLARA, CALIFORNIA</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DEAR SIR/MADAM:</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WE HEREBY ESTABLISH OUR IRREVOCABLE STANDBY LETTER OF CREDIT NO. SVBSF __________IN YOUR FAVOR AVAILABLE BY</w:t>
      </w:r>
    </w:p>
    <w:p>
      <w:pPr>
        <w:spacing w:after="0" w:line="3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YOUR DRAFTS DRAWN ON US AT SIGHT IN THE FORM OF EXHIBIT “A” ATTACHED AND ACCOMPANIED BY THE FOLLOWING DOCUMENTS:</w:t>
      </w:r>
    </w:p>
    <w:p>
      <w:pPr>
        <w:spacing w:after="0" w:line="131" w:lineRule="exact"/>
        <w:rPr>
          <w:sz w:val="20"/>
          <w:szCs w:val="20"/>
          <w:color w:val="auto"/>
        </w:rPr>
      </w:pPr>
    </w:p>
    <w:p>
      <w:pPr>
        <w:ind w:left="320" w:hanging="312"/>
        <w:spacing w:after="0"/>
        <w:tabs>
          <w:tab w:leader="none" w:pos="320" w:val="left"/>
        </w:tabs>
        <w:numPr>
          <w:ilvl w:val="0"/>
          <w:numId w:val="551"/>
        </w:numPr>
        <w:rPr>
          <w:rFonts w:ascii="Arial" w:cs="Arial" w:eastAsia="Arial" w:hAnsi="Arial"/>
          <w:sz w:val="18"/>
          <w:szCs w:val="18"/>
          <w:color w:val="auto"/>
        </w:rPr>
      </w:pPr>
      <w:r>
        <w:rPr>
          <w:rFonts w:ascii="Arial" w:cs="Arial" w:eastAsia="Arial" w:hAnsi="Arial"/>
          <w:sz w:val="18"/>
          <w:szCs w:val="18"/>
          <w:color w:val="auto"/>
        </w:rPr>
        <w:t>THE ORIGINAL OF THIS LETTER OF CREDIT AND ALL AMENDMENT(S), IF ANY.</w:t>
      </w:r>
    </w:p>
    <w:p>
      <w:pPr>
        <w:spacing w:after="0" w:line="23" w:lineRule="exact"/>
        <w:rPr>
          <w:rFonts w:ascii="Arial" w:cs="Arial" w:eastAsia="Arial" w:hAnsi="Arial"/>
          <w:sz w:val="18"/>
          <w:szCs w:val="18"/>
          <w:color w:val="auto"/>
        </w:rPr>
      </w:pPr>
    </w:p>
    <w:p>
      <w:pPr>
        <w:jc w:val="both"/>
        <w:ind w:firstLine="8"/>
        <w:spacing w:after="0" w:line="255" w:lineRule="auto"/>
        <w:tabs>
          <w:tab w:leader="none" w:pos="438" w:val="left"/>
        </w:tabs>
        <w:numPr>
          <w:ilvl w:val="0"/>
          <w:numId w:val="551"/>
        </w:numPr>
        <w:rPr>
          <w:rFonts w:ascii="Arial" w:cs="Arial" w:eastAsia="Arial" w:hAnsi="Arial"/>
          <w:sz w:val="18"/>
          <w:szCs w:val="18"/>
          <w:color w:val="auto"/>
        </w:rPr>
      </w:pPr>
      <w:r>
        <w:rPr>
          <w:rFonts w:ascii="Arial" w:cs="Arial" w:eastAsia="Arial" w:hAnsi="Arial"/>
          <w:sz w:val="18"/>
          <w:szCs w:val="18"/>
          <w:color w:val="auto"/>
        </w:rPr>
        <w:t>BENEFICIARY’S SIGNED STATEMENT STATING THAT “BENEFICIARY IS ENTITLED TO DRAW UPON THIS LETTER OF CREDIT PURSUANT TO THE PROVISIONS OF THAT CERTAIN SUBLEASE BETWEEN BENEFICIARY, AS SUBLANDLORD, AND APPLICANT, AS SUBTENANT (THE “SUBLEASE”)”; AS THE SAME MAY BE REVISED OR BE MODIFIED.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PARTIAL DRAWS AND MULTIPLE PRESENTATIONS ARE ALLOWED.</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ORIGINAL LETTER OF CREDIT MUST ACCOMPANY ANY DRAWINGS HEREUNDER FOR ENDORSEMENT OF THE DRAWING AMOUNT AND WILL BE RETURNED TO THE BENEFICIARY UNLESS IT IS FULLY UTILIZED.</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LETTER OF CREDIT SHALL BE AUTOMATICALLY EXTENDED FOR AN ADDITIONAL PERIOD OF ONE YEAR, WITHOUT AMENDMENT, FROM THE PRESENT OR EACH FUTURE EXPIRATION DATE UNLESS AT LEAST 60 DAYS PRIOR TO THE THEN CURRENT EXPIRATION DATE WE SEND YOU A NOTICE BY REGISTERED MAIL OR OVERNIGHT COURIER SERVICE AT THE ABOVE ADDRESS AND CONCURRENTLY NOTIFY TWITTER, INC., 1355 MARKET STREET, SUITE 900, SAN FRANCISCO, CALIFORNIA 94103, ATTN: LEGAL DEPARTMENT (REAL ESTATE), IN THE SAME DELIVERY METHOD</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C-1-1</w:t>
      </w:r>
    </w:p>
    <w:p>
      <w:pPr>
        <w:sectPr>
          <w:pgSz w:w="11900" w:h="16838" w:orient="portrait"/>
          <w:cols w:equalWidth="0" w:num="1">
            <w:col w:w="11240"/>
          </w:cols>
          <w:pgMar w:left="320" w:top="1421" w:right="339" w:bottom="1440" w:gutter="0" w:footer="0" w:header="0"/>
          <w:type w:val="continuous"/>
        </w:sectPr>
      </w:pPr>
    </w:p>
    <w:bookmarkStart w:id="568" w:name="page569"/>
    <w:bookmarkEnd w:id="568"/>
    <w:p>
      <w:pPr>
        <w:jc w:val="both"/>
        <w:spacing w:after="0" w:line="269" w:lineRule="auto"/>
        <w:rPr>
          <w:sz w:val="20"/>
          <w:szCs w:val="20"/>
          <w:color w:val="auto"/>
        </w:rPr>
      </w:pPr>
      <w:r>
        <w:rPr>
          <w:rFonts w:ascii="Arial" w:cs="Arial" w:eastAsia="Arial" w:hAnsi="Arial"/>
          <w:sz w:val="17"/>
          <w:szCs w:val="17"/>
          <w:color w:val="auto"/>
        </w:rPr>
        <w:t>(OR ANY OTHER ADDRESS INDICATED BY YOU, IN A WRITTEN NOTICE TO US THE RECEIPT OF WHICH WE HAVE ACKNOWLEDGED, AS THE ADDRESS TO WHICH WE SHOULD SEND SUCH NOTICE) THAT THIS LETTER OF CREDIT WILL NOT BE EXTENDED BEYOND THE CURRENT EXPIRATION DATE AND A COPY OF OUR NON EXTENSION NOTICE SHALL CONCURRENTLY BE SENT TO TWITTER, INC., 1355 MARKET STREET, SUITE 900, SAN FRANCISCO, CALIFORNIA 94103, ATTN: LEGAL DEPARTMENT (REAL ESTATE) IN THE SAME DELIVERY METHOD. THE LACK OF RECEIPT OF SUCH COPY SHALL NOT INVALIDATE OUR NON EXTENSION NOTICE TO THE BENEFICIARY. IN NO EVENT SHALL THIS LETTER OF CREDIT BE AUTOMATICALLY EXTENDED BEYOND MARCH 1, 2022; IF SUCH DATE IS A WEEKEND OR BANKING HOLIDAY, THEN THE EXPIRATION DATE SHALL AUTOMATICALLY BE DEEMED TO BE THE CLOSE OF BUSINESS ON THE NEXT-SUCCEEDING BUSINESS DAY. IN THE EVENT OF SUCH NOTICE OF NON-EXTENSION, YOU MAY DRAW HEREUNDER WITH A DRAFT STATED ABOVE AND ACCOMPANIED BY THIS ORIGINAL LETTER OF CREDIT AND AMENDMENT(S), IF ANY, ALONG WITH YOUR SIGNED STATEMENT STATING THAT YOU HAVE RECEIVED A NON-EXTENSION NOTICE FROM SILICON VALLEY BANK AND YOU HAVE NOT RECEIVED A REPLACEMENT LETTER OF CREDIT ACCEPTABLE TO YOU.</w:t>
      </w:r>
    </w:p>
    <w:p>
      <w:pPr>
        <w:spacing w:after="0" w:line="12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LETTER OF CREDIT IS TRANSFERABLE ONE OR MORE TIMES, BUT IN EACH INSTANCE ONLY TO A SINGLE BENEFICIARY AS TRANSFEREE AND ONLY UP TO THE THEN AVAILABLE AMOUNT, ASSUMING SUCH TRANSFER TO SUCH TRANSFEREE WOULD BE IN COMPLIANCE WITH THEN APPLICABLE LAW AND REGULATION, INCLUDING BUT NOT LIMITED TO THE REGULATIONS OF THE U. S. DEPARTMENT OF TREASURY AND U. S. DEPARTMENT OF COMMERCE. AT THE TIME OF TRANSFER, THE ORIGINAL LETTER OF CREDIT AND ORIGINAL AMENDMENT(S), IF ANY, MUST BE SURRENDERED TO US AT OUR ADDRESS INDICATED IN THIS LETTER OF CREDIT TOGETHER WITH OUR TRANSFER FORM ATTACHED HERETO AS EXHIBIT “B” DULY EXECUTED. THE CORRECTNESS OF THE SIGNATURE AND TITLE OF THE PERSON SIGNING THE TRANSFER FORM MUST BE VERIFIED BY BENEFICIARY’S BANK. APPLICANT SHALL PAY OUR TRANSFER FEE OFF ¼ OF 1% OF THE TRANSFER AMOUNT (MINIMUM US$250.00) UNDER THIS LETTER OF CREDIT AND PAYMENT OF SUCH FEE WILL NOT BE A CONDITION TO OUR OBLIGATION TO HONOR A TRANSFER REQUEST.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DRAFT(S) AND DOCUMENTS MUST INDICATE THE NUMBER AND DATE OF THIS LETTER OF CREDIT.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DOCUMENTS MUST BE FORWARDED TO US BY OVERNIGHT DELIVERY SERVICE TO: SILICON VALLEY BANK, 3003 TASMAN DRIVE,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SANTA CLARA CA 95054, ATTN: INTERNATIONAL DIVISION.</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AGREE WITH THE BENEFICIARY THAT DRAFTS DRAWN UNDER AND IN ACCORDANCE WITH THE TERMS AND CONDITIONS OF THIS LETTER OF CREDIT WILL BE DULY HONORED UPON PRESENTATION TO US ON OR BEFORE THE EXPIRATION DATE OF THIS LETTER OF CREDIT OR ANY AUTOMATICALLY EXTENDED EXPIRATION DATE.</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ALL DEMANDS FOR PAYMENT SHALL BE MADE BY PRESENTATION OF THE ORIGINAL APPROPRIATE DOCUMENTS ON A BUSINESS DAY AT OUR OFFICE (THE “BANK’S OFFICE”) AT: SILICON VALLEY BANK, 3003 TASMAN DRIVE, SANTA CLARA, CA 95054, ATTENTION: STANDBY LETTER OF CREDIT NEGOTIATION SECTION. FACSIMILE PRESENTATIONS ARE PERMITTED. SHOULD BENEFICIARY WISH TO MAKE PRESENTATIONS UNDER THIS LETTER OF CREDIT ENTIRELY BY FACSIMILE TRANSMISSION IT NEED NOT TRANSMIT THIS LETTER OF CREDIT AND AMENDMENT(S), IF ANY. EACH FACSIMILE TRANSMISSION SHALL BE MADE AT: (408)</w:t>
      </w:r>
    </w:p>
    <w:p>
      <w:pPr>
        <w:spacing w:after="0" w:line="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496-2418 OR (408) 969-6510; AND SIMULTANEOUSLY UNDER TELEPHONE ADVICE TO: (408)654-6274 OR (408) 654-7716, ATTENTION: STANDBY LETTER OF CREDIT NEGOTIATION SECTION WITH ORIGINALS TO FOLLOW BY OVERNIGHT COURIER SERVICE; PROVIDED, HOWEVER, THE BANK WILL DETERMINE HONOR OR DISHONOR ON THE BASIS OF PRESENTATION BY FACSIMILE ALONE, AND WILL NOT EXAMINE THE ORIGINALS. IN ADDITION, ABSENCE OF THE AFORESAID TELEPHONE ADVICE SHALL NOT AFFECT OUR OBLIGATION TO HONOR ANY DRAW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C-1-2</w:t>
      </w:r>
    </w:p>
    <w:p>
      <w:pPr>
        <w:sectPr>
          <w:pgSz w:w="11900" w:h="16838" w:orient="portrait"/>
          <w:cols w:equalWidth="0" w:num="1">
            <w:col w:w="11240"/>
          </w:cols>
          <w:pgMar w:left="320" w:top="1421" w:right="339" w:bottom="1440" w:gutter="0" w:footer="0" w:header="0"/>
        </w:sectPr>
      </w:pPr>
    </w:p>
    <w:bookmarkStart w:id="569" w:name="page570"/>
    <w:bookmarkEnd w:id="569"/>
    <w:p>
      <w:pPr>
        <w:jc w:val="both"/>
        <w:spacing w:after="0" w:line="259" w:lineRule="auto"/>
        <w:rPr>
          <w:sz w:val="20"/>
          <w:szCs w:val="20"/>
          <w:color w:val="auto"/>
        </w:rPr>
      </w:pPr>
      <w:r>
        <w:rPr>
          <w:rFonts w:ascii="Arial" w:cs="Arial" w:eastAsia="Arial" w:hAnsi="Arial"/>
          <w:sz w:val="18"/>
          <w:szCs w:val="18"/>
          <w:color w:val="auto"/>
        </w:rPr>
        <w:t>IF ANY INSTRUCTIONS ACCOMPANYING A DRAWING UNDER THIS LETTER OF CREDIT REQUEST THAT PAYMENT IS TO BE MADE BY TRANSFER TO YOUR ACCOUNT WITH ANOTHER BANK, WE WILL ONLY EFFECT SUCH PAYMENT BY FED WIRE TO A U.S. REGULATED BANK, AND WE AND/OR SUCH OTHER BANK MAY RELY ON AN ACCOUNT NUMBER SPECIFIED IN SUCH INSTRUCTIONS EVEN IF THE NUMBER IDENTIFIES A PERSON OR ENTITY DIFFERENT FROM THE INTENDED PAYEE.</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LETTER OF CREDIT IS SUBJECT TO THE INTERNATIONAL STANDBY PRACTICES (ISP98), INTERNATIONAL CHAMBER OF COMMERCE, PUBLICATION NO. 590.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518604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8604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20"/>
        <w:spacing w:after="0"/>
        <w:tabs>
          <w:tab w:leader="none" w:pos="4800" w:val="left"/>
        </w:tabs>
        <w:rPr>
          <w:sz w:val="20"/>
          <w:szCs w:val="20"/>
          <w:color w:val="auto"/>
        </w:rPr>
      </w:pPr>
      <w:r>
        <w:rPr>
          <w:rFonts w:ascii="Arial" w:cs="Arial" w:eastAsia="Arial" w:hAnsi="Arial"/>
          <w:sz w:val="18"/>
          <w:szCs w:val="18"/>
          <w:color w:val="auto"/>
        </w:rPr>
        <w:t>AUTHORIZED SIGNATURE</w:t>
      </w:r>
      <w:r>
        <w:rPr>
          <w:sz w:val="20"/>
          <w:szCs w:val="20"/>
          <w:color w:val="auto"/>
        </w:rPr>
        <w:tab/>
      </w:r>
      <w:r>
        <w:rPr>
          <w:rFonts w:ascii="Arial" w:cs="Arial" w:eastAsia="Arial" w:hAnsi="Arial"/>
          <w:sz w:val="17"/>
          <w:szCs w:val="17"/>
          <w:color w:val="auto"/>
        </w:rPr>
        <w:t>AUTHORIZED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C-1-3</w:t>
      </w:r>
    </w:p>
    <w:p>
      <w:pPr>
        <w:sectPr>
          <w:pgSz w:w="11900" w:h="16838" w:orient="portrait"/>
          <w:cols w:equalWidth="0" w:num="1">
            <w:col w:w="11240"/>
          </w:cols>
          <w:pgMar w:left="320" w:top="1421" w:right="339" w:bottom="1440" w:gutter="0" w:footer="0" w:header="0"/>
        </w:sectPr>
      </w:pPr>
    </w:p>
    <w:bookmarkStart w:id="570" w:name="page571"/>
    <w:bookmarkEnd w:id="570"/>
    <w:p>
      <w:pPr>
        <w:ind w:left="180"/>
        <w:spacing w:after="0"/>
        <w:rPr>
          <w:sz w:val="20"/>
          <w:szCs w:val="20"/>
          <w:color w:val="auto"/>
        </w:rPr>
      </w:pPr>
      <w:r>
        <w:rPr>
          <w:rFonts w:ascii="Arial" w:cs="Arial" w:eastAsia="Arial" w:hAnsi="Arial"/>
          <w:sz w:val="18"/>
          <w:szCs w:val="18"/>
          <w:color w:val="auto"/>
        </w:rPr>
        <w:t>IRREVOCABLE STANDBY LETTER OF CREDIT NUMBER ____________________</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7640" w:type="dxa"/>
            <w:vAlign w:val="bottom"/>
          </w:tcPr>
          <w:p>
            <w:pPr>
              <w:ind w:left="1640"/>
              <w:spacing w:after="0"/>
              <w:rPr>
                <w:sz w:val="20"/>
                <w:szCs w:val="20"/>
                <w:color w:val="auto"/>
              </w:rPr>
            </w:pPr>
            <w:r>
              <w:rPr>
                <w:rFonts w:ascii="Arial" w:cs="Arial" w:eastAsia="Arial" w:hAnsi="Arial"/>
                <w:sz w:val="18"/>
                <w:szCs w:val="18"/>
                <w:b w:val="1"/>
                <w:bCs w:val="1"/>
                <w:color w:val="auto"/>
              </w:rPr>
              <w:t>EXHIBIT A</w:t>
            </w:r>
          </w:p>
        </w:tc>
        <w:tc>
          <w:tcPr>
            <w:tcW w:w="100" w:type="dxa"/>
            <w:vAlign w:val="bottom"/>
          </w:tcPr>
          <w:p>
            <w:pPr>
              <w:spacing w:after="0"/>
              <w:rPr>
                <w:sz w:val="20"/>
                <w:szCs w:val="20"/>
                <w:color w:val="auto"/>
              </w:rPr>
            </w:pPr>
          </w:p>
        </w:tc>
      </w:tr>
      <w:tr>
        <w:trPr>
          <w:trHeight w:val="189"/>
        </w:trPr>
        <w:tc>
          <w:tcPr>
            <w:tcW w:w="8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tcPr>
          <w:p>
            <w:pPr>
              <w:spacing w:after="0"/>
              <w:rPr>
                <w:sz w:val="16"/>
                <w:szCs w:val="16"/>
                <w:color w:val="auto"/>
              </w:rPr>
            </w:pPr>
          </w:p>
        </w:tc>
        <w:tc>
          <w:tcPr>
            <w:tcW w:w="7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r>
      <w:tr>
        <w:trPr>
          <w:trHeight w:val="34"/>
        </w:trPr>
        <w:tc>
          <w:tcPr>
            <w:tcW w:w="80" w:type="dxa"/>
            <w:vAlign w:val="bottom"/>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7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493"/>
        </w:trPr>
        <w:tc>
          <w:tcPr>
            <w:tcW w:w="80" w:type="dxa"/>
            <w:vAlign w:val="bottom"/>
          </w:tcPr>
          <w:p>
            <w:pPr>
              <w:spacing w:after="0"/>
              <w:rPr>
                <w:sz w:val="24"/>
                <w:szCs w:val="24"/>
                <w:color w:val="auto"/>
              </w:rPr>
            </w:pPr>
          </w:p>
        </w:tc>
        <w:tc>
          <w:tcPr>
            <w:tcW w:w="3440" w:type="dxa"/>
            <w:vAlign w:val="bottom"/>
          </w:tcPr>
          <w:p>
            <w:pPr>
              <w:ind w:left="360"/>
              <w:spacing w:after="0"/>
              <w:rPr>
                <w:sz w:val="20"/>
                <w:szCs w:val="20"/>
                <w:color w:val="auto"/>
              </w:rPr>
            </w:pPr>
            <w:r>
              <w:rPr>
                <w:rFonts w:ascii="Arial" w:cs="Arial" w:eastAsia="Arial" w:hAnsi="Arial"/>
                <w:sz w:val="18"/>
                <w:szCs w:val="18"/>
                <w:color w:val="auto"/>
              </w:rPr>
              <w:t>DATE: __________</w:t>
            </w:r>
          </w:p>
        </w:tc>
        <w:tc>
          <w:tcPr>
            <w:tcW w:w="7640" w:type="dxa"/>
            <w:vAlign w:val="bottom"/>
          </w:tcPr>
          <w:p>
            <w:pPr>
              <w:ind w:left="2620"/>
              <w:spacing w:after="0"/>
              <w:rPr>
                <w:sz w:val="20"/>
                <w:szCs w:val="20"/>
                <w:color w:val="auto"/>
              </w:rPr>
            </w:pPr>
            <w:r>
              <w:rPr>
                <w:rFonts w:ascii="Arial" w:cs="Arial" w:eastAsia="Arial" w:hAnsi="Arial"/>
                <w:sz w:val="18"/>
                <w:szCs w:val="18"/>
                <w:color w:val="auto"/>
              </w:rPr>
              <w:t>REF.NO._____________</w:t>
            </w: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-359410</wp:posOffset>
            </wp:positionV>
            <wp:extent cx="7140575" cy="34804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0575" cy="3480435"/>
                    </a:xfrm>
                    <a:prstGeom prst="rect">
                      <a:avLst/>
                    </a:prstGeom>
                    <a:noFill/>
                  </pic:spPr>
                </pic:pic>
              </a:graphicData>
            </a:graphic>
          </wp:anchor>
        </w:drawing>
      </w:r>
    </w:p>
    <w:p>
      <w:pPr>
        <w:spacing w:after="0" w:line="2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SIGHT OF THIS DRAFT</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PAY TO THE ORDER OF __________________________ US$ ___________________</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US DOLLARS ________________________________________________________</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DRAWN UNDER SILICON VALLEY BANK, SANTA CLARA, CALIFORNIA, STANDBY</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LETTER OF CREDIT NUMBER NO. ________________________ DATED ___________________</w:t>
      </w:r>
    </w:p>
    <w:p>
      <w:pPr>
        <w:sectPr>
          <w:pgSz w:w="11900" w:h="16838" w:orient="portrait"/>
          <w:cols w:equalWidth="0" w:num="1">
            <w:col w:w="11260"/>
          </w:cols>
          <w:pgMar w:left="320" w:top="1421" w:right="319" w:bottom="1440" w:gutter="0" w:footer="0" w:header="0"/>
        </w:sectPr>
      </w:pPr>
    </w:p>
    <w:p>
      <w:pPr>
        <w:spacing w:after="0" w:line="3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TO:</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63" w:lineRule="exact"/>
        <w:rPr>
          <w:sz w:val="20"/>
          <w:szCs w:val="20"/>
          <w:color w:val="auto"/>
        </w:rPr>
      </w:pPr>
    </w:p>
    <w:p>
      <w:pPr>
        <w:sectPr>
          <w:pgSz w:w="11900" w:h="16838" w:orient="portrait"/>
          <w:cols w:equalWidth="0" w:num="2">
            <w:col w:w="740" w:space="320"/>
            <w:col w:w="10200"/>
          </w:cols>
          <w:pgMar w:left="320" w:top="1421" w:right="319" w:bottom="1440" w:gutter="0" w:footer="0" w:header="0"/>
          <w:type w:val="continuous"/>
        </w:sectPr>
      </w:pPr>
    </w:p>
    <w:p>
      <w:pPr>
        <w:ind w:left="1060"/>
        <w:spacing w:after="0"/>
        <w:rPr>
          <w:sz w:val="20"/>
          <w:szCs w:val="20"/>
          <w:color w:val="auto"/>
        </w:rPr>
      </w:pPr>
      <w:r>
        <w:rPr>
          <w:rFonts w:ascii="Arial" w:cs="Arial" w:eastAsia="Arial" w:hAnsi="Arial"/>
          <w:sz w:val="17"/>
          <w:szCs w:val="17"/>
          <w:color w:val="auto"/>
        </w:rPr>
        <w:t>3003 TASMAN DRIVE</w:t>
      </w:r>
    </w:p>
    <w:p>
      <w:pPr>
        <w:sectPr>
          <w:pgSz w:w="11900" w:h="16838" w:orient="portrait"/>
          <w:cols w:equalWidth="0" w:num="1">
            <w:col w:w="11260"/>
          </w:cols>
          <w:pgMar w:left="320" w:top="1421" w:right="319" w:bottom="1440" w:gutter="0" w:footer="0" w:header="0"/>
          <w:type w:val="continuous"/>
        </w:sectPr>
      </w:pPr>
    </w:p>
    <w:p>
      <w:pPr>
        <w:spacing w:after="0" w:line="75"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SANTA CLARA, CA 95054</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(BENEFICIARY'S NAME)</w:t>
      </w:r>
    </w:p>
    <w:p>
      <w:pPr>
        <w:spacing w:after="0" w:line="200" w:lineRule="exact"/>
        <w:rPr>
          <w:sz w:val="20"/>
          <w:szCs w:val="20"/>
          <w:color w:val="auto"/>
        </w:rPr>
      </w:pPr>
    </w:p>
    <w:p>
      <w:pPr>
        <w:sectPr>
          <w:pgSz w:w="11900" w:h="16838" w:orient="portrait"/>
          <w:cols w:equalWidth="0" w:num="2">
            <w:col w:w="4940" w:space="720"/>
            <w:col w:w="5600"/>
          </w:cols>
          <w:pgMar w:left="320" w:top="142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140"/>
        <w:spacing w:after="0"/>
        <w:rPr>
          <w:sz w:val="20"/>
          <w:szCs w:val="20"/>
          <w:color w:val="auto"/>
        </w:rPr>
      </w:pPr>
      <w:r>
        <w:rPr>
          <w:rFonts w:ascii="Arial" w:cs="Arial" w:eastAsia="Arial" w:hAnsi="Arial"/>
          <w:sz w:val="18"/>
          <w:szCs w:val="18"/>
          <w:b w:val="1"/>
          <w:bCs w:val="1"/>
          <w:color w:val="auto"/>
        </w:rPr>
        <w:t>AUTHORIZED SIGNATURE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GUIDELINES TO PREPARE THE DRAFT</w:t>
      </w:r>
    </w:p>
    <w:p>
      <w:pPr>
        <w:spacing w:after="0" w:line="175" w:lineRule="exact"/>
        <w:rPr>
          <w:sz w:val="20"/>
          <w:szCs w:val="20"/>
          <w:color w:val="auto"/>
        </w:rPr>
      </w:pPr>
    </w:p>
    <w:p>
      <w:pPr>
        <w:ind w:left="320" w:hanging="312"/>
        <w:spacing w:after="0"/>
        <w:tabs>
          <w:tab w:leader="none" w:pos="32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DATE: ISSUANCE DATE OF DRAFT.</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REF. NO.: BENEFICIARY'S REFERENCE NUMBER, IF ANY.</w:t>
      </w:r>
    </w:p>
    <w:p>
      <w:pPr>
        <w:spacing w:after="0" w:line="9" w:lineRule="exact"/>
        <w:rPr>
          <w:rFonts w:ascii="Arial" w:cs="Arial" w:eastAsia="Arial" w:hAnsi="Arial"/>
          <w:sz w:val="18"/>
          <w:szCs w:val="18"/>
          <w:color w:val="auto"/>
        </w:rPr>
      </w:pPr>
    </w:p>
    <w:p>
      <w:pPr>
        <w:ind w:left="340" w:right="400" w:hanging="332"/>
        <w:spacing w:after="0" w:line="250" w:lineRule="auto"/>
        <w:tabs>
          <w:tab w:leader="none" w:pos="331" w:val="left"/>
        </w:tabs>
        <w:numPr>
          <w:ilvl w:val="0"/>
          <w:numId w:val="552"/>
        </w:numPr>
        <w:rPr>
          <w:rFonts w:ascii="Arial" w:cs="Arial" w:eastAsia="Arial" w:hAnsi="Arial"/>
          <w:sz w:val="18"/>
          <w:szCs w:val="18"/>
          <w:color w:val="auto"/>
        </w:rPr>
      </w:pPr>
      <w:r>
        <w:rPr>
          <w:rFonts w:ascii="Arial" w:cs="Arial" w:eastAsia="Arial" w:hAnsi="Arial"/>
          <w:sz w:val="18"/>
          <w:szCs w:val="18"/>
          <w:color w:val="auto"/>
        </w:rPr>
        <w:t>PAY TO THE ORDER OF: NAME OF BENEFICIARY AS INDICATED IN THE L/C (MAKE SURE BENEFICIARY ENDORSES IT ON THE REVERSE SIDE).</w:t>
      </w:r>
    </w:p>
    <w:p>
      <w:pPr>
        <w:ind w:left="320" w:hanging="312"/>
        <w:spacing w:after="0"/>
        <w:tabs>
          <w:tab w:leader="none" w:pos="32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US$: AMOUNT OF DRAWING IN FIGURES.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USDOLLARS: AMOUNT OF DRAWING IN WORDS.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LETTER OF CREDIT NUMBER: SILICON VALLEY BANK'S STANDBY L/C NUMBER THAT PERTAINS TO THE DRAWING.</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DATED: ISSUANCE DATE OF THE STANDBY L/C.</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BENEFICIARY'S NAME: NAME OF BENEFICIARY AS INDICATED IN THE L/C.</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AUTHORIZED SIGNATURE: SIGNED BY AN AUTHORIZED SIGNER OF BENEFICIARY.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IF YOU HAVE QUESTIONS RELATED TO THIS STANDBY LETTER OF CREDIT LEASE CONTACT US AT_____________.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C-1-4</w:t>
      </w:r>
    </w:p>
    <w:p>
      <w:pPr>
        <w:sectPr>
          <w:pgSz w:w="11900" w:h="16838" w:orient="portrait"/>
          <w:cols w:equalWidth="0" w:num="1">
            <w:col w:w="11260"/>
          </w:cols>
          <w:pgMar w:left="320" w:top="1421" w:right="319" w:bottom="1440" w:gutter="0" w:footer="0" w:header="0"/>
          <w:type w:val="continuous"/>
        </w:sectPr>
      </w:pPr>
    </w:p>
    <w:bookmarkStart w:id="571" w:name="page572"/>
    <w:bookmarkEnd w:id="571"/>
    <w:p>
      <w:pPr>
        <w:jc w:val="center"/>
        <w:spacing w:after="0"/>
        <w:rPr>
          <w:sz w:val="20"/>
          <w:szCs w:val="20"/>
          <w:color w:val="auto"/>
        </w:rPr>
      </w:pPr>
      <w:r>
        <w:rPr>
          <w:rFonts w:ascii="Arial" w:cs="Arial" w:eastAsia="Arial" w:hAnsi="Arial"/>
          <w:sz w:val="22"/>
          <w:szCs w:val="22"/>
          <w:b w:val="1"/>
          <w:bCs w:val="1"/>
          <w:color w:val="auto"/>
        </w:rPr>
        <w:t>EXHIBIT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TRANSFER FORM</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DATE: ____________________</w:t>
      </w:r>
    </w:p>
    <w:p>
      <w:pPr>
        <w:sectPr>
          <w:pgSz w:w="11900" w:h="16838" w:orient="portrait"/>
          <w:cols w:equalWidth="0" w:num="1">
            <w:col w:w="11240"/>
          </w:cols>
          <w:pgMar w:left="320" w:top="1421" w:right="339" w:bottom="1440" w:gutter="0" w:footer="0" w:header="0"/>
        </w:sect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SILICON VALLEY BANK</w:t>
      </w:r>
    </w:p>
    <w:p>
      <w:pPr>
        <w:spacing w:after="0" w:line="59" w:lineRule="exact"/>
        <w:rPr>
          <w:sz w:val="20"/>
          <w:szCs w:val="20"/>
          <w:color w:val="auto"/>
        </w:rPr>
      </w:pPr>
    </w:p>
    <w:p>
      <w:pPr>
        <w:sectPr>
          <w:pgSz w:w="11900" w:h="16838" w:orient="portrait"/>
          <w:cols w:equalWidth="0" w:num="2">
            <w:col w:w="280" w:space="320"/>
            <w:col w:w="10640"/>
          </w:cols>
          <w:pgMar w:left="320" w:top="1421" w:right="339" w:bottom="1440" w:gutter="0" w:footer="0" w:header="0"/>
          <w:type w:val="continuous"/>
        </w:sectPr>
      </w:pPr>
    </w:p>
    <w:p>
      <w:pPr>
        <w:ind w:left="600"/>
        <w:spacing w:after="0"/>
        <w:rPr>
          <w:sz w:val="20"/>
          <w:szCs w:val="20"/>
          <w:color w:val="auto"/>
        </w:rPr>
      </w:pPr>
      <w:r>
        <w:rPr>
          <w:rFonts w:ascii="Arial" w:cs="Arial" w:eastAsia="Arial" w:hAnsi="Arial"/>
          <w:sz w:val="15"/>
          <w:szCs w:val="15"/>
          <w:color w:val="auto"/>
        </w:rPr>
        <w:t>3003 TASMAN DRIVE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RE: IRREVOCABLE STANDBY LETTER OF CREDIT</w:t>
      </w:r>
    </w:p>
    <w:p>
      <w:pPr>
        <w:spacing w:after="0" w:line="71" w:lineRule="exact"/>
        <w:rPr>
          <w:sz w:val="20"/>
          <w:szCs w:val="20"/>
          <w:color w:val="auto"/>
        </w:rPr>
      </w:pPr>
    </w:p>
    <w:p>
      <w:pPr>
        <w:sectPr>
          <w:pgSz w:w="11900" w:h="16838" w:orient="portrait"/>
          <w:cols w:equalWidth="0" w:num="2">
            <w:col w:w="5000" w:space="720"/>
            <w:col w:w="5520"/>
          </w:cols>
          <w:pgMar w:left="320" w:top="1421" w:right="339" w:bottom="1440" w:gutter="0" w:footer="0" w:header="0"/>
          <w:type w:val="continuous"/>
        </w:sectPr>
      </w:pPr>
    </w:p>
    <w:p>
      <w:pPr>
        <w:ind w:left="600"/>
        <w:spacing w:after="0"/>
        <w:rPr>
          <w:sz w:val="20"/>
          <w:szCs w:val="20"/>
          <w:color w:val="auto"/>
        </w:rPr>
      </w:pPr>
      <w:r>
        <w:rPr>
          <w:rFonts w:ascii="Arial" w:cs="Arial" w:eastAsia="Arial" w:hAnsi="Arial"/>
          <w:sz w:val="15"/>
          <w:szCs w:val="15"/>
          <w:color w:val="auto"/>
        </w:rPr>
        <w:t>SANTA CLARA, CA 95054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 _____________ ISSUED BY</w:t>
      </w:r>
    </w:p>
    <w:p>
      <w:pPr>
        <w:spacing w:after="0" w:line="71" w:lineRule="exact"/>
        <w:rPr>
          <w:sz w:val="20"/>
          <w:szCs w:val="20"/>
          <w:color w:val="auto"/>
        </w:rPr>
      </w:pPr>
    </w:p>
    <w:p>
      <w:pPr>
        <w:sectPr>
          <w:pgSz w:w="11900" w:h="16838" w:orient="portrait"/>
          <w:cols w:equalWidth="0" w:num="2">
            <w:col w:w="5000" w:space="720"/>
            <w:col w:w="5520"/>
          </w:cols>
          <w:pgMar w:left="320" w:top="1421" w:right="339" w:bottom="1440" w:gutter="0" w:footer="0" w:header="0"/>
          <w:type w:val="continuous"/>
        </w:sectPr>
      </w:pPr>
    </w:p>
    <w:p>
      <w:pPr>
        <w:ind w:left="600"/>
        <w:spacing w:after="0"/>
        <w:rPr>
          <w:sz w:val="20"/>
          <w:szCs w:val="20"/>
          <w:color w:val="auto"/>
        </w:rPr>
      </w:pPr>
      <w:r>
        <w:rPr>
          <w:rFonts w:ascii="Arial" w:cs="Arial" w:eastAsia="Arial" w:hAnsi="Arial"/>
          <w:sz w:val="16"/>
          <w:szCs w:val="16"/>
          <w:color w:val="auto"/>
        </w:rPr>
        <w:t>ATTN:INTERNATIONAL DIVISION.</w:t>
      </w:r>
    </w:p>
    <w:p>
      <w:pPr>
        <w:spacing w:after="0" w:line="20" w:lineRule="exact"/>
        <w:rPr>
          <w:sz w:val="20"/>
          <w:szCs w:val="20"/>
          <w:color w:val="auto"/>
        </w:rPr>
      </w:pPr>
      <w:r>
        <w:rPr>
          <w:sz w:val="20"/>
          <w:szCs w:val="20"/>
          <w:color w:val="auto"/>
        </w:rPr>
        <w:br w:type="column"/>
      </w:r>
    </w:p>
    <w:p>
      <w:pPr>
        <w:jc w:val="center"/>
        <w:ind w:right="2520"/>
        <w:spacing w:after="0"/>
        <w:rPr>
          <w:sz w:val="20"/>
          <w:szCs w:val="20"/>
          <w:color w:val="auto"/>
        </w:rPr>
      </w:pPr>
      <w:r>
        <w:rPr>
          <w:rFonts w:ascii="Arial" w:cs="Arial" w:eastAsia="Arial" w:hAnsi="Arial"/>
          <w:sz w:val="16"/>
          <w:szCs w:val="16"/>
          <w:color w:val="auto"/>
        </w:rPr>
        <w:t>SILICON VALLEY BANK, SANTA CLARA</w:t>
      </w:r>
    </w:p>
    <w:p>
      <w:pPr>
        <w:spacing w:after="0" w:line="59" w:lineRule="exact"/>
        <w:rPr>
          <w:sz w:val="20"/>
          <w:szCs w:val="20"/>
          <w:color w:val="auto"/>
        </w:rPr>
      </w:pPr>
    </w:p>
    <w:p>
      <w:pPr>
        <w:sectPr>
          <w:pgSz w:w="11900" w:h="16838" w:orient="portrait"/>
          <w:cols w:equalWidth="0" w:num="2">
            <w:col w:w="5000" w:space="720"/>
            <w:col w:w="5520"/>
          </w:cols>
          <w:pgMar w:left="320" w:top="1421" w:right="339" w:bottom="1440" w:gutter="0" w:footer="0" w:header="0"/>
          <w:type w:val="continuous"/>
        </w:sectPr>
      </w:pPr>
    </w:p>
    <w:p>
      <w:pPr>
        <w:ind w:left="600"/>
        <w:spacing w:after="0"/>
        <w:rPr>
          <w:sz w:val="20"/>
          <w:szCs w:val="20"/>
          <w:color w:val="auto"/>
        </w:rPr>
      </w:pPr>
      <w:r>
        <w:rPr>
          <w:rFonts w:ascii="Arial" w:cs="Arial" w:eastAsia="Arial" w:hAnsi="Arial"/>
          <w:sz w:val="15"/>
          <w:szCs w:val="15"/>
          <w:color w:val="auto"/>
        </w:rPr>
        <w:t>STANDBY LETTERS OF CREDIT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L/C AMOUNT: ___________________</w:t>
      </w:r>
    </w:p>
    <w:p>
      <w:pPr>
        <w:spacing w:after="0" w:line="200" w:lineRule="exact"/>
        <w:rPr>
          <w:sz w:val="20"/>
          <w:szCs w:val="20"/>
          <w:color w:val="auto"/>
        </w:rPr>
      </w:pPr>
    </w:p>
    <w:p>
      <w:pPr>
        <w:sectPr>
          <w:pgSz w:w="11900" w:h="16838" w:orient="portrait"/>
          <w:cols w:equalWidth="0" w:num="2">
            <w:col w:w="5000" w:space="720"/>
            <w:col w:w="5520"/>
          </w:cols>
          <w:pgMar w:left="320" w:top="1421" w:right="339" w:bottom="1440" w:gutter="0" w:footer="0" w:header="0"/>
          <w:type w:val="continuous"/>
        </w:sectPr>
      </w:pP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GENTLEMEN: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FOR VALUE RECEIVED, THE UNDERSIGNED BENEFICIARY HEREBY IRREVOCABLY TRANSFERS TO:</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_________________________________________________________________________________________</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(NAME OF TRANSFEREE)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_________________________________________________________________________________________</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15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ALL RIGHTS OF THE UNDERSIGNED BENEFICIARY TO DRAW UNDER THE ABOVE LETTER OF CREDIT UP TO ITS AVAILABLE AMOUNT AS SHOWN ABOVE AS OF THE DATE OF THIS TRANSFER.</w:t>
      </w:r>
    </w:p>
    <w:p>
      <w:pPr>
        <w:spacing w:after="0" w:line="118"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BY THIS TRANSFER, ALL RIGHTS OF THE UNDERSIGNED BENEFICIARY IN SUCH LETTER OF CREDIT ARE TRANSFERRED TO THE TRANSFEREE. TRANSFEREE SHALL HAVE THE SOLE RIGHTS AS BENEFICIARY THEREOF, INCLUDING SOLE RIGHTS RELATING TO ANY AMENDMENTS, WHETHER INCREASES OR EXTENSIONS OR OTHER AMENDMENTS, AND WHETHER NOW EXISTING OR HEREAFTER MADE. ALL AMENDMENTS ARE TO BE ADVISED DIRECTLY TO THE TRANSFEREE WITHOUT NECESSITY OF ANY CONSENT OF OR NOTICE TO THE UNDERSIGNED BENEFICIARY.</w:t>
      </w:r>
    </w:p>
    <w:p>
      <w:pPr>
        <w:spacing w:after="0" w:line="11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ORIGINAL OF SUCH LETTER OF CREDIT IS RETURNED HEREWITH, AND WE ASK YOU TO ENDORSE THE TRANSFER ON THE REVERSE THEREOF, AND FORWARD IT DIRECTLY TO THE TRANSFEREE WITH YOUR CUSTOMARY NOTICE OF TRANSFER.</w:t>
      </w:r>
    </w:p>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386"/>
        </w:trPr>
        <w:tc>
          <w:tcPr>
            <w:tcW w:w="56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SIGNATURE AUTHENTICATED</w:t>
            </w:r>
          </w:p>
        </w:tc>
        <w:tc>
          <w:tcPr>
            <w:tcW w:w="3520" w:type="dxa"/>
            <w:vAlign w:val="bottom"/>
          </w:tcPr>
          <w:p>
            <w:pPr>
              <w:jc w:val="right"/>
              <w:spacing w:after="0"/>
              <w:rPr>
                <w:sz w:val="20"/>
                <w:szCs w:val="20"/>
                <w:color w:val="auto"/>
              </w:rPr>
            </w:pPr>
            <w:r>
              <w:rPr>
                <w:rFonts w:ascii="Arial" w:cs="Arial" w:eastAsia="Arial" w:hAnsi="Arial"/>
                <w:sz w:val="14"/>
                <w:szCs w:val="14"/>
                <w:color w:val="auto"/>
              </w:rPr>
              <w:t>_____________________________</w:t>
            </w:r>
          </w:p>
        </w:tc>
        <w:tc>
          <w:tcPr>
            <w:tcW w:w="0" w:type="dxa"/>
            <w:vAlign w:val="bottom"/>
          </w:tcPr>
          <w:p>
            <w:pPr>
              <w:spacing w:after="0"/>
              <w:rPr>
                <w:sz w:val="1"/>
                <w:szCs w:val="1"/>
                <w:color w:val="auto"/>
              </w:rPr>
            </w:pPr>
          </w:p>
        </w:tc>
      </w:tr>
      <w:tr>
        <w:trPr>
          <w:trHeight w:val="182"/>
        </w:trPr>
        <w:tc>
          <w:tcPr>
            <w:tcW w:w="5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The names(s), title(s), and signature(s) conform to that/those on file with us for the company</w:t>
            </w:r>
          </w:p>
        </w:tc>
        <w:tc>
          <w:tcPr>
            <w:tcW w:w="3520" w:type="dxa"/>
            <w:vAlign w:val="bottom"/>
          </w:tcPr>
          <w:p>
            <w:pPr>
              <w:jc w:val="center"/>
              <w:ind w:left="1348"/>
              <w:spacing w:after="0"/>
              <w:rPr>
                <w:sz w:val="20"/>
                <w:szCs w:val="20"/>
                <w:color w:val="auto"/>
              </w:rPr>
            </w:pPr>
            <w:r>
              <w:rPr>
                <w:rFonts w:ascii="Arial" w:cs="Arial" w:eastAsia="Arial" w:hAnsi="Arial"/>
                <w:sz w:val="14"/>
                <w:szCs w:val="14"/>
                <w:color w:val="auto"/>
              </w:rPr>
              <w:t>(BENEFICIARY’S NAME)</w:t>
            </w:r>
          </w:p>
        </w:tc>
        <w:tc>
          <w:tcPr>
            <w:tcW w:w="0" w:type="dxa"/>
            <w:vAlign w:val="bottom"/>
          </w:tcPr>
          <w:p>
            <w:pPr>
              <w:spacing w:after="0"/>
              <w:rPr>
                <w:sz w:val="1"/>
                <w:szCs w:val="1"/>
                <w:color w:val="auto"/>
              </w:rPr>
            </w:pPr>
          </w:p>
        </w:tc>
      </w:tr>
      <w:tr>
        <w:trPr>
          <w:trHeight w:val="142"/>
        </w:trPr>
        <w:tc>
          <w:tcPr>
            <w:tcW w:w="5640" w:type="dxa"/>
            <w:vAlign w:val="bottom"/>
            <w:tcBorders>
              <w:left w:val="single" w:sz="8" w:color="auto"/>
              <w:right w:val="single" w:sz="8" w:color="auto"/>
            </w:tcBorders>
            <w:vMerge w:val="continue"/>
          </w:tcPr>
          <w:p>
            <w:pPr>
              <w:spacing w:after="0"/>
              <w:rPr>
                <w:sz w:val="12"/>
                <w:szCs w:val="12"/>
                <w:color w:val="auto"/>
              </w:rPr>
            </w:pPr>
          </w:p>
        </w:tc>
        <w:tc>
          <w:tcPr>
            <w:tcW w:w="3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and the signature(s) is/are authorized to execute this instrument.</w:t>
            </w:r>
          </w:p>
        </w:tc>
        <w:tc>
          <w:tcPr>
            <w:tcW w:w="3520" w:type="dxa"/>
            <w:vAlign w:val="bottom"/>
          </w:tcPr>
          <w:p>
            <w:pPr>
              <w:ind w:left="260"/>
              <w:spacing w:after="0"/>
              <w:rPr>
                <w:sz w:val="20"/>
                <w:szCs w:val="20"/>
                <w:color w:val="auto"/>
              </w:rPr>
            </w:pPr>
            <w:r>
              <w:rPr>
                <w:rFonts w:ascii="Arial" w:cs="Arial" w:eastAsia="Arial" w:hAnsi="Arial"/>
                <w:sz w:val="14"/>
                <w:szCs w:val="14"/>
                <w:color w:val="auto"/>
              </w:rPr>
              <w:t>By:________________________________</w:t>
            </w:r>
          </w:p>
        </w:tc>
        <w:tc>
          <w:tcPr>
            <w:tcW w:w="0" w:type="dxa"/>
            <w:vAlign w:val="bottom"/>
          </w:tcPr>
          <w:p>
            <w:pPr>
              <w:spacing w:after="0"/>
              <w:rPr>
                <w:sz w:val="1"/>
                <w:szCs w:val="1"/>
                <w:color w:val="auto"/>
              </w:rPr>
            </w:pPr>
          </w:p>
        </w:tc>
      </w:tr>
      <w:tr>
        <w:trPr>
          <w:trHeight w:val="304"/>
        </w:trPr>
        <w:tc>
          <w:tcPr>
            <w:tcW w:w="5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________________________________________</w:t>
            </w:r>
          </w:p>
        </w:tc>
        <w:tc>
          <w:tcPr>
            <w:tcW w:w="3520" w:type="dxa"/>
            <w:vAlign w:val="bottom"/>
          </w:tcPr>
          <w:p>
            <w:pPr>
              <w:ind w:left="260"/>
              <w:spacing w:after="0"/>
              <w:rPr>
                <w:sz w:val="20"/>
                <w:szCs w:val="20"/>
                <w:color w:val="auto"/>
              </w:rPr>
            </w:pPr>
            <w:r>
              <w:rPr>
                <w:rFonts w:ascii="Arial" w:cs="Arial" w:eastAsia="Arial" w:hAnsi="Arial"/>
                <w:sz w:val="14"/>
                <w:szCs w:val="14"/>
                <w:color w:val="auto"/>
              </w:rPr>
              <w:t>Printed Name:________________________</w:t>
            </w:r>
          </w:p>
        </w:tc>
        <w:tc>
          <w:tcPr>
            <w:tcW w:w="0" w:type="dxa"/>
            <w:vAlign w:val="bottom"/>
          </w:tcPr>
          <w:p>
            <w:pPr>
              <w:spacing w:after="0"/>
              <w:rPr>
                <w:sz w:val="1"/>
                <w:szCs w:val="1"/>
                <w:color w:val="auto"/>
              </w:rPr>
            </w:pPr>
          </w:p>
        </w:tc>
      </w:tr>
      <w:tr>
        <w:trPr>
          <w:trHeight w:val="182"/>
        </w:trPr>
        <w:tc>
          <w:tcPr>
            <w:tcW w:w="5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(Name of Bank)</w:t>
            </w:r>
          </w:p>
        </w:tc>
        <w:tc>
          <w:tcPr>
            <w:tcW w:w="3520" w:type="dxa"/>
            <w:vAlign w:val="bottom"/>
            <w:vMerge w:val="restart"/>
          </w:tcPr>
          <w:p>
            <w:pPr>
              <w:ind w:left="260"/>
              <w:spacing w:after="0"/>
              <w:rPr>
                <w:sz w:val="20"/>
                <w:szCs w:val="20"/>
                <w:color w:val="auto"/>
              </w:rPr>
            </w:pPr>
            <w:r>
              <w:rPr>
                <w:rFonts w:ascii="Arial" w:cs="Arial" w:eastAsia="Arial" w:hAnsi="Arial"/>
                <w:sz w:val="14"/>
                <w:szCs w:val="14"/>
                <w:color w:val="auto"/>
              </w:rPr>
              <w:t>Title:_______________________________</w:t>
            </w:r>
          </w:p>
        </w:tc>
        <w:tc>
          <w:tcPr>
            <w:tcW w:w="0" w:type="dxa"/>
            <w:vAlign w:val="bottom"/>
          </w:tcPr>
          <w:p>
            <w:pPr>
              <w:spacing w:after="0"/>
              <w:rPr>
                <w:sz w:val="1"/>
                <w:szCs w:val="1"/>
                <w:color w:val="auto"/>
              </w:rPr>
            </w:pPr>
          </w:p>
        </w:tc>
      </w:tr>
      <w:tr>
        <w:trPr>
          <w:trHeight w:val="162"/>
        </w:trPr>
        <w:tc>
          <w:tcPr>
            <w:tcW w:w="5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________________________________________</w:t>
            </w:r>
          </w:p>
        </w:tc>
        <w:tc>
          <w:tcPr>
            <w:tcW w:w="3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40" w:type="dxa"/>
            <w:vAlign w:val="bottom"/>
            <w:tcBorders>
              <w:left w:val="single" w:sz="8" w:color="auto"/>
              <w:right w:val="single" w:sz="8" w:color="auto"/>
            </w:tcBorders>
            <w:vMerge w:val="continue"/>
          </w:tcPr>
          <w:p>
            <w:pPr>
              <w:spacing w:after="0"/>
              <w:rPr>
                <w:sz w:val="12"/>
                <w:szCs w:val="12"/>
                <w:color w:val="auto"/>
              </w:rPr>
            </w:pPr>
          </w:p>
        </w:tc>
        <w:tc>
          <w:tcPr>
            <w:tcW w:w="3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(Address of Bank)</w:t>
            </w: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5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________________________________________</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(City, State, Zip Code)</w:t>
            </w: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5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________________________________________</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(Print Authorized Name and Title)</w:t>
            </w: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5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________________________________________</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(Authorized Signature)</w:t>
            </w: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5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________________________________________</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(Telephone Number)</w:t>
            </w: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640" w:type="dxa"/>
            <w:vAlign w:val="bottom"/>
            <w:tcBorders>
              <w:left w:val="single" w:sz="8" w:color="auto"/>
              <w:bottom w:val="single" w:sz="8" w:color="auto"/>
              <w:right w:val="single" w:sz="8" w:color="auto"/>
            </w:tcBorders>
          </w:tcPr>
          <w:p>
            <w:pPr>
              <w:spacing w:after="0"/>
              <w:rPr>
                <w:sz w:val="16"/>
                <w:szCs w:val="16"/>
                <w:color w:val="auto"/>
              </w:rPr>
            </w:pPr>
          </w:p>
        </w:tc>
        <w:tc>
          <w:tcPr>
            <w:tcW w:w="3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C-1-5</w:t>
      </w:r>
    </w:p>
    <w:p>
      <w:pPr>
        <w:sectPr>
          <w:pgSz w:w="11900" w:h="16838" w:orient="portrait"/>
          <w:cols w:equalWidth="0" w:num="1">
            <w:col w:w="11240"/>
          </w:cols>
          <w:pgMar w:left="320" w:top="1421" w:right="339" w:bottom="1440" w:gutter="0" w:footer="0" w:header="0"/>
          <w:type w:val="continuous"/>
        </w:sectPr>
      </w:pPr>
    </w:p>
    <w:bookmarkStart w:id="572" w:name="page573"/>
    <w:bookmarkEnd w:id="572"/>
    <w:p>
      <w:pPr>
        <w:jc w:val="center"/>
        <w:spacing w:after="0"/>
        <w:rPr>
          <w:sz w:val="20"/>
          <w:szCs w:val="20"/>
          <w:color w:val="auto"/>
        </w:rPr>
      </w:pPr>
      <w:r>
        <w:rPr>
          <w:rFonts w:ascii="Arial" w:cs="Arial" w:eastAsia="Arial" w:hAnsi="Arial"/>
          <w:sz w:val="22"/>
          <w:szCs w:val="22"/>
          <w:b w:val="1"/>
          <w:bCs w:val="1"/>
          <w:u w:val="single" w:color="auto"/>
          <w:color w:val="auto"/>
        </w:rPr>
        <w:t>EXHIBIT C-2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Form of Letter of Credit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LETTER OF CREDIT</w:t>
      </w:r>
    </w:p>
    <w:p>
      <w:pPr>
        <w:spacing w:after="0" w:line="166"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Irrevocable Standby Letter of Credit No.________</w:t>
      </w:r>
    </w:p>
    <w:p>
      <w:pPr>
        <w:spacing w:after="0" w:line="166" w:lineRule="exact"/>
        <w:rPr>
          <w:sz w:val="20"/>
          <w:szCs w:val="20"/>
          <w:color w:val="auto"/>
        </w:rPr>
      </w:pPr>
    </w:p>
    <w:p>
      <w:pPr>
        <w:spacing w:after="0"/>
        <w:tabs>
          <w:tab w:leader="none" w:pos="2380" w:val="left"/>
        </w:tabs>
        <w:rPr>
          <w:sz w:val="20"/>
          <w:szCs w:val="20"/>
          <w:color w:val="auto"/>
        </w:rPr>
      </w:pPr>
      <w:r>
        <w:rPr>
          <w:rFonts w:ascii="Arial" w:cs="Arial" w:eastAsia="Arial" w:hAnsi="Arial"/>
          <w:sz w:val="22"/>
          <w:szCs w:val="22"/>
          <w:u w:val="single" w:color="auto"/>
          <w:color w:val="auto"/>
        </w:rPr>
        <w:t>Beneficiary</w:t>
      </w:r>
      <w:r>
        <w:rPr>
          <w:rFonts w:ascii="Arial" w:cs="Arial" w:eastAsia="Arial" w:hAnsi="Arial"/>
          <w:sz w:val="22"/>
          <w:szCs w:val="22"/>
          <w:color w:val="auto"/>
        </w:rPr>
        <w:t>: Twitter, Inc.</w:t>
      </w:r>
      <w:r>
        <w:rPr>
          <w:sz w:val="20"/>
          <w:szCs w:val="20"/>
          <w:color w:val="auto"/>
        </w:rPr>
        <w:tab/>
      </w:r>
      <w:r>
        <w:rPr>
          <w:rFonts w:ascii="Arial" w:cs="Arial" w:eastAsia="Arial" w:hAnsi="Arial"/>
          <w:sz w:val="18"/>
          <w:szCs w:val="18"/>
          <w:u w:val="single" w:color="auto"/>
          <w:color w:val="auto"/>
        </w:rPr>
        <w:t>Issuance Date</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1355 Market Street, Suite 900</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San Francisco, California 94103</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Director of Global Real Estate</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Accountee/Applicant</w:t>
      </w:r>
      <w:r>
        <w:rPr>
          <w:rFonts w:ascii="Arial" w:cs="Arial" w:eastAsia="Arial" w:hAnsi="Arial"/>
          <w:sz w:val="22"/>
          <w:szCs w:val="22"/>
          <w:color w:val="auto"/>
        </w:rPr>
        <w:t xml:space="preserve">: </w:t>
      </w:r>
      <w:r>
        <w:rPr>
          <w:rFonts w:ascii="Arial" w:cs="Arial" w:eastAsia="Arial" w:hAnsi="Arial"/>
          <w:sz w:val="19"/>
          <w:szCs w:val="19"/>
          <w:color w:val="auto"/>
        </w:rPr>
        <w:t>______________</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Attn: </w:t>
      </w:r>
      <w:r>
        <w:rPr>
          <w:rFonts w:ascii="Arial" w:cs="Arial" w:eastAsia="Arial" w:hAnsi="Arial"/>
          <w:sz w:val="19"/>
          <w:szCs w:val="19"/>
          <w:color w:val="auto"/>
        </w:rPr>
        <w:t>_____________________________</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We hereby establish our Irrevocable Letter of Credit no. _____________ in your favor for the account of ___________________</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for an amount not to exceed in the aggregate ___________________ and___ /100 U.S. Dollars ($_____________).</w:t>
      </w:r>
    </w:p>
    <w:p>
      <w:pPr>
        <w:spacing w:after="0" w:line="153"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 xml:space="preserve">Funds under this credit are available against presentation of this original Letter of Credit and the attached </w:t>
      </w:r>
      <w:r>
        <w:rPr>
          <w:rFonts w:ascii="Arial" w:cs="Arial" w:eastAsia="Arial" w:hAnsi="Arial"/>
          <w:sz w:val="22"/>
          <w:szCs w:val="22"/>
          <w:b w:val="1"/>
          <w:bCs w:val="1"/>
          <w:color w:val="auto"/>
        </w:rPr>
        <w:t>Exhibit A</w:t>
      </w:r>
      <w:r>
        <w:rPr>
          <w:rFonts w:ascii="Arial" w:cs="Arial" w:eastAsia="Arial" w:hAnsi="Arial"/>
          <w:sz w:val="22"/>
          <w:szCs w:val="22"/>
          <w:color w:val="auto"/>
        </w:rPr>
        <w:t>, with the blanks appropriately completed.</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color w:val="auto"/>
        </w:rPr>
        <w:t>This Letter of Credit expires and is payable at the office of _______________________</w:t>
      </w:r>
      <w:r>
        <w:rPr>
          <w:rFonts w:ascii="Arial" w:cs="Arial" w:eastAsia="Arial" w:hAnsi="Arial"/>
          <w:sz w:val="19"/>
          <w:szCs w:val="19"/>
          <w:b w:val="1"/>
          <w:bCs w:val="1"/>
          <w:color w:val="auto"/>
        </w:rPr>
        <w:t>[Issuing Bank’s name, address,</w:t>
      </w:r>
    </w:p>
    <w:p>
      <w:pPr>
        <w:spacing w:after="0" w:line="6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department, and fax number]</w:t>
      </w:r>
      <w:r>
        <w:rPr>
          <w:rFonts w:ascii="Arial" w:cs="Arial" w:eastAsia="Arial" w:hAnsi="Arial"/>
          <w:sz w:val="21"/>
          <w:szCs w:val="21"/>
          <w:color w:val="auto"/>
        </w:rPr>
        <w:t>, on or prior to___________, 20__</w:t>
      </w:r>
      <w:r>
        <w:rPr>
          <w:rFonts w:ascii="Arial" w:cs="Arial" w:eastAsia="Arial" w:hAnsi="Arial"/>
          <w:sz w:val="21"/>
          <w:szCs w:val="21"/>
          <w:b w:val="1"/>
          <w:bCs w:val="1"/>
          <w:color w:val="auto"/>
        </w:rPr>
        <w:t xml:space="preserve"> [enter the Expiration Date]</w:t>
      </w:r>
      <w:r>
        <w:rPr>
          <w:rFonts w:ascii="Arial" w:cs="Arial" w:eastAsia="Arial" w:hAnsi="Arial"/>
          <w:sz w:val="21"/>
          <w:szCs w:val="21"/>
          <w:color w:val="auto"/>
        </w:rPr>
        <w:t>, or any extended date as</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hereinafter provided for (the “</w:t>
      </w:r>
      <w:r>
        <w:rPr>
          <w:rFonts w:ascii="Arial" w:cs="Arial" w:eastAsia="Arial" w:hAnsi="Arial"/>
          <w:sz w:val="22"/>
          <w:szCs w:val="22"/>
          <w:b w:val="1"/>
          <w:bCs w:val="1"/>
          <w:color w:val="auto"/>
        </w:rPr>
        <w:t>Expiration Date</w:t>
      </w:r>
      <w:r>
        <w:rPr>
          <w:rFonts w:ascii="Arial" w:cs="Arial" w:eastAsia="Arial" w:hAnsi="Arial"/>
          <w:sz w:val="22"/>
          <w:szCs w:val="22"/>
          <w:color w:val="auto"/>
        </w:rPr>
        <w:t>”).</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If the Expiration Date shall ever fall on a day which is not a business day, then such Expiration Date shall automatically be extended to the date which is the next business day. It is a condition of this Letter of Credit that the Expiration Date will be automatically extended without amendment for one (1) year from the Expiration Date hereof, or any future Expiration Date, unless at least sixty (60) days prior to any Expiration Date we notify you by certified mail, return receipt requested, or overnight courier service with proof of delivery to the address shown above, attention: Legal Department, and concurrently notify Twitter, Inc., 1355 Market Street, Suite 900, San Francisco, California 94103, Attn: Legal Department (Real Estate), in the same delivery method, that we elect not to extend the Expiration Date of this Letter of Credit. Upon your receipt of such notification, you may draw against this Letter of Credit by presentation of this original Letter of Credit and the attached Exhibit B, with the blanks appropriately completed.</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Demands presented by fax (to fax number ___________) are acceptable; provided that if any such demand is presented by fax,</w:t>
      </w:r>
    </w:p>
    <w:p>
      <w:pPr>
        <w:spacing w:after="0" w:line="56" w:lineRule="exact"/>
        <w:rPr>
          <w:sz w:val="20"/>
          <w:szCs w:val="20"/>
          <w:color w:val="auto"/>
        </w:rPr>
      </w:pPr>
    </w:p>
    <w:p>
      <w:pPr>
        <w:jc w:val="both"/>
        <w:spacing w:after="0" w:line="323" w:lineRule="auto"/>
        <w:rPr>
          <w:sz w:val="20"/>
          <w:szCs w:val="20"/>
          <w:color w:val="auto"/>
        </w:rPr>
      </w:pPr>
      <w:r>
        <w:rPr>
          <w:rFonts w:ascii="Arial" w:cs="Arial" w:eastAsia="Arial" w:hAnsi="Arial"/>
          <w:sz w:val="19"/>
          <w:szCs w:val="19"/>
          <w:color w:val="auto"/>
        </w:rPr>
        <w:t>the original Exhibit and Letter of Credit shall be simultaneously forwarded by overnight courier service to our office located at the address stated above; provided further that the failure of the courier service to timely deliver shall not affect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C-2-1</w:t>
      </w:r>
    </w:p>
    <w:p>
      <w:pPr>
        <w:sectPr>
          <w:pgSz w:w="11900" w:h="16838" w:orient="portrait"/>
          <w:cols w:equalWidth="0" w:num="1">
            <w:col w:w="11240"/>
          </w:cols>
          <w:pgMar w:left="320" w:top="1421" w:right="339" w:bottom="1440" w:gutter="0" w:footer="0" w:header="0"/>
        </w:sectPr>
      </w:pPr>
    </w:p>
    <w:bookmarkStart w:id="573" w:name="page574"/>
    <w:bookmarkEnd w:id="573"/>
    <w:p>
      <w:pPr>
        <w:spacing w:after="0"/>
        <w:rPr>
          <w:sz w:val="20"/>
          <w:szCs w:val="20"/>
          <w:color w:val="auto"/>
        </w:rPr>
      </w:pPr>
      <w:r>
        <w:rPr>
          <w:rFonts w:ascii="Arial" w:cs="Arial" w:eastAsia="Arial" w:hAnsi="Arial"/>
          <w:sz w:val="19"/>
          <w:szCs w:val="19"/>
          <w:color w:val="auto"/>
        </w:rPr>
        <w:t>efficacy of the demand. Further, you shall give telephone notice of a drawing to the Bank, attention: ___________________at</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 on the day of such demand, provided that your failure to provide such telephone notification shall not</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invalidate the demand.</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Drawing(s) in compliance with all of the terms of this Letter of Credit, presented prior to 11:00 A.M., Pacific time, on a Business Day, shall be made to the account number or address designated by you of the amount specified, in immediately available funds, on the immediately following Business Day.</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Drawing(s) in compliance with all of the terms of this Letter of Credit, presented on or after 11:00 A.M., Pacific time, on a Business Day, shall be made to the account number or address designated by you of the amount specified, in immediately available funds, on the second Business Day.</w:t>
      </w:r>
    </w:p>
    <w:p>
      <w:pPr>
        <w:spacing w:after="0" w:line="131"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This Letter of Credit is transferable any number of times without charge to you. Transfer must be requested in accordance with our transfer form, which is attached as Exhibit C, accompanied by the return of this original Letter of Credit and all amendments thereto for endorsement thereon by us to the transferee. This Letter of Credit is transferable provided that such transfer would not violate any governmental rule, order or regulation applicable to us.</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We hereby engage with you that documents (including fax documents) presented in compliance with the terms and conditions of this Letter of Credit will be duly honored if presented to our bank on or before the Expiration Date of this Letter of Credit, which is _________, 20__.</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color w:val="auto"/>
        </w:rPr>
        <w:t>Multiple and partial drawings are permitted.</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This Letter of Credit is subject to the International Standby Practices 1998, International Chamber of Commerce Publication No.</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590.</w:t>
      </w:r>
    </w:p>
    <w:p>
      <w:pPr>
        <w:spacing w:after="0" w:line="187" w:lineRule="exact"/>
        <w:rPr>
          <w:sz w:val="20"/>
          <w:szCs w:val="20"/>
          <w:color w:val="auto"/>
        </w:rPr>
      </w:pPr>
    </w:p>
    <w:p>
      <w:pPr>
        <w:ind w:left="5260"/>
        <w:spacing w:after="0"/>
        <w:rPr>
          <w:sz w:val="20"/>
          <w:szCs w:val="20"/>
          <w:color w:val="auto"/>
        </w:rPr>
      </w:pPr>
      <w:r>
        <w:rPr>
          <w:rFonts w:ascii="Arial" w:cs="Arial" w:eastAsia="Arial" w:hAnsi="Arial"/>
          <w:sz w:val="20"/>
          <w:szCs w:val="20"/>
          <w:b w:val="1"/>
          <w:bCs w:val="1"/>
          <w:color w:val="auto"/>
        </w:rPr>
        <w:t>[Issuing Bank’s name]</w:t>
      </w:r>
    </w:p>
    <w:p>
      <w:pPr>
        <w:spacing w:after="0" w:line="330"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27305</wp:posOffset>
            </wp:positionV>
            <wp:extent cx="258889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34"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27305</wp:posOffset>
            </wp:positionV>
            <wp:extent cx="258889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4"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27305</wp:posOffset>
            </wp:positionV>
            <wp:extent cx="258889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C-2-2</w:t>
      </w:r>
    </w:p>
    <w:p>
      <w:pPr>
        <w:sectPr>
          <w:pgSz w:w="11900" w:h="16838" w:orient="portrait"/>
          <w:cols w:equalWidth="0" w:num="1">
            <w:col w:w="11240"/>
          </w:cols>
          <w:pgMar w:left="320" w:top="1427" w:right="339" w:bottom="1440" w:gutter="0" w:footer="0" w:header="0"/>
        </w:sectPr>
      </w:pPr>
    </w:p>
    <w:bookmarkStart w:id="574" w:name="page575"/>
    <w:bookmarkEnd w:id="574"/>
    <w:p>
      <w:pPr>
        <w:jc w:val="center"/>
        <w:ind w:right="-19"/>
        <w:spacing w:after="0"/>
        <w:rPr>
          <w:sz w:val="20"/>
          <w:szCs w:val="20"/>
          <w:color w:val="auto"/>
        </w:rPr>
      </w:pPr>
      <w:r>
        <w:rPr>
          <w:rFonts w:ascii="Arial" w:cs="Arial" w:eastAsia="Arial" w:hAnsi="Arial"/>
          <w:sz w:val="22"/>
          <w:szCs w:val="22"/>
          <w:b w:val="1"/>
          <w:bCs w:val="1"/>
          <w:color w:val="auto"/>
        </w:rPr>
        <w:t>Exhibit A to Exhibit C</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SIGHT DRAFT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Irrevocable Standby Letter of Credit No.</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Date of This Draft: ____________</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To:</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Name of Issuing Bank</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Irrevocable Standby Letter of Credit No. ____________</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To the order of ___________________________________</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Pay ________________________________($ _____________________)</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At Sight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For value received under Letter of Credit No. _____________________</w:t>
      </w:r>
    </w:p>
    <w:p>
      <w:pPr>
        <w:spacing w:after="0" w:line="16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Payment of the amount demanded is to be made to the Beneficiary by wire transfer in immediately available funds in accordance with the following instructions: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[Payment instructions to be inserted]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194310</wp:posOffset>
            </wp:positionV>
            <wp:extent cx="319722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27305</wp:posOffset>
            </wp:positionV>
            <wp:extent cx="258889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34"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27305</wp:posOffset>
            </wp:positionV>
            <wp:extent cx="258889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4"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27305</wp:posOffset>
            </wp:positionV>
            <wp:extent cx="258889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C-2-3</w:t>
      </w:r>
    </w:p>
    <w:p>
      <w:pPr>
        <w:sectPr>
          <w:pgSz w:w="11900" w:h="16838" w:orient="portrait"/>
          <w:cols w:equalWidth="0" w:num="1">
            <w:col w:w="11240"/>
          </w:cols>
          <w:pgMar w:left="320" w:top="1421" w:right="339" w:bottom="1440" w:gutter="0" w:footer="0" w:header="0"/>
        </w:sectPr>
      </w:pPr>
    </w:p>
    <w:bookmarkStart w:id="575" w:name="page576"/>
    <w:bookmarkEnd w:id="575"/>
    <w:p>
      <w:pPr>
        <w:jc w:val="center"/>
        <w:spacing w:after="0"/>
        <w:rPr>
          <w:sz w:val="20"/>
          <w:szCs w:val="20"/>
          <w:color w:val="auto"/>
        </w:rPr>
      </w:pPr>
      <w:r>
        <w:rPr>
          <w:rFonts w:ascii="Arial" w:cs="Arial" w:eastAsia="Arial" w:hAnsi="Arial"/>
          <w:sz w:val="22"/>
          <w:szCs w:val="22"/>
          <w:b w:val="1"/>
          <w:bCs w:val="1"/>
          <w:color w:val="auto"/>
        </w:rPr>
        <w:t>Exhibit B to Exhibit C</w:t>
      </w:r>
    </w:p>
    <w:p>
      <w:pPr>
        <w:spacing w:after="0" w:line="172" w:lineRule="exact"/>
        <w:rPr>
          <w:sz w:val="20"/>
          <w:szCs w:val="20"/>
          <w:color w:val="auto"/>
        </w:rPr>
      </w:pPr>
    </w:p>
    <w:p>
      <w:pPr>
        <w:ind w:left="3140"/>
        <w:spacing w:after="0"/>
        <w:rPr>
          <w:sz w:val="20"/>
          <w:szCs w:val="20"/>
          <w:color w:val="auto"/>
        </w:rPr>
      </w:pPr>
      <w:r>
        <w:rPr>
          <w:rFonts w:ascii="Arial" w:cs="Arial" w:eastAsia="Arial" w:hAnsi="Arial"/>
          <w:sz w:val="22"/>
          <w:szCs w:val="22"/>
          <w:color w:val="auto"/>
        </w:rPr>
        <w:t>Irrevocable Standby Letter of Credit No. _____________</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Date: ________________</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To:</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Name of Issuing Bank Address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Irrevocable Standby Letter of Credit No. ______________</w:t>
      </w:r>
    </w:p>
    <w:p>
      <w:pPr>
        <w:spacing w:after="0" w:line="166" w:lineRule="exact"/>
        <w:rPr>
          <w:sz w:val="20"/>
          <w:szCs w:val="20"/>
          <w:color w:val="auto"/>
        </w:rPr>
      </w:pPr>
    </w:p>
    <w:p>
      <w:pPr>
        <w:spacing w:after="0" w:line="291" w:lineRule="auto"/>
        <w:rPr>
          <w:sz w:val="20"/>
          <w:szCs w:val="20"/>
          <w:color w:val="auto"/>
        </w:rPr>
      </w:pPr>
      <w:r>
        <w:rPr>
          <w:rFonts w:ascii="Arial" w:cs="Arial" w:eastAsia="Arial" w:hAnsi="Arial"/>
          <w:sz w:val="19"/>
          <w:szCs w:val="19"/>
          <w:color w:val="auto"/>
        </w:rPr>
        <w:t>The undersigned, a duly authorized official of TWITTER, INC., a Delaware corporation, (hereinafter referred to as “</w:t>
      </w:r>
      <w:r>
        <w:rPr>
          <w:rFonts w:ascii="Arial" w:cs="Arial" w:eastAsia="Arial" w:hAnsi="Arial"/>
          <w:sz w:val="19"/>
          <w:szCs w:val="19"/>
          <w:b w:val="1"/>
          <w:bCs w:val="1"/>
          <w:color w:val="auto"/>
        </w:rPr>
        <w:t>Sublandlord</w:t>
      </w:r>
      <w:r>
        <w:rPr>
          <w:rFonts w:ascii="Arial" w:cs="Arial" w:eastAsia="Arial" w:hAnsi="Arial"/>
          <w:sz w:val="19"/>
          <w:szCs w:val="19"/>
          <w:color w:val="auto"/>
        </w:rPr>
        <w:t>”), hereby certifies that Sublandlord is entitled to draw upon Irrevocable Standby Letter of Credit No.______in the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amount of $ _____________ </w:t>
      </w:r>
      <w:r>
        <w:rPr>
          <w:rFonts w:ascii="Arial" w:cs="Arial" w:eastAsia="Arial" w:hAnsi="Arial"/>
          <w:sz w:val="19"/>
          <w:szCs w:val="19"/>
          <w:b w:val="1"/>
          <w:bCs w:val="1"/>
          <w:color w:val="auto"/>
        </w:rPr>
        <w:t>[amount in words U.S. Dollars]</w:t>
      </w:r>
      <w:r>
        <w:rPr>
          <w:rFonts w:ascii="Arial" w:cs="Arial" w:eastAsia="Arial" w:hAnsi="Arial"/>
          <w:sz w:val="19"/>
          <w:szCs w:val="19"/>
          <w:color w:val="auto"/>
        </w:rPr>
        <w:t xml:space="preserve"> as we have been notified that the Letter of Credit will not be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extended and ____________ has not provided us with an acceptable substitute irrevocable standby letter of credit in accordance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with the terms of that certain Sublease dated as of __________, ____ by and between Sublandlord and _____________, as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Subtenant.</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Drawn under Irrevocable Standby Letter of Credit No.__________ issued by _______________ </w:t>
      </w:r>
      <w:r>
        <w:rPr>
          <w:rFonts w:ascii="Arial" w:cs="Arial" w:eastAsia="Arial" w:hAnsi="Arial"/>
          <w:sz w:val="19"/>
          <w:szCs w:val="19"/>
          <w:b w:val="1"/>
          <w:bCs w:val="1"/>
          <w:color w:val="auto"/>
        </w:rPr>
        <w:t>[name of Issuing Bank].</w:t>
      </w:r>
    </w:p>
    <w:p>
      <w:pPr>
        <w:spacing w:after="0" w:line="20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Payment of the amount demanded is to be made to the Beneficiary by wire transfer in immediately available funds in accordance with the following instructions: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[Payment instructions to be inserted]</w:t>
      </w:r>
    </w:p>
    <w:p>
      <w:pPr>
        <w:spacing w:after="0" w:line="310" w:lineRule="exact"/>
        <w:rPr>
          <w:sz w:val="20"/>
          <w:szCs w:val="20"/>
          <w:color w:val="auto"/>
        </w:rPr>
      </w:pPr>
    </w:p>
    <w:p>
      <w:pPr>
        <w:ind w:left="5260"/>
        <w:spacing w:after="0"/>
        <w:rPr>
          <w:sz w:val="20"/>
          <w:szCs w:val="20"/>
          <w:color w:val="auto"/>
        </w:rPr>
      </w:pPr>
      <w:r>
        <w:rPr>
          <w:rFonts w:ascii="Arial" w:cs="Arial" w:eastAsia="Arial" w:hAnsi="Arial"/>
          <w:sz w:val="20"/>
          <w:szCs w:val="20"/>
          <w:b w:val="1"/>
          <w:bCs w:val="1"/>
          <w:color w:val="auto"/>
        </w:rPr>
        <w:t>[Beneficiary’s name]</w:t>
      </w:r>
    </w:p>
    <w:p>
      <w:pPr>
        <w:spacing w:after="0" w:line="330"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27305</wp:posOffset>
            </wp:positionV>
            <wp:extent cx="258889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4"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27305</wp:posOffset>
            </wp:positionV>
            <wp:extent cx="258889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34"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27305</wp:posOffset>
            </wp:positionV>
            <wp:extent cx="258889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C-2-4</w:t>
      </w:r>
    </w:p>
    <w:p>
      <w:pPr>
        <w:sectPr>
          <w:pgSz w:w="11900" w:h="16838" w:orient="portrait"/>
          <w:cols w:equalWidth="0" w:num="1">
            <w:col w:w="11240"/>
          </w:cols>
          <w:pgMar w:left="320" w:top="1421" w:right="339" w:bottom="1440" w:gutter="0" w:footer="0" w:header="0"/>
        </w:sectPr>
      </w:pPr>
    </w:p>
    <w:bookmarkStart w:id="576" w:name="page577"/>
    <w:bookmarkEnd w:id="576"/>
    <w:p>
      <w:pPr>
        <w:jc w:val="center"/>
        <w:spacing w:after="0"/>
        <w:rPr>
          <w:sz w:val="20"/>
          <w:szCs w:val="20"/>
          <w:color w:val="auto"/>
        </w:rPr>
      </w:pPr>
      <w:r>
        <w:rPr>
          <w:rFonts w:ascii="Arial" w:cs="Arial" w:eastAsia="Arial" w:hAnsi="Arial"/>
          <w:sz w:val="22"/>
          <w:szCs w:val="22"/>
          <w:b w:val="1"/>
          <w:bCs w:val="1"/>
          <w:color w:val="auto"/>
        </w:rPr>
        <w:t>Exhibit C to Exhibit C</w:t>
      </w:r>
    </w:p>
    <w:p>
      <w:pPr>
        <w:spacing w:after="0" w:line="172" w:lineRule="exact"/>
        <w:rPr>
          <w:sz w:val="20"/>
          <w:szCs w:val="20"/>
          <w:color w:val="auto"/>
        </w:rPr>
      </w:pPr>
    </w:p>
    <w:p>
      <w:pPr>
        <w:ind w:left="3300"/>
        <w:spacing w:after="0"/>
        <w:rPr>
          <w:sz w:val="20"/>
          <w:szCs w:val="20"/>
          <w:color w:val="auto"/>
        </w:rPr>
      </w:pPr>
      <w:r>
        <w:rPr>
          <w:rFonts w:ascii="Arial" w:cs="Arial" w:eastAsia="Arial" w:hAnsi="Arial"/>
          <w:sz w:val="22"/>
          <w:szCs w:val="22"/>
          <w:color w:val="auto"/>
        </w:rPr>
        <w:t>Irrevocable Standby Letter of Credit No. __________</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Date: ________________</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To:</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Name of Issuing Bank</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Irrevocable Standby Letter of Credit No. _____________</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For value received, the undersigned Beneficiary hereby irrevocably transfers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327469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(Name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327469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327469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680"/>
        <w:spacing w:after="0"/>
        <w:rPr>
          <w:sz w:val="20"/>
          <w:szCs w:val="20"/>
          <w:color w:val="auto"/>
        </w:rPr>
      </w:pPr>
      <w:r>
        <w:rPr>
          <w:rFonts w:ascii="Arial" w:cs="Arial" w:eastAsia="Arial" w:hAnsi="Arial"/>
          <w:sz w:val="20"/>
          <w:szCs w:val="20"/>
          <w:color w:val="auto"/>
        </w:rPr>
        <w:t>(City, State, Zip Code)</w:t>
      </w:r>
    </w:p>
    <w:p>
      <w:pPr>
        <w:spacing w:after="0" w:line="29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All rights of the undersigned beneficiary to draw under the above Letter of Credit up to its available amount as shown above as of the date of this transfer.</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By this transfer, all rights of the undersigned Beneficiary in such Letter of Credit are transferred to the Transferee and the Transferee shall have the sole rights as Beneficiary thereof, including sole rights relating to any amendments whether increases or extensions or other amendments and whether now existing or hereafter made. All amendments are to be advised direct to the Transferee without necessity of any consent of or notice to the undersigned Beneficiary.</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original of such Letter of Credit is returned herewith, and we ask you to endorse the transfer on the reverse thereof, and forward it directly to the Transferee with your customary Notice of Transfer.</w:t>
      </w:r>
    </w:p>
    <w:p>
      <w:pPr>
        <w:spacing w:after="0" w:line="166"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Very truly yours,</w:t>
      </w:r>
    </w:p>
    <w:p>
      <w:pPr>
        <w:spacing w:after="0" w:line="304" w:lineRule="exact"/>
        <w:rPr>
          <w:sz w:val="20"/>
          <w:szCs w:val="20"/>
          <w:color w:val="auto"/>
        </w:rPr>
      </w:pPr>
    </w:p>
    <w:p>
      <w:pPr>
        <w:ind w:left="5260"/>
        <w:spacing w:after="0"/>
        <w:rPr>
          <w:sz w:val="20"/>
          <w:szCs w:val="20"/>
          <w:color w:val="auto"/>
        </w:rPr>
      </w:pPr>
      <w:r>
        <w:rPr>
          <w:rFonts w:ascii="Arial" w:cs="Arial" w:eastAsia="Arial" w:hAnsi="Arial"/>
          <w:sz w:val="20"/>
          <w:szCs w:val="20"/>
          <w:b w:val="1"/>
          <w:bCs w:val="1"/>
          <w:color w:val="auto"/>
        </w:rPr>
        <w:t>[Beneficiary’s name]</w:t>
      </w:r>
    </w:p>
    <w:p>
      <w:pPr>
        <w:spacing w:after="0" w:line="330"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27305</wp:posOffset>
            </wp:positionV>
            <wp:extent cx="258889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4"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27305</wp:posOffset>
            </wp:positionV>
            <wp:extent cx="258889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34"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27305</wp:posOffset>
            </wp:positionV>
            <wp:extent cx="258889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C-2-5</w:t>
      </w:r>
    </w:p>
    <w:p>
      <w:pPr>
        <w:sectPr>
          <w:pgSz w:w="11900" w:h="16838" w:orient="portrait"/>
          <w:cols w:equalWidth="0" w:num="1">
            <w:col w:w="11240"/>
          </w:cols>
          <w:pgMar w:left="320" w:top="1421" w:right="339" w:bottom="1440" w:gutter="0" w:footer="0" w:header="0"/>
          <w:type w:val="continuous"/>
        </w:sectPr>
      </w:pPr>
    </w:p>
    <w:bookmarkStart w:id="577" w:name="page578"/>
    <w:bookmarkEnd w:id="577"/>
    <w:p>
      <w:pPr>
        <w:spacing w:after="0"/>
        <w:rPr>
          <w:sz w:val="20"/>
          <w:szCs w:val="20"/>
          <w:color w:val="auto"/>
        </w:rPr>
      </w:pPr>
      <w:r>
        <w:rPr>
          <w:rFonts w:ascii="Arial" w:cs="Arial" w:eastAsia="Arial" w:hAnsi="Arial"/>
          <w:sz w:val="19"/>
          <w:szCs w:val="19"/>
          <w:color w:val="auto"/>
        </w:rPr>
        <w:t>The above signature with title as stated conforms to that on file with us and is authorized for the execution of said instruments.</w:t>
      </w:r>
    </w:p>
    <w:p>
      <w:pPr>
        <w:sectPr>
          <w:pgSz w:w="11900" w:h="16838" w:orient="portrait"/>
          <w:cols w:equalWidth="0" w:num="1">
            <w:col w:w="10940"/>
          </w:cols>
          <w:pgMar w:left="320" w:top="1427" w:right="639" w:bottom="1440" w:gutter="0" w:footer="0" w:header="0"/>
        </w:sectPr>
      </w:pPr>
    </w:p>
    <w:p>
      <w:pPr>
        <w:spacing w:after="0" w:line="23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[Name of Authenticating Bank]</w:t>
      </w:r>
    </w:p>
    <w:p>
      <w:pPr>
        <w:spacing w:after="0" w:line="353"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27305</wp:posOffset>
            </wp:positionV>
            <wp:extent cx="258889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34"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27305</wp:posOffset>
            </wp:positionV>
            <wp:extent cx="258889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34925</wp:posOffset>
            </wp:positionV>
            <wp:extent cx="258889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C-2-6</w:t>
      </w:r>
    </w:p>
    <w:p>
      <w:pPr>
        <w:sectPr>
          <w:pgSz w:w="11900" w:h="16838" w:orient="portrait"/>
          <w:cols w:equalWidth="0" w:num="1">
            <w:col w:w="10940"/>
          </w:cols>
          <w:pgMar w:left="320" w:top="1427" w:right="639" w:bottom="1440" w:gutter="0" w:footer="0" w:header="0"/>
          <w:type w:val="continuous"/>
        </w:sectPr>
      </w:pPr>
    </w:p>
    <w:bookmarkStart w:id="578" w:name="page579"/>
    <w:bookmarkEnd w:id="578"/>
    <w:p>
      <w:pPr>
        <w:jc w:val="center"/>
        <w:spacing w:after="0"/>
        <w:rPr>
          <w:sz w:val="20"/>
          <w:szCs w:val="20"/>
          <w:color w:val="auto"/>
        </w:rPr>
      </w:pPr>
      <w:r>
        <w:rPr>
          <w:rFonts w:ascii="Arial" w:cs="Arial" w:eastAsia="Arial" w:hAnsi="Arial"/>
          <w:sz w:val="22"/>
          <w:szCs w:val="22"/>
          <w:b w:val="1"/>
          <w:bCs w:val="1"/>
          <w:u w:val="single" w:color="auto"/>
          <w:color w:val="auto"/>
        </w:rPr>
        <w:t>EXHIBIT 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Janitorial Specifications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D-1</w:t>
      </w:r>
    </w:p>
    <w:p>
      <w:pPr>
        <w:sectPr>
          <w:pgSz w:w="11900" w:h="16838" w:orient="portrait"/>
          <w:cols w:equalWidth="0" w:num="1">
            <w:col w:w="9019"/>
          </w:cols>
          <w:pgMar w:left="1440" w:top="1421" w:right="1440" w:bottom="1440" w:gutter="0" w:footer="0" w:header="0"/>
        </w:sectPr>
      </w:pPr>
    </w:p>
    <w:bookmarkStart w:id="579" w:name="page580"/>
    <w:bookmarkEnd w:id="579"/>
    <w:p>
      <w:pPr>
        <w:jc w:val="center"/>
        <w:spacing w:after="0"/>
        <w:rPr>
          <w:sz w:val="20"/>
          <w:szCs w:val="20"/>
          <w:color w:val="auto"/>
        </w:rPr>
      </w:pPr>
      <w:r>
        <w:rPr>
          <w:rFonts w:ascii="Arial" w:cs="Arial" w:eastAsia="Arial" w:hAnsi="Arial"/>
          <w:sz w:val="22"/>
          <w:szCs w:val="22"/>
          <w:b w:val="1"/>
          <w:bCs w:val="1"/>
          <w:u w:val="single" w:color="auto"/>
          <w:color w:val="auto"/>
        </w:rPr>
        <w:t>EXHIBIT 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Rules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E-1</w:t>
      </w:r>
    </w:p>
    <w:p>
      <w:pPr>
        <w:sectPr>
          <w:pgSz w:w="11900" w:h="16838" w:orient="portrait"/>
          <w:cols w:equalWidth="0" w:num="1">
            <w:col w:w="9019"/>
          </w:cols>
          <w:pgMar w:left="1440" w:top="1421" w:right="1440" w:bottom="1440" w:gutter="0" w:footer="0" w:header="0"/>
        </w:sectPr>
      </w:pPr>
    </w:p>
    <w:bookmarkStart w:id="580" w:name="page581"/>
    <w:bookmarkEnd w:id="580"/>
    <w:p>
      <w:pPr>
        <w:jc w:val="center"/>
        <w:ind w:right="19"/>
        <w:spacing w:after="0"/>
        <w:rPr>
          <w:sz w:val="20"/>
          <w:szCs w:val="20"/>
          <w:color w:val="auto"/>
        </w:rPr>
      </w:pPr>
      <w:r>
        <w:rPr>
          <w:rFonts w:ascii="Arial" w:cs="Arial" w:eastAsia="Arial" w:hAnsi="Arial"/>
          <w:sz w:val="22"/>
          <w:szCs w:val="22"/>
          <w:b w:val="1"/>
          <w:bCs w:val="1"/>
          <w:u w:val="single" w:color="auto"/>
          <w:color w:val="auto"/>
        </w:rPr>
        <w:t>EXHIBIT F</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u w:val="single" w:color="auto"/>
          <w:color w:val="auto"/>
        </w:rPr>
        <w:t>Furniture 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w:t>
      </w:r>
    </w:p>
    <w:p>
      <w:pPr>
        <w:sectPr>
          <w:pgSz w:w="11900" w:h="16838" w:orient="portrait"/>
          <w:cols w:equalWidth="0" w:num="1">
            <w:col w:w="9019"/>
          </w:cols>
          <w:pgMar w:left="1440" w:top="1421" w:right="1440" w:bottom="1440" w:gutter="0" w:footer="0" w:header="0"/>
        </w:sectPr>
      </w:pPr>
    </w:p>
    <w:bookmarkStart w:id="581" w:name="page582"/>
    <w:bookmarkEnd w:id="581"/>
    <w:p>
      <w:pPr>
        <w:jc w:val="right"/>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A0A0A"/>
        </w:rPr>
        <w:t>FIRST AMENDMENT TO SUBLEASE</w:t>
      </w:r>
    </w:p>
    <w:p>
      <w:pPr>
        <w:spacing w:after="0" w:line="16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0A0A0A"/>
        </w:rPr>
        <w:t xml:space="preserve">THIS FIRST AMENDMENT TO SUBLEASE </w:t>
      </w:r>
      <w:r>
        <w:rPr>
          <w:rFonts w:ascii="Arial" w:cs="Arial" w:eastAsia="Arial" w:hAnsi="Arial"/>
          <w:sz w:val="20"/>
          <w:szCs w:val="20"/>
          <w:color w:val="0A0A0A"/>
        </w:rPr>
        <w:t>(</w:t>
      </w:r>
      <w:r>
        <w:rPr>
          <w:rFonts w:ascii="Arial" w:cs="Arial" w:eastAsia="Arial" w:hAnsi="Arial"/>
          <w:sz w:val="20"/>
          <w:szCs w:val="20"/>
          <w:color w:val="000000"/>
        </w:rPr>
        <w:t>“</w:t>
      </w:r>
      <w:r>
        <w:rPr>
          <w:rFonts w:ascii="Arial" w:cs="Arial" w:eastAsia="Arial" w:hAnsi="Arial"/>
          <w:sz w:val="20"/>
          <w:szCs w:val="20"/>
          <w:b w:val="1"/>
          <w:bCs w:val="1"/>
          <w:color w:val="0A0A0A"/>
        </w:rPr>
        <w:t>First Amendment</w:t>
      </w:r>
      <w:r>
        <w:rPr>
          <w:rFonts w:ascii="Arial" w:cs="Arial" w:eastAsia="Arial" w:hAnsi="Arial"/>
          <w:sz w:val="20"/>
          <w:szCs w:val="20"/>
          <w:color w:val="000000"/>
        </w:rPr>
        <w:t>”</w:t>
      </w:r>
      <w:r>
        <w:rPr>
          <w:rFonts w:ascii="Arial" w:cs="Arial" w:eastAsia="Arial" w:hAnsi="Arial"/>
          <w:sz w:val="20"/>
          <w:szCs w:val="20"/>
          <w:color w:val="0A0A0A"/>
        </w:rPr>
        <w:t>) is entered into as of May 23, 2018 (the</w:t>
      </w:r>
      <w:r>
        <w:rPr>
          <w:rFonts w:ascii="Arial" w:cs="Arial" w:eastAsia="Arial" w:hAnsi="Arial"/>
          <w:sz w:val="20"/>
          <w:szCs w:val="20"/>
          <w:b w:val="1"/>
          <w:bCs w:val="1"/>
          <w:color w:val="0A0A0A"/>
        </w:rPr>
        <w:t xml:space="preserve"> </w:t>
      </w:r>
      <w:r>
        <w:rPr>
          <w:rFonts w:ascii="Arial" w:cs="Arial" w:eastAsia="Arial" w:hAnsi="Arial"/>
          <w:sz w:val="20"/>
          <w:szCs w:val="20"/>
          <w:color w:val="000000"/>
        </w:rPr>
        <w:t>“</w:t>
      </w:r>
      <w:r>
        <w:rPr>
          <w:rFonts w:ascii="Arial" w:cs="Arial" w:eastAsia="Arial" w:hAnsi="Arial"/>
          <w:sz w:val="20"/>
          <w:szCs w:val="20"/>
          <w:b w:val="1"/>
          <w:bCs w:val="1"/>
          <w:color w:val="0A0A0A"/>
        </w:rPr>
        <w:t>First Amendment Effective Date</w:t>
      </w:r>
      <w:r>
        <w:rPr>
          <w:rFonts w:ascii="Arial" w:cs="Arial" w:eastAsia="Arial" w:hAnsi="Arial"/>
          <w:sz w:val="20"/>
          <w:szCs w:val="20"/>
          <w:color w:val="000000"/>
        </w:rPr>
        <w:t>”</w:t>
      </w:r>
      <w:r>
        <w:rPr>
          <w:rFonts w:ascii="Arial" w:cs="Arial" w:eastAsia="Arial" w:hAnsi="Arial"/>
          <w:sz w:val="20"/>
          <w:szCs w:val="20"/>
          <w:color w:val="0A0A0A"/>
        </w:rPr>
        <w:t>), by and between</w:t>
      </w:r>
      <w:r>
        <w:rPr>
          <w:rFonts w:ascii="Arial" w:cs="Arial" w:eastAsia="Arial" w:hAnsi="Arial"/>
          <w:sz w:val="20"/>
          <w:szCs w:val="20"/>
          <w:b w:val="1"/>
          <w:bCs w:val="1"/>
          <w:color w:val="0A0A0A"/>
        </w:rPr>
        <w:t xml:space="preserve"> TWITTER, INC., </w:t>
      </w:r>
      <w:r>
        <w:rPr>
          <w:rFonts w:ascii="Arial" w:cs="Arial" w:eastAsia="Arial" w:hAnsi="Arial"/>
          <w:sz w:val="20"/>
          <w:szCs w:val="20"/>
          <w:color w:val="0A0A0A"/>
        </w:rPr>
        <w:t>a Delaware corporation (</w:t>
      </w:r>
      <w:r>
        <w:rPr>
          <w:rFonts w:ascii="Arial" w:cs="Arial" w:eastAsia="Arial" w:hAnsi="Arial"/>
          <w:sz w:val="20"/>
          <w:szCs w:val="20"/>
          <w:color w:val="000000"/>
        </w:rPr>
        <w:t>“</w:t>
      </w:r>
      <w:r>
        <w:rPr>
          <w:rFonts w:ascii="Arial" w:cs="Arial" w:eastAsia="Arial" w:hAnsi="Arial"/>
          <w:sz w:val="20"/>
          <w:szCs w:val="20"/>
          <w:b w:val="1"/>
          <w:bCs w:val="1"/>
          <w:color w:val="0A0A0A"/>
        </w:rPr>
        <w:t>Sublandlord</w:t>
      </w:r>
      <w:r>
        <w:rPr>
          <w:rFonts w:ascii="Arial" w:cs="Arial" w:eastAsia="Arial" w:hAnsi="Arial"/>
          <w:sz w:val="20"/>
          <w:szCs w:val="20"/>
          <w:color w:val="000000"/>
        </w:rPr>
        <w:t>”</w:t>
      </w:r>
      <w:r>
        <w:rPr>
          <w:rFonts w:ascii="Arial" w:cs="Arial" w:eastAsia="Arial" w:hAnsi="Arial"/>
          <w:sz w:val="20"/>
          <w:szCs w:val="20"/>
          <w:color w:val="0A0A0A"/>
        </w:rPr>
        <w:t>)</w:t>
      </w:r>
      <w:r>
        <w:rPr>
          <w:rFonts w:ascii="Arial" w:cs="Arial" w:eastAsia="Arial" w:hAnsi="Arial"/>
          <w:sz w:val="20"/>
          <w:szCs w:val="20"/>
          <w:color w:val="1D1D1D"/>
        </w:rPr>
        <w:t>,</w:t>
      </w:r>
      <w:r>
        <w:rPr>
          <w:rFonts w:ascii="Arial" w:cs="Arial" w:eastAsia="Arial" w:hAnsi="Arial"/>
          <w:sz w:val="20"/>
          <w:szCs w:val="20"/>
          <w:b w:val="1"/>
          <w:bCs w:val="1"/>
          <w:color w:val="0A0A0A"/>
        </w:rPr>
        <w:t xml:space="preserve"> </w:t>
      </w:r>
      <w:r>
        <w:rPr>
          <w:rFonts w:ascii="Arial" w:cs="Arial" w:eastAsia="Arial" w:hAnsi="Arial"/>
          <w:sz w:val="20"/>
          <w:szCs w:val="20"/>
          <w:color w:val="0A0A0A"/>
        </w:rPr>
        <w:t>and</w:t>
      </w:r>
      <w:r>
        <w:rPr>
          <w:rFonts w:ascii="Arial" w:cs="Arial" w:eastAsia="Arial" w:hAnsi="Arial"/>
          <w:sz w:val="20"/>
          <w:szCs w:val="20"/>
          <w:b w:val="1"/>
          <w:bCs w:val="1"/>
          <w:color w:val="0A0A0A"/>
        </w:rPr>
        <w:t xml:space="preserve"> NERDWALLET, INC.</w:t>
      </w:r>
      <w:r>
        <w:rPr>
          <w:rFonts w:ascii="Arial" w:cs="Arial" w:eastAsia="Arial" w:hAnsi="Arial"/>
          <w:sz w:val="20"/>
          <w:szCs w:val="20"/>
          <w:b w:val="1"/>
          <w:bCs w:val="1"/>
          <w:color w:val="1D1D1D"/>
        </w:rPr>
        <w:t>,</w:t>
      </w:r>
      <w:r>
        <w:rPr>
          <w:rFonts w:ascii="Arial" w:cs="Arial" w:eastAsia="Arial" w:hAnsi="Arial"/>
          <w:sz w:val="20"/>
          <w:szCs w:val="20"/>
          <w:b w:val="1"/>
          <w:bCs w:val="1"/>
          <w:color w:val="0A0A0A"/>
        </w:rPr>
        <w:t xml:space="preserve"> </w:t>
      </w:r>
      <w:r>
        <w:rPr>
          <w:rFonts w:ascii="Arial" w:cs="Arial" w:eastAsia="Arial" w:hAnsi="Arial"/>
          <w:sz w:val="20"/>
          <w:szCs w:val="20"/>
          <w:color w:val="0A0A0A"/>
        </w:rPr>
        <w:t>a Delaware</w:t>
      </w:r>
      <w:r>
        <w:rPr>
          <w:rFonts w:ascii="Arial" w:cs="Arial" w:eastAsia="Arial" w:hAnsi="Arial"/>
          <w:sz w:val="20"/>
          <w:szCs w:val="20"/>
          <w:b w:val="1"/>
          <w:bCs w:val="1"/>
          <w:color w:val="0A0A0A"/>
        </w:rPr>
        <w:t xml:space="preserve"> </w:t>
      </w:r>
      <w:r>
        <w:rPr>
          <w:rFonts w:ascii="Arial" w:cs="Arial" w:eastAsia="Arial" w:hAnsi="Arial"/>
          <w:sz w:val="20"/>
          <w:szCs w:val="20"/>
          <w:color w:val="0A0A0A"/>
        </w:rPr>
        <w:t>corporation (</w:t>
      </w:r>
      <w:r>
        <w:rPr>
          <w:rFonts w:ascii="Arial" w:cs="Arial" w:eastAsia="Arial" w:hAnsi="Arial"/>
          <w:sz w:val="20"/>
          <w:szCs w:val="20"/>
          <w:color w:val="000000"/>
        </w:rPr>
        <w:t>“</w:t>
      </w:r>
      <w:r>
        <w:rPr>
          <w:rFonts w:ascii="Arial" w:cs="Arial" w:eastAsia="Arial" w:hAnsi="Arial"/>
          <w:sz w:val="20"/>
          <w:szCs w:val="20"/>
          <w:b w:val="1"/>
          <w:bCs w:val="1"/>
          <w:color w:val="0A0A0A"/>
        </w:rPr>
        <w:t>Subtenant</w:t>
      </w:r>
      <w:r>
        <w:rPr>
          <w:rFonts w:ascii="Arial" w:cs="Arial" w:eastAsia="Arial" w:hAnsi="Arial"/>
          <w:sz w:val="20"/>
          <w:szCs w:val="20"/>
          <w:color w:val="000000"/>
        </w:rPr>
        <w:t>”</w:t>
      </w:r>
      <w:r>
        <w:rPr>
          <w:rFonts w:ascii="Arial" w:cs="Arial" w:eastAsia="Arial" w:hAnsi="Arial"/>
          <w:sz w:val="20"/>
          <w:szCs w:val="20"/>
          <w:color w:val="0A0A0A"/>
        </w:rPr>
        <w:t>)</w:t>
      </w:r>
      <w:r>
        <w:rPr>
          <w:rFonts w:ascii="Arial" w:cs="Arial" w:eastAsia="Arial" w:hAnsi="Arial"/>
          <w:sz w:val="20"/>
          <w:szCs w:val="20"/>
          <w:color w:val="1D1D1D"/>
        </w:rPr>
        <w:t>,</w:t>
      </w:r>
      <w:r>
        <w:rPr>
          <w:rFonts w:ascii="Arial" w:cs="Arial" w:eastAsia="Arial" w:hAnsi="Arial"/>
          <w:sz w:val="20"/>
          <w:szCs w:val="20"/>
          <w:color w:val="0A0A0A"/>
        </w:rPr>
        <w:t xml:space="preserve"> with reference to the following facts:</w:t>
      </w:r>
    </w:p>
    <w:p>
      <w:pPr>
        <w:spacing w:after="0" w:line="123" w:lineRule="exact"/>
        <w:rPr>
          <w:sz w:val="20"/>
          <w:szCs w:val="20"/>
          <w:color w:val="auto"/>
        </w:rPr>
      </w:pPr>
    </w:p>
    <w:p>
      <w:pPr>
        <w:ind w:left="660" w:hanging="652"/>
        <w:spacing w:after="0" w:line="248" w:lineRule="auto"/>
        <w:tabs>
          <w:tab w:leader="none" w:pos="529" w:val="left"/>
        </w:tabs>
        <w:numPr>
          <w:ilvl w:val="0"/>
          <w:numId w:val="553"/>
        </w:numPr>
        <w:rPr>
          <w:rFonts w:ascii="Arial" w:cs="Arial" w:eastAsia="Arial" w:hAnsi="Arial"/>
          <w:sz w:val="20"/>
          <w:szCs w:val="20"/>
          <w:color w:val="0A0A0A"/>
        </w:rPr>
      </w:pPr>
      <w:r>
        <w:rPr>
          <w:rFonts w:ascii="Arial" w:cs="Arial" w:eastAsia="Arial" w:hAnsi="Arial"/>
          <w:sz w:val="20"/>
          <w:szCs w:val="20"/>
          <w:color w:val="0A0A0A"/>
        </w:rPr>
        <w:t>Sublandlord and Subtenant are parties to that certain sublease dated as of October 16</w:t>
      </w:r>
      <w:r>
        <w:rPr>
          <w:rFonts w:ascii="Arial" w:cs="Arial" w:eastAsia="Arial" w:hAnsi="Arial"/>
          <w:sz w:val="20"/>
          <w:szCs w:val="20"/>
          <w:color w:val="1D1D1D"/>
        </w:rPr>
        <w:t>,</w:t>
      </w:r>
      <w:r>
        <w:rPr>
          <w:rFonts w:ascii="Arial" w:cs="Arial" w:eastAsia="Arial" w:hAnsi="Arial"/>
          <w:sz w:val="20"/>
          <w:szCs w:val="20"/>
          <w:color w:val="0A0A0A"/>
        </w:rPr>
        <w:t xml:space="preserve"> 2016 (the </w:t>
      </w:r>
      <w:r>
        <w:rPr>
          <w:rFonts w:ascii="Arial" w:cs="Arial" w:eastAsia="Arial" w:hAnsi="Arial"/>
          <w:sz w:val="20"/>
          <w:szCs w:val="20"/>
          <w:color w:val="000000"/>
        </w:rPr>
        <w:t>“</w:t>
      </w:r>
      <w:r>
        <w:rPr>
          <w:rFonts w:ascii="Arial" w:cs="Arial" w:eastAsia="Arial" w:hAnsi="Arial"/>
          <w:sz w:val="20"/>
          <w:szCs w:val="20"/>
          <w:b w:val="1"/>
          <w:bCs w:val="1"/>
          <w:color w:val="0A0A0A"/>
        </w:rPr>
        <w:t>Sublease</w:t>
      </w:r>
      <w:r>
        <w:rPr>
          <w:rFonts w:ascii="Arial" w:cs="Arial" w:eastAsia="Arial" w:hAnsi="Arial"/>
          <w:sz w:val="20"/>
          <w:szCs w:val="20"/>
          <w:color w:val="000000"/>
        </w:rPr>
        <w:t>”</w:t>
      </w:r>
      <w:r>
        <w:rPr>
          <w:rFonts w:ascii="Arial" w:cs="Arial" w:eastAsia="Arial" w:hAnsi="Arial"/>
          <w:sz w:val="20"/>
          <w:szCs w:val="20"/>
          <w:color w:val="0A0A0A"/>
        </w:rPr>
        <w:t xml:space="preserve">), pursuant to which Sublandlord subleases to Subtenant space (the </w:t>
      </w:r>
      <w:r>
        <w:rPr>
          <w:rFonts w:ascii="Arial" w:cs="Arial" w:eastAsia="Arial" w:hAnsi="Arial"/>
          <w:sz w:val="20"/>
          <w:szCs w:val="20"/>
          <w:color w:val="000000"/>
        </w:rPr>
        <w:t>“</w:t>
      </w:r>
      <w:r>
        <w:rPr>
          <w:rFonts w:ascii="Arial" w:cs="Arial" w:eastAsia="Arial" w:hAnsi="Arial"/>
          <w:sz w:val="20"/>
          <w:szCs w:val="20"/>
          <w:b w:val="1"/>
          <w:bCs w:val="1"/>
          <w:color w:val="0A0A0A"/>
        </w:rPr>
        <w:t>Subleased Premises</w:t>
      </w:r>
      <w:r>
        <w:rPr>
          <w:rFonts w:ascii="Arial" w:cs="Arial" w:eastAsia="Arial" w:hAnsi="Arial"/>
          <w:sz w:val="20"/>
          <w:szCs w:val="20"/>
          <w:color w:val="000000"/>
        </w:rPr>
        <w:t>”</w:t>
      </w:r>
      <w:r>
        <w:rPr>
          <w:rFonts w:ascii="Arial" w:cs="Arial" w:eastAsia="Arial" w:hAnsi="Arial"/>
          <w:sz w:val="20"/>
          <w:szCs w:val="20"/>
          <w:color w:val="0A0A0A"/>
        </w:rPr>
        <w:t>) currently containing 104,850 rentable square feet (</w:t>
      </w:r>
      <w:r>
        <w:rPr>
          <w:rFonts w:ascii="Arial" w:cs="Arial" w:eastAsia="Arial" w:hAnsi="Arial"/>
          <w:sz w:val="20"/>
          <w:szCs w:val="20"/>
          <w:color w:val="000000"/>
        </w:rPr>
        <w:t>“</w:t>
      </w:r>
      <w:r>
        <w:rPr>
          <w:rFonts w:ascii="Arial" w:cs="Arial" w:eastAsia="Arial" w:hAnsi="Arial"/>
          <w:sz w:val="20"/>
          <w:szCs w:val="20"/>
          <w:b w:val="1"/>
          <w:bCs w:val="1"/>
          <w:color w:val="0A0A0A"/>
        </w:rPr>
        <w:t>RSF</w:t>
      </w:r>
      <w:r>
        <w:rPr>
          <w:rFonts w:ascii="Arial" w:cs="Arial" w:eastAsia="Arial" w:hAnsi="Arial"/>
          <w:sz w:val="20"/>
          <w:szCs w:val="20"/>
          <w:color w:val="000000"/>
        </w:rPr>
        <w:t>”</w:t>
      </w:r>
      <w:r>
        <w:rPr>
          <w:rFonts w:ascii="Arial" w:cs="Arial" w:eastAsia="Arial" w:hAnsi="Arial"/>
          <w:sz w:val="20"/>
          <w:szCs w:val="20"/>
          <w:color w:val="0A0A0A"/>
        </w:rPr>
        <w:t xml:space="preserve">) comprised of the entire fourth (4th), fifth (5th) and sixth (6th) floors of the building located at 875 Stevenson Street (also known as One </w:t>
      </w:r>
      <w:r>
        <w:rPr>
          <w:rFonts w:ascii="Arial" w:cs="Arial" w:eastAsia="Arial" w:hAnsi="Arial"/>
          <w:sz w:val="20"/>
          <w:szCs w:val="20"/>
          <w:color w:val="1D1D1D"/>
        </w:rPr>
        <w:t>T</w:t>
      </w:r>
      <w:r>
        <w:rPr>
          <w:rFonts w:ascii="Arial" w:cs="Arial" w:eastAsia="Arial" w:hAnsi="Arial"/>
          <w:sz w:val="20"/>
          <w:szCs w:val="20"/>
          <w:color w:val="0A0A0A"/>
        </w:rPr>
        <w:t>enth Street)</w:t>
      </w:r>
      <w:r>
        <w:rPr>
          <w:rFonts w:ascii="Arial" w:cs="Arial" w:eastAsia="Arial" w:hAnsi="Arial"/>
          <w:sz w:val="20"/>
          <w:szCs w:val="20"/>
          <w:color w:val="1D1D1D"/>
        </w:rPr>
        <w:t>,</w:t>
      </w:r>
      <w:r>
        <w:rPr>
          <w:rFonts w:ascii="Arial" w:cs="Arial" w:eastAsia="Arial" w:hAnsi="Arial"/>
          <w:sz w:val="20"/>
          <w:szCs w:val="20"/>
          <w:color w:val="0A0A0A"/>
        </w:rPr>
        <w:t xml:space="preserve"> San Francisco, California (the </w:t>
      </w:r>
      <w:r>
        <w:rPr>
          <w:rFonts w:ascii="Arial" w:cs="Arial" w:eastAsia="Arial" w:hAnsi="Arial"/>
          <w:sz w:val="20"/>
          <w:szCs w:val="20"/>
          <w:color w:val="000000"/>
        </w:rPr>
        <w:t>“</w:t>
      </w:r>
      <w:r>
        <w:rPr>
          <w:rFonts w:ascii="Arial" w:cs="Arial" w:eastAsia="Arial" w:hAnsi="Arial"/>
          <w:sz w:val="20"/>
          <w:szCs w:val="20"/>
          <w:b w:val="1"/>
          <w:bCs w:val="1"/>
          <w:color w:val="0A0A0A"/>
        </w:rPr>
        <w:t>Building</w:t>
      </w:r>
      <w:r>
        <w:rPr>
          <w:rFonts w:ascii="Arial" w:cs="Arial" w:eastAsia="Arial" w:hAnsi="Arial"/>
          <w:sz w:val="20"/>
          <w:szCs w:val="20"/>
          <w:color w:val="000000"/>
        </w:rPr>
        <w:t>”</w:t>
      </w:r>
      <w:r>
        <w:rPr>
          <w:rFonts w:ascii="Arial" w:cs="Arial" w:eastAsia="Arial" w:hAnsi="Arial"/>
          <w:sz w:val="20"/>
          <w:szCs w:val="20"/>
          <w:color w:val="0A0A0A"/>
        </w:rPr>
        <w:t>).</w:t>
      </w:r>
    </w:p>
    <w:p>
      <w:pPr>
        <w:spacing w:after="0" w:line="135" w:lineRule="exact"/>
        <w:rPr>
          <w:rFonts w:ascii="Arial" w:cs="Arial" w:eastAsia="Arial" w:hAnsi="Arial"/>
          <w:sz w:val="20"/>
          <w:szCs w:val="20"/>
          <w:color w:val="0A0A0A"/>
        </w:rPr>
      </w:pPr>
    </w:p>
    <w:p>
      <w:pPr>
        <w:ind w:left="660" w:hanging="652"/>
        <w:spacing w:after="0" w:line="291" w:lineRule="auto"/>
        <w:tabs>
          <w:tab w:leader="none" w:pos="418" w:val="left"/>
        </w:tabs>
        <w:numPr>
          <w:ilvl w:val="0"/>
          <w:numId w:val="553"/>
        </w:numPr>
        <w:rPr>
          <w:rFonts w:ascii="Arial" w:cs="Arial" w:eastAsia="Arial" w:hAnsi="Arial"/>
          <w:sz w:val="18"/>
          <w:szCs w:val="18"/>
          <w:color w:val="0A0A0A"/>
        </w:rPr>
      </w:pPr>
      <w:r>
        <w:rPr>
          <w:rFonts w:ascii="Arial" w:cs="Arial" w:eastAsia="Arial" w:hAnsi="Arial"/>
          <w:sz w:val="18"/>
          <w:szCs w:val="18"/>
          <w:color w:val="0A0A0A"/>
        </w:rPr>
        <w:t xml:space="preserve">Subtenant desire to surrender a portion of the Premises to Sublandlord containing approximately 34,950 RSF on the sixth (6th) floor of the Building (the </w:t>
      </w:r>
      <w:r>
        <w:rPr>
          <w:rFonts w:ascii="Arial" w:cs="Arial" w:eastAsia="Arial" w:hAnsi="Arial"/>
          <w:sz w:val="18"/>
          <w:szCs w:val="18"/>
          <w:color w:val="000000"/>
        </w:rPr>
        <w:t>“</w:t>
      </w:r>
      <w:r>
        <w:rPr>
          <w:rFonts w:ascii="Arial" w:cs="Arial" w:eastAsia="Arial" w:hAnsi="Arial"/>
          <w:sz w:val="18"/>
          <w:szCs w:val="18"/>
          <w:b w:val="1"/>
          <w:bCs w:val="1"/>
          <w:color w:val="0A0A0A"/>
        </w:rPr>
        <w:t>Reduction Space</w:t>
      </w:r>
      <w:r>
        <w:rPr>
          <w:rFonts w:ascii="Arial" w:cs="Arial" w:eastAsia="Arial" w:hAnsi="Arial"/>
          <w:sz w:val="18"/>
          <w:szCs w:val="18"/>
          <w:color w:val="000000"/>
        </w:rPr>
        <w:t>”</w:t>
      </w:r>
      <w:r>
        <w:rPr>
          <w:rFonts w:ascii="Arial" w:cs="Arial" w:eastAsia="Arial" w:hAnsi="Arial"/>
          <w:sz w:val="18"/>
          <w:szCs w:val="18"/>
          <w:color w:val="0A0A0A"/>
        </w:rPr>
        <w:t>) (the Original Premises, less the Reduct</w:t>
      </w:r>
      <w:r>
        <w:rPr>
          <w:rFonts w:ascii="Arial" w:cs="Arial" w:eastAsia="Arial" w:hAnsi="Arial"/>
          <w:sz w:val="18"/>
          <w:szCs w:val="18"/>
          <w:color w:val="1D1D1D"/>
        </w:rPr>
        <w:t>i</w:t>
      </w:r>
      <w:r>
        <w:rPr>
          <w:rFonts w:ascii="Arial" w:cs="Arial" w:eastAsia="Arial" w:hAnsi="Arial"/>
          <w:sz w:val="18"/>
          <w:szCs w:val="18"/>
          <w:color w:val="0A0A0A"/>
        </w:rPr>
        <w:t>on Space</w:t>
      </w:r>
      <w:r>
        <w:rPr>
          <w:rFonts w:ascii="Arial" w:cs="Arial" w:eastAsia="Arial" w:hAnsi="Arial"/>
          <w:sz w:val="18"/>
          <w:szCs w:val="18"/>
          <w:color w:val="1D1D1D"/>
        </w:rPr>
        <w:t>,</w:t>
      </w:r>
      <w:r>
        <w:rPr>
          <w:rFonts w:ascii="Arial" w:cs="Arial" w:eastAsia="Arial" w:hAnsi="Arial"/>
          <w:sz w:val="18"/>
          <w:szCs w:val="18"/>
          <w:color w:val="0A0A0A"/>
        </w:rPr>
        <w:t xml:space="preserve"> is referred to herein as the </w:t>
      </w:r>
      <w:r>
        <w:rPr>
          <w:rFonts w:ascii="Arial" w:cs="Arial" w:eastAsia="Arial" w:hAnsi="Arial"/>
          <w:sz w:val="18"/>
          <w:szCs w:val="18"/>
          <w:color w:val="000000"/>
        </w:rPr>
        <w:t>“</w:t>
      </w:r>
      <w:r>
        <w:rPr>
          <w:rFonts w:ascii="Arial" w:cs="Arial" w:eastAsia="Arial" w:hAnsi="Arial"/>
          <w:sz w:val="18"/>
          <w:szCs w:val="18"/>
          <w:b w:val="1"/>
          <w:bCs w:val="1"/>
          <w:color w:val="0A0A0A"/>
        </w:rPr>
        <w:t>Remaining</w:t>
      </w:r>
      <w:r>
        <w:rPr>
          <w:rFonts w:ascii="Arial" w:cs="Arial" w:eastAsia="Arial" w:hAnsi="Arial"/>
          <w:sz w:val="18"/>
          <w:szCs w:val="18"/>
          <w:color w:val="0A0A0A"/>
        </w:rPr>
        <w:t xml:space="preserve"> </w:t>
      </w:r>
      <w:r>
        <w:rPr>
          <w:rFonts w:ascii="Arial" w:cs="Arial" w:eastAsia="Arial" w:hAnsi="Arial"/>
          <w:sz w:val="18"/>
          <w:szCs w:val="18"/>
          <w:b w:val="1"/>
          <w:bCs w:val="1"/>
          <w:color w:val="0A0A0A"/>
        </w:rPr>
        <w:t>Subleased Premises</w:t>
      </w:r>
      <w:r>
        <w:rPr>
          <w:rFonts w:ascii="Arial" w:cs="Arial" w:eastAsia="Arial" w:hAnsi="Arial"/>
          <w:sz w:val="18"/>
          <w:szCs w:val="18"/>
          <w:color w:val="000000"/>
        </w:rPr>
        <w:t>”</w:t>
      </w:r>
      <w:r>
        <w:rPr>
          <w:rFonts w:ascii="Arial" w:cs="Arial" w:eastAsia="Arial" w:hAnsi="Arial"/>
          <w:sz w:val="18"/>
          <w:szCs w:val="18"/>
          <w:color w:val="0A0A0A"/>
        </w:rPr>
        <w:t>), and Sublandlord is willing</w:t>
      </w:r>
      <w:r>
        <w:rPr>
          <w:rFonts w:ascii="Arial" w:cs="Arial" w:eastAsia="Arial" w:hAnsi="Arial"/>
          <w:sz w:val="18"/>
          <w:szCs w:val="18"/>
          <w:b w:val="1"/>
          <w:bCs w:val="1"/>
          <w:color w:val="0A0A0A"/>
        </w:rPr>
        <w:t xml:space="preserve"> </w:t>
      </w:r>
      <w:r>
        <w:rPr>
          <w:rFonts w:ascii="Arial" w:cs="Arial" w:eastAsia="Arial" w:hAnsi="Arial"/>
          <w:sz w:val="18"/>
          <w:szCs w:val="18"/>
          <w:color w:val="1D1D1D"/>
        </w:rPr>
        <w:t>t</w:t>
      </w:r>
      <w:r>
        <w:rPr>
          <w:rFonts w:ascii="Arial" w:cs="Arial" w:eastAsia="Arial" w:hAnsi="Arial"/>
          <w:sz w:val="18"/>
          <w:szCs w:val="18"/>
          <w:color w:val="0A0A0A"/>
        </w:rPr>
        <w:t>o accept</w:t>
      </w:r>
      <w:r>
        <w:rPr>
          <w:rFonts w:ascii="Arial" w:cs="Arial" w:eastAsia="Arial" w:hAnsi="Arial"/>
          <w:sz w:val="18"/>
          <w:szCs w:val="18"/>
          <w:b w:val="1"/>
          <w:bCs w:val="1"/>
          <w:color w:val="0A0A0A"/>
        </w:rPr>
        <w:t xml:space="preserve"> </w:t>
      </w:r>
      <w:r>
        <w:rPr>
          <w:rFonts w:ascii="Arial" w:cs="Arial" w:eastAsia="Arial" w:hAnsi="Arial"/>
          <w:sz w:val="18"/>
          <w:szCs w:val="18"/>
          <w:color w:val="1D1D1D"/>
        </w:rPr>
        <w:t>s</w:t>
      </w:r>
      <w:r>
        <w:rPr>
          <w:rFonts w:ascii="Arial" w:cs="Arial" w:eastAsia="Arial" w:hAnsi="Arial"/>
          <w:sz w:val="18"/>
          <w:szCs w:val="18"/>
          <w:color w:val="0A0A0A"/>
        </w:rPr>
        <w:t>uch surrender on the following terms and conditions.</w:t>
      </w:r>
    </w:p>
    <w:p>
      <w:pPr>
        <w:spacing w:after="0" w:line="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0A0A0A"/>
        </w:rPr>
        <w:t>NOW, THEREFORE</w:t>
      </w:r>
      <w:r>
        <w:rPr>
          <w:rFonts w:ascii="Arial" w:cs="Arial" w:eastAsia="Arial" w:hAnsi="Arial"/>
          <w:sz w:val="20"/>
          <w:szCs w:val="20"/>
          <w:color w:val="0A0A0A"/>
        </w:rPr>
        <w:t>, in consideration of the above recitals which by this reference are incorporated herein</w:t>
      </w:r>
      <w:r>
        <w:rPr>
          <w:rFonts w:ascii="Arial" w:cs="Arial" w:eastAsia="Arial" w:hAnsi="Arial"/>
          <w:sz w:val="20"/>
          <w:szCs w:val="20"/>
          <w:color w:val="1D1D1D"/>
        </w:rPr>
        <w:t>,</w:t>
      </w:r>
      <w:r>
        <w:rPr>
          <w:rFonts w:ascii="Arial" w:cs="Arial" w:eastAsia="Arial" w:hAnsi="Arial"/>
          <w:sz w:val="20"/>
          <w:szCs w:val="20"/>
          <w:b w:val="1"/>
          <w:bCs w:val="1"/>
          <w:color w:val="0A0A0A"/>
        </w:rPr>
        <w:t xml:space="preserve"> </w:t>
      </w:r>
      <w:r>
        <w:rPr>
          <w:rFonts w:ascii="Arial" w:cs="Arial" w:eastAsia="Arial" w:hAnsi="Arial"/>
          <w:sz w:val="20"/>
          <w:szCs w:val="20"/>
          <w:color w:val="0A0A0A"/>
        </w:rPr>
        <w:t>the mutual covenants</w:t>
      </w:r>
      <w:r>
        <w:rPr>
          <w:rFonts w:ascii="Arial" w:cs="Arial" w:eastAsia="Arial" w:hAnsi="Arial"/>
          <w:sz w:val="20"/>
          <w:szCs w:val="20"/>
          <w:b w:val="1"/>
          <w:bCs w:val="1"/>
          <w:color w:val="0A0A0A"/>
        </w:rPr>
        <w:t xml:space="preserve"> </w:t>
      </w:r>
      <w:r>
        <w:rPr>
          <w:rFonts w:ascii="Arial" w:cs="Arial" w:eastAsia="Arial" w:hAnsi="Arial"/>
          <w:sz w:val="20"/>
          <w:szCs w:val="20"/>
          <w:color w:val="0A0A0A"/>
        </w:rPr>
        <w:t>and conditions contained herein and other valuable consideration</w:t>
      </w:r>
      <w:r>
        <w:rPr>
          <w:rFonts w:ascii="Arial" w:cs="Arial" w:eastAsia="Arial" w:hAnsi="Arial"/>
          <w:sz w:val="20"/>
          <w:szCs w:val="20"/>
          <w:color w:val="1D1D1D"/>
        </w:rPr>
        <w:t>,</w:t>
      </w:r>
      <w:r>
        <w:rPr>
          <w:rFonts w:ascii="Arial" w:cs="Arial" w:eastAsia="Arial" w:hAnsi="Arial"/>
          <w:sz w:val="20"/>
          <w:szCs w:val="20"/>
          <w:color w:val="0A0A0A"/>
        </w:rPr>
        <w:t xml:space="preserve"> the receipt and sufficiency of which are hereby acknowledged, Sublandlord and Subtenant agree as follows:</w:t>
      </w:r>
    </w:p>
    <w:p>
      <w:pPr>
        <w:spacing w:after="0" w:line="123" w:lineRule="exact"/>
        <w:rPr>
          <w:sz w:val="20"/>
          <w:szCs w:val="20"/>
          <w:color w:val="auto"/>
        </w:rPr>
      </w:pPr>
    </w:p>
    <w:p>
      <w:pPr>
        <w:jc w:val="both"/>
        <w:ind w:firstLine="656"/>
        <w:spacing w:after="0" w:line="257" w:lineRule="auto"/>
        <w:tabs>
          <w:tab w:leader="none" w:pos="1062" w:val="left"/>
        </w:tabs>
        <w:numPr>
          <w:ilvl w:val="0"/>
          <w:numId w:val="554"/>
        </w:numPr>
        <w:rPr>
          <w:rFonts w:ascii="Arial" w:cs="Arial" w:eastAsia="Arial" w:hAnsi="Arial"/>
          <w:sz w:val="19"/>
          <w:szCs w:val="19"/>
          <w:color w:val="0A0A0A"/>
        </w:rPr>
      </w:pPr>
      <w:r>
        <w:rPr>
          <w:rFonts w:ascii="Arial" w:cs="Arial" w:eastAsia="Arial" w:hAnsi="Arial"/>
          <w:sz w:val="19"/>
          <w:szCs w:val="19"/>
          <w:b w:val="1"/>
          <w:bCs w:val="1"/>
          <w:u w:val="single" w:color="auto"/>
          <w:color w:val="0A0A0A"/>
        </w:rPr>
        <w:t>Reduction</w:t>
      </w:r>
      <w:r>
        <w:rPr>
          <w:rFonts w:ascii="Arial" w:cs="Arial" w:eastAsia="Arial" w:hAnsi="Arial"/>
          <w:sz w:val="19"/>
          <w:szCs w:val="19"/>
          <w:b w:val="1"/>
          <w:bCs w:val="1"/>
          <w:color w:val="0A0A0A"/>
        </w:rPr>
        <w:t xml:space="preserve">. </w:t>
      </w:r>
      <w:r>
        <w:rPr>
          <w:rFonts w:ascii="Arial" w:cs="Arial" w:eastAsia="Arial" w:hAnsi="Arial"/>
          <w:sz w:val="19"/>
          <w:szCs w:val="19"/>
          <w:color w:val="0A0A0A"/>
        </w:rPr>
        <w:t>Subtenant shall vacate the Reduction Space in accordance with the terms of the Sublease on or prior to May 31</w:t>
      </w:r>
      <w:r>
        <w:rPr>
          <w:rFonts w:ascii="Arial" w:cs="Arial" w:eastAsia="Arial" w:hAnsi="Arial"/>
          <w:sz w:val="19"/>
          <w:szCs w:val="19"/>
          <w:color w:val="1D1D1D"/>
        </w:rPr>
        <w:t>,</w:t>
      </w:r>
      <w:r>
        <w:rPr>
          <w:rFonts w:ascii="Arial" w:cs="Arial" w:eastAsia="Arial" w:hAnsi="Arial"/>
          <w:sz w:val="19"/>
          <w:szCs w:val="19"/>
          <w:b w:val="1"/>
          <w:bCs w:val="1"/>
          <w:color w:val="0A0A0A"/>
        </w:rPr>
        <w:t xml:space="preserve"> </w:t>
      </w:r>
      <w:r>
        <w:rPr>
          <w:rFonts w:ascii="Arial" w:cs="Arial" w:eastAsia="Arial" w:hAnsi="Arial"/>
          <w:sz w:val="19"/>
          <w:szCs w:val="19"/>
          <w:color w:val="0A0A0A"/>
        </w:rPr>
        <w:t xml:space="preserve">2018 (the </w:t>
      </w:r>
      <w:r>
        <w:rPr>
          <w:rFonts w:ascii="Arial" w:cs="Arial" w:eastAsia="Arial" w:hAnsi="Arial"/>
          <w:sz w:val="19"/>
          <w:szCs w:val="19"/>
          <w:color w:val="000000"/>
        </w:rPr>
        <w:t>“</w:t>
      </w:r>
      <w:r>
        <w:rPr>
          <w:rFonts w:ascii="Arial" w:cs="Arial" w:eastAsia="Arial" w:hAnsi="Arial"/>
          <w:sz w:val="19"/>
          <w:szCs w:val="19"/>
          <w:b w:val="1"/>
          <w:bCs w:val="1"/>
          <w:color w:val="0A0A0A"/>
        </w:rPr>
        <w:t>Reduction Date</w:t>
      </w:r>
      <w:r>
        <w:rPr>
          <w:rFonts w:ascii="Arial" w:cs="Arial" w:eastAsia="Arial" w:hAnsi="Arial"/>
          <w:sz w:val="19"/>
          <w:szCs w:val="19"/>
          <w:color w:val="000000"/>
        </w:rPr>
        <w:t>”</w:t>
      </w:r>
      <w:r>
        <w:rPr>
          <w:rFonts w:ascii="Arial" w:cs="Arial" w:eastAsia="Arial" w:hAnsi="Arial"/>
          <w:sz w:val="19"/>
          <w:szCs w:val="19"/>
          <w:color w:val="0A0A0A"/>
        </w:rPr>
        <w:t>) and Subtenant shall fully comply with all obligations under the Sublease respecting the Reduction Space up to the Reduction Date</w:t>
      </w:r>
      <w:r>
        <w:rPr>
          <w:rFonts w:ascii="Arial" w:cs="Arial" w:eastAsia="Arial" w:hAnsi="Arial"/>
          <w:sz w:val="19"/>
          <w:szCs w:val="19"/>
          <w:color w:val="1D1D1D"/>
        </w:rPr>
        <w:t>,</w:t>
      </w:r>
      <w:r>
        <w:rPr>
          <w:rFonts w:ascii="Arial" w:cs="Arial" w:eastAsia="Arial" w:hAnsi="Arial"/>
          <w:sz w:val="19"/>
          <w:szCs w:val="19"/>
          <w:color w:val="0A0A0A"/>
        </w:rPr>
        <w:t xml:space="preserve"> including, without limitation</w:t>
      </w:r>
      <w:r>
        <w:rPr>
          <w:rFonts w:ascii="Arial" w:cs="Arial" w:eastAsia="Arial" w:hAnsi="Arial"/>
          <w:sz w:val="19"/>
          <w:szCs w:val="19"/>
          <w:color w:val="1D1D1D"/>
        </w:rPr>
        <w:t>,</w:t>
      </w:r>
      <w:r>
        <w:rPr>
          <w:rFonts w:ascii="Arial" w:cs="Arial" w:eastAsia="Arial" w:hAnsi="Arial"/>
          <w:sz w:val="19"/>
          <w:szCs w:val="19"/>
          <w:color w:val="0A0A0A"/>
        </w:rPr>
        <w:t xml:space="preserve"> those provisions relating to the condition of the Reduction Space and the removal of Subtenant's property from the Reduction Space, and </w:t>
      </w:r>
      <w:r>
        <w:rPr>
          <w:rFonts w:ascii="Arial" w:cs="Arial" w:eastAsia="Arial" w:hAnsi="Arial"/>
          <w:sz w:val="19"/>
          <w:szCs w:val="19"/>
          <w:color w:val="1D1D1D"/>
        </w:rPr>
        <w:t>t</w:t>
      </w:r>
      <w:r>
        <w:rPr>
          <w:rFonts w:ascii="Arial" w:cs="Arial" w:eastAsia="Arial" w:hAnsi="Arial"/>
          <w:sz w:val="19"/>
          <w:szCs w:val="19"/>
          <w:color w:val="0A0A0A"/>
        </w:rPr>
        <w:t>he performance of the restoration obligations described herein</w:t>
      </w:r>
      <w:r>
        <w:rPr>
          <w:rFonts w:ascii="Arial" w:cs="Arial" w:eastAsia="Arial" w:hAnsi="Arial"/>
          <w:sz w:val="19"/>
          <w:szCs w:val="19"/>
          <w:color w:val="1D1D1D"/>
        </w:rPr>
        <w:t>.</w:t>
      </w:r>
      <w:r>
        <w:rPr>
          <w:rFonts w:ascii="Arial" w:cs="Arial" w:eastAsia="Arial" w:hAnsi="Arial"/>
          <w:sz w:val="19"/>
          <w:szCs w:val="19"/>
          <w:color w:val="0A0A0A"/>
        </w:rPr>
        <w:t xml:space="preserve"> Effective as of the Reduction Date</w:t>
      </w:r>
      <w:r>
        <w:rPr>
          <w:rFonts w:ascii="Arial" w:cs="Arial" w:eastAsia="Arial" w:hAnsi="Arial"/>
          <w:sz w:val="19"/>
          <w:szCs w:val="19"/>
          <w:color w:val="1D1D1D"/>
        </w:rPr>
        <w:t>,</w:t>
      </w:r>
      <w:r>
        <w:rPr>
          <w:rFonts w:ascii="Arial" w:cs="Arial" w:eastAsia="Arial" w:hAnsi="Arial"/>
          <w:sz w:val="19"/>
          <w:szCs w:val="19"/>
          <w:color w:val="0A0A0A"/>
        </w:rPr>
        <w:t xml:space="preserve"> the Premises is decreased to 69,900 RSF on the fourth (4th) and fifth (5th) floors of the Building by the elimination of the Reduction Space. As of the Reduction Date</w:t>
      </w:r>
      <w:r>
        <w:rPr>
          <w:rFonts w:ascii="Arial" w:cs="Arial" w:eastAsia="Arial" w:hAnsi="Arial"/>
          <w:sz w:val="19"/>
          <w:szCs w:val="19"/>
          <w:color w:val="1D1D1D"/>
        </w:rPr>
        <w:t>,</w:t>
      </w:r>
      <w:r>
        <w:rPr>
          <w:rFonts w:ascii="Arial" w:cs="Arial" w:eastAsia="Arial" w:hAnsi="Arial"/>
          <w:sz w:val="19"/>
          <w:szCs w:val="19"/>
          <w:color w:val="0A0A0A"/>
        </w:rPr>
        <w:t xml:space="preserve"> the Reduction Space shall be deemed surrendered by Subtenant to Sublandlord</w:t>
      </w:r>
      <w:r>
        <w:rPr>
          <w:rFonts w:ascii="Arial" w:cs="Arial" w:eastAsia="Arial" w:hAnsi="Arial"/>
          <w:sz w:val="19"/>
          <w:szCs w:val="19"/>
          <w:color w:val="1D1D1D"/>
        </w:rPr>
        <w:t>,</w:t>
      </w:r>
      <w:r>
        <w:rPr>
          <w:rFonts w:ascii="Arial" w:cs="Arial" w:eastAsia="Arial" w:hAnsi="Arial"/>
          <w:sz w:val="19"/>
          <w:szCs w:val="19"/>
          <w:color w:val="0A0A0A"/>
        </w:rPr>
        <w:t xml:space="preserve"> the Sublease shall be terminated with respect to the Reduction Space</w:t>
      </w:r>
      <w:r>
        <w:rPr>
          <w:rFonts w:ascii="Arial" w:cs="Arial" w:eastAsia="Arial" w:hAnsi="Arial"/>
          <w:sz w:val="19"/>
          <w:szCs w:val="19"/>
          <w:color w:val="1D1D1D"/>
        </w:rPr>
        <w:t>.</w:t>
      </w:r>
      <w:r>
        <w:rPr>
          <w:rFonts w:ascii="Arial" w:cs="Arial" w:eastAsia="Arial" w:hAnsi="Arial"/>
          <w:sz w:val="19"/>
          <w:szCs w:val="19"/>
          <w:color w:val="0A0A0A"/>
        </w:rPr>
        <w:t xml:space="preserve"> If Subtenant shall hold over in the Reduction Space beyond the Reduction Date</w:t>
      </w:r>
      <w:r>
        <w:rPr>
          <w:rFonts w:ascii="Arial" w:cs="Arial" w:eastAsia="Arial" w:hAnsi="Arial"/>
          <w:sz w:val="19"/>
          <w:szCs w:val="19"/>
          <w:color w:val="1D1D1D"/>
        </w:rPr>
        <w:t>,</w:t>
      </w:r>
      <w:r>
        <w:rPr>
          <w:rFonts w:ascii="Arial" w:cs="Arial" w:eastAsia="Arial" w:hAnsi="Arial"/>
          <w:sz w:val="19"/>
          <w:szCs w:val="19"/>
          <w:color w:val="0A0A0A"/>
        </w:rPr>
        <w:t xml:space="preserve"> Subtenant shall be liable for Base Rent</w:t>
      </w:r>
      <w:r>
        <w:rPr>
          <w:rFonts w:ascii="Arial" w:cs="Arial" w:eastAsia="Arial" w:hAnsi="Arial"/>
          <w:sz w:val="19"/>
          <w:szCs w:val="19"/>
          <w:color w:val="1D1D1D"/>
        </w:rPr>
        <w:t>,</w:t>
      </w:r>
      <w:r>
        <w:rPr>
          <w:rFonts w:ascii="Arial" w:cs="Arial" w:eastAsia="Arial" w:hAnsi="Arial"/>
          <w:sz w:val="19"/>
          <w:szCs w:val="19"/>
          <w:color w:val="0A0A0A"/>
        </w:rPr>
        <w:t xml:space="preserve"> Additional Rent and other charge</w:t>
      </w:r>
      <w:r>
        <w:rPr>
          <w:rFonts w:ascii="Arial" w:cs="Arial" w:eastAsia="Arial" w:hAnsi="Arial"/>
          <w:sz w:val="19"/>
          <w:szCs w:val="19"/>
          <w:color w:val="1D1D1D"/>
        </w:rPr>
        <w:t>s</w:t>
      </w:r>
      <w:r>
        <w:rPr>
          <w:rFonts w:ascii="Arial" w:cs="Arial" w:eastAsia="Arial" w:hAnsi="Arial"/>
          <w:sz w:val="19"/>
          <w:szCs w:val="19"/>
          <w:color w:val="0A0A0A"/>
        </w:rPr>
        <w:t xml:space="preserve"> respecting the Reduction Space only as described in Section 16 of the Sublea</w:t>
      </w:r>
      <w:r>
        <w:rPr>
          <w:rFonts w:ascii="Arial" w:cs="Arial" w:eastAsia="Arial" w:hAnsi="Arial"/>
          <w:sz w:val="19"/>
          <w:szCs w:val="19"/>
          <w:color w:val="1D1D1D"/>
        </w:rPr>
        <w:t>s</w:t>
      </w:r>
      <w:r>
        <w:rPr>
          <w:rFonts w:ascii="Arial" w:cs="Arial" w:eastAsia="Arial" w:hAnsi="Arial"/>
          <w:sz w:val="19"/>
          <w:szCs w:val="19"/>
          <w:color w:val="0A0A0A"/>
        </w:rPr>
        <w:t>e. Exhibit A-3 of the Sublease is hereby deleted in its entirety.</w:t>
      </w:r>
    </w:p>
    <w:p>
      <w:pPr>
        <w:spacing w:after="0" w:line="121" w:lineRule="exact"/>
        <w:rPr>
          <w:rFonts w:ascii="Arial" w:cs="Arial" w:eastAsia="Arial" w:hAnsi="Arial"/>
          <w:sz w:val="19"/>
          <w:szCs w:val="19"/>
          <w:color w:val="0A0A0A"/>
        </w:rPr>
      </w:pPr>
    </w:p>
    <w:p>
      <w:pPr>
        <w:ind w:right="20" w:firstLine="656"/>
        <w:spacing w:after="0" w:line="267" w:lineRule="auto"/>
        <w:tabs>
          <w:tab w:leader="none" w:pos="1075" w:val="left"/>
        </w:tabs>
        <w:numPr>
          <w:ilvl w:val="0"/>
          <w:numId w:val="554"/>
        </w:numPr>
        <w:rPr>
          <w:rFonts w:ascii="Arial" w:cs="Arial" w:eastAsia="Arial" w:hAnsi="Arial"/>
          <w:sz w:val="20"/>
          <w:szCs w:val="20"/>
          <w:color w:val="0A0A0A"/>
        </w:rPr>
      </w:pPr>
      <w:r>
        <w:rPr>
          <w:rFonts w:ascii="Arial" w:cs="Arial" w:eastAsia="Arial" w:hAnsi="Arial"/>
          <w:sz w:val="20"/>
          <w:szCs w:val="20"/>
          <w:b w:val="1"/>
          <w:bCs w:val="1"/>
          <w:u w:val="single" w:color="auto"/>
          <w:color w:val="0A0A0A"/>
        </w:rPr>
        <w:t>Base Rent.</w:t>
      </w:r>
      <w:r>
        <w:rPr>
          <w:rFonts w:ascii="Arial" w:cs="Arial" w:eastAsia="Arial" w:hAnsi="Arial"/>
          <w:sz w:val="20"/>
          <w:szCs w:val="20"/>
          <w:b w:val="1"/>
          <w:bCs w:val="1"/>
          <w:color w:val="0A0A0A"/>
        </w:rPr>
        <w:t xml:space="preserve"> </w:t>
      </w:r>
      <w:r>
        <w:rPr>
          <w:rFonts w:ascii="Arial" w:cs="Arial" w:eastAsia="Arial" w:hAnsi="Arial"/>
          <w:sz w:val="20"/>
          <w:szCs w:val="20"/>
          <w:color w:val="0A0A0A"/>
        </w:rPr>
        <w:t>As of the Reduction Date, the schedule of Base Rent contained in the Sublease is deleted</w:t>
      </w:r>
      <w:r>
        <w:rPr>
          <w:rFonts w:ascii="Arial" w:cs="Arial" w:eastAsia="Arial" w:hAnsi="Arial"/>
          <w:sz w:val="20"/>
          <w:szCs w:val="20"/>
          <w:color w:val="1D1D1D"/>
        </w:rPr>
        <w:t>,</w:t>
      </w:r>
      <w:r>
        <w:rPr>
          <w:rFonts w:ascii="Arial" w:cs="Arial" w:eastAsia="Arial" w:hAnsi="Arial"/>
          <w:sz w:val="20"/>
          <w:szCs w:val="20"/>
          <w:b w:val="1"/>
          <w:bCs w:val="1"/>
          <w:color w:val="0A0A0A"/>
        </w:rPr>
        <w:t xml:space="preserve"> </w:t>
      </w:r>
      <w:r>
        <w:rPr>
          <w:rFonts w:ascii="Arial" w:cs="Arial" w:eastAsia="Arial" w:hAnsi="Arial"/>
          <w:sz w:val="20"/>
          <w:szCs w:val="20"/>
          <w:color w:val="0A0A0A"/>
        </w:rPr>
        <w:t>and the following is</w:t>
      </w:r>
      <w:r>
        <w:rPr>
          <w:rFonts w:ascii="Arial" w:cs="Arial" w:eastAsia="Arial" w:hAnsi="Arial"/>
          <w:sz w:val="20"/>
          <w:szCs w:val="20"/>
          <w:b w:val="1"/>
          <w:bCs w:val="1"/>
          <w:color w:val="0A0A0A"/>
        </w:rPr>
        <w:t xml:space="preserve"> </w:t>
      </w:r>
      <w:r>
        <w:rPr>
          <w:rFonts w:ascii="Arial" w:cs="Arial" w:eastAsia="Arial" w:hAnsi="Arial"/>
          <w:sz w:val="20"/>
          <w:szCs w:val="20"/>
          <w:color w:val="0A0A0A"/>
        </w:rPr>
        <w:t>substituted therefor:</w:t>
      </w:r>
    </w:p>
    <w:p>
      <w:pPr>
        <w:spacing w:after="0" w:line="139" w:lineRule="exact"/>
        <w:rPr>
          <w:sz w:val="20"/>
          <w:szCs w:val="20"/>
          <w:color w:val="auto"/>
        </w:rPr>
      </w:pPr>
    </w:p>
    <w:tbl>
      <w:tblPr>
        <w:tblLayout w:type="fixed"/>
        <w:tblInd w:w="650" w:type="dxa"/>
        <w:tblCellMar>
          <w:top w:w="0" w:type="dxa"/>
          <w:left w:w="0" w:type="dxa"/>
          <w:bottom w:w="0" w:type="dxa"/>
          <w:right w:w="0" w:type="dxa"/>
        </w:tblCellMar>
      </w:tblPr>
      <w:tr>
        <w:trPr>
          <w:trHeight w:val="261"/>
        </w:trPr>
        <w:tc>
          <w:tcPr>
            <w:tcW w:w="3020" w:type="dxa"/>
            <w:vAlign w:val="bottom"/>
            <w:tcBorders>
              <w:top w:val="single" w:sz="8" w:color="auto"/>
              <w:left w:val="single" w:sz="8" w:color="auto"/>
            </w:tcBorders>
          </w:tcPr>
          <w:p>
            <w:pPr>
              <w:spacing w:after="0"/>
              <w:rPr>
                <w:sz w:val="22"/>
                <w:szCs w:val="22"/>
                <w:color w:val="auto"/>
              </w:rPr>
            </w:pPr>
          </w:p>
        </w:tc>
        <w:tc>
          <w:tcPr>
            <w:tcW w:w="2940" w:type="dxa"/>
            <w:vAlign w:val="bottom"/>
            <w:tcBorders>
              <w:top w:val="single" w:sz="8" w:color="auto"/>
              <w:right w:val="single" w:sz="8" w:color="auto"/>
            </w:tcBorders>
            <w:gridSpan w:val="2"/>
            <w:vMerge w:val="restart"/>
          </w:tcPr>
          <w:p>
            <w:pPr>
              <w:jc w:val="center"/>
              <w:ind w:right="2380"/>
              <w:spacing w:after="0"/>
              <w:rPr>
                <w:sz w:val="20"/>
                <w:szCs w:val="20"/>
                <w:color w:val="auto"/>
              </w:rPr>
            </w:pPr>
            <w:r>
              <w:rPr>
                <w:rFonts w:ascii="Arial" w:cs="Arial" w:eastAsia="Arial" w:hAnsi="Arial"/>
                <w:sz w:val="20"/>
                <w:szCs w:val="20"/>
                <w:b w:val="1"/>
                <w:bCs w:val="1"/>
                <w:color w:val="0A0A0A"/>
                <w:w w:val="89"/>
              </w:rPr>
              <w:t>Period</w:t>
            </w:r>
          </w:p>
        </w:tc>
        <w:tc>
          <w:tcPr>
            <w:tcW w:w="2220" w:type="dxa"/>
            <w:vAlign w:val="bottom"/>
            <w:tcBorders>
              <w:top w:val="single" w:sz="8" w:color="auto"/>
              <w:right w:val="single" w:sz="8" w:color="auto"/>
            </w:tcBorders>
            <w:gridSpan w:val="3"/>
          </w:tcPr>
          <w:p>
            <w:pPr>
              <w:jc w:val="center"/>
              <w:ind w:left="521"/>
              <w:spacing w:after="0"/>
              <w:rPr>
                <w:sz w:val="20"/>
                <w:szCs w:val="20"/>
                <w:color w:val="auto"/>
              </w:rPr>
            </w:pPr>
            <w:r>
              <w:rPr>
                <w:rFonts w:ascii="Arial" w:cs="Arial" w:eastAsia="Arial" w:hAnsi="Arial"/>
                <w:sz w:val="20"/>
                <w:szCs w:val="20"/>
                <w:b w:val="1"/>
                <w:bCs w:val="1"/>
                <w:color w:val="0A0A0A"/>
                <w:w w:val="92"/>
              </w:rPr>
              <w:t>Annual Rate</w:t>
            </w:r>
          </w:p>
        </w:tc>
        <w:tc>
          <w:tcPr>
            <w:tcW w:w="2240" w:type="dxa"/>
            <w:vAlign w:val="bottom"/>
            <w:tcBorders>
              <w:top w:val="single" w:sz="8" w:color="auto"/>
              <w:right w:val="single" w:sz="8" w:color="auto"/>
            </w:tcBorders>
          </w:tcPr>
          <w:p>
            <w:pPr>
              <w:jc w:val="center"/>
              <w:ind w:left="521"/>
              <w:spacing w:after="0"/>
              <w:rPr>
                <w:sz w:val="20"/>
                <w:szCs w:val="20"/>
                <w:color w:val="auto"/>
              </w:rPr>
            </w:pPr>
            <w:r>
              <w:rPr>
                <w:rFonts w:ascii="Arial" w:cs="Arial" w:eastAsia="Arial" w:hAnsi="Arial"/>
                <w:sz w:val="20"/>
                <w:szCs w:val="20"/>
                <w:b w:val="1"/>
                <w:bCs w:val="1"/>
                <w:color w:val="auto"/>
                <w:w w:val="96"/>
              </w:rPr>
              <w:t>Monthly</w:t>
            </w:r>
          </w:p>
        </w:tc>
        <w:tc>
          <w:tcPr>
            <w:tcW w:w="0" w:type="dxa"/>
            <w:vAlign w:val="bottom"/>
          </w:tcPr>
          <w:p>
            <w:pPr>
              <w:spacing w:after="0"/>
              <w:rPr>
                <w:sz w:val="1"/>
                <w:szCs w:val="1"/>
                <w:color w:val="auto"/>
              </w:rPr>
            </w:pPr>
          </w:p>
        </w:tc>
      </w:tr>
      <w:tr>
        <w:trPr>
          <w:trHeight w:val="90"/>
        </w:trPr>
        <w:tc>
          <w:tcPr>
            <w:tcW w:w="3020" w:type="dxa"/>
            <w:vAlign w:val="bottom"/>
            <w:tcBorders>
              <w:left w:val="single" w:sz="8" w:color="auto"/>
            </w:tcBorders>
          </w:tcPr>
          <w:p>
            <w:pPr>
              <w:spacing w:after="0"/>
              <w:rPr>
                <w:sz w:val="7"/>
                <w:szCs w:val="7"/>
                <w:color w:val="auto"/>
              </w:rPr>
            </w:pPr>
          </w:p>
        </w:tc>
        <w:tc>
          <w:tcPr>
            <w:tcW w:w="2940" w:type="dxa"/>
            <w:vAlign w:val="bottom"/>
            <w:tcBorders>
              <w:right w:val="single" w:sz="8" w:color="auto"/>
            </w:tcBorders>
            <w:gridSpan w:val="2"/>
            <w:vMerge w:val="continue"/>
          </w:tcPr>
          <w:p>
            <w:pPr>
              <w:spacing w:after="0"/>
              <w:rPr>
                <w:sz w:val="7"/>
                <w:szCs w:val="7"/>
                <w:color w:val="auto"/>
              </w:rPr>
            </w:pPr>
          </w:p>
        </w:tc>
        <w:tc>
          <w:tcPr>
            <w:tcW w:w="2220" w:type="dxa"/>
            <w:vAlign w:val="bottom"/>
            <w:tcBorders>
              <w:right w:val="single" w:sz="8" w:color="auto"/>
            </w:tcBorders>
            <w:gridSpan w:val="3"/>
            <w:vMerge w:val="restart"/>
          </w:tcPr>
          <w:p>
            <w:pPr>
              <w:jc w:val="center"/>
              <w:ind w:left="521"/>
              <w:spacing w:after="0" w:line="212" w:lineRule="exact"/>
              <w:rPr>
                <w:sz w:val="20"/>
                <w:szCs w:val="20"/>
                <w:color w:val="auto"/>
              </w:rPr>
            </w:pPr>
            <w:r>
              <w:rPr>
                <w:rFonts w:ascii="Arial" w:cs="Arial" w:eastAsia="Arial" w:hAnsi="Arial"/>
                <w:sz w:val="20"/>
                <w:szCs w:val="20"/>
                <w:b w:val="1"/>
                <w:bCs w:val="1"/>
                <w:color w:val="0A0A0A"/>
                <w:w w:val="94"/>
              </w:rPr>
              <w:t>PerRSF</w:t>
            </w:r>
          </w:p>
        </w:tc>
        <w:tc>
          <w:tcPr>
            <w:tcW w:w="2240" w:type="dxa"/>
            <w:vAlign w:val="bottom"/>
            <w:tcBorders>
              <w:right w:val="single" w:sz="8" w:color="auto"/>
            </w:tcBorders>
            <w:vMerge w:val="restart"/>
          </w:tcPr>
          <w:p>
            <w:pPr>
              <w:jc w:val="center"/>
              <w:ind w:left="521"/>
              <w:spacing w:after="0" w:line="212" w:lineRule="exact"/>
              <w:rPr>
                <w:sz w:val="20"/>
                <w:szCs w:val="20"/>
                <w:color w:val="auto"/>
              </w:rPr>
            </w:pPr>
            <w:r>
              <w:rPr>
                <w:rFonts w:ascii="Arial" w:cs="Arial" w:eastAsia="Arial" w:hAnsi="Arial"/>
                <w:sz w:val="20"/>
                <w:szCs w:val="20"/>
                <w:b w:val="1"/>
                <w:bCs w:val="1"/>
                <w:color w:val="auto"/>
                <w:w w:val="87"/>
              </w:rPr>
              <w:t>Base Rent</w:t>
            </w:r>
          </w:p>
        </w:tc>
        <w:tc>
          <w:tcPr>
            <w:tcW w:w="0" w:type="dxa"/>
            <w:vAlign w:val="bottom"/>
          </w:tcPr>
          <w:p>
            <w:pPr>
              <w:spacing w:after="0"/>
              <w:rPr>
                <w:sz w:val="1"/>
                <w:szCs w:val="1"/>
                <w:color w:val="auto"/>
              </w:rPr>
            </w:pPr>
          </w:p>
        </w:tc>
      </w:tr>
      <w:tr>
        <w:trPr>
          <w:trHeight w:val="101"/>
        </w:trPr>
        <w:tc>
          <w:tcPr>
            <w:tcW w:w="3020" w:type="dxa"/>
            <w:vAlign w:val="bottom"/>
            <w:tcBorders>
              <w:left w:val="single" w:sz="8" w:color="auto"/>
            </w:tcBorders>
          </w:tcPr>
          <w:p>
            <w:pPr>
              <w:spacing w:after="0"/>
              <w:rPr>
                <w:sz w:val="8"/>
                <w:szCs w:val="8"/>
                <w:color w:val="auto"/>
              </w:rPr>
            </w:pPr>
          </w:p>
        </w:tc>
        <w:tc>
          <w:tcPr>
            <w:tcW w:w="560" w:type="dxa"/>
            <w:vAlign w:val="bottom"/>
            <w:tcBorders>
              <w:top w:val="single" w:sz="8" w:color="0A0A0A"/>
            </w:tcBorders>
          </w:tcPr>
          <w:p>
            <w:pPr>
              <w:spacing w:after="0"/>
              <w:rPr>
                <w:sz w:val="8"/>
                <w:szCs w:val="8"/>
                <w:color w:val="auto"/>
              </w:rPr>
            </w:pPr>
          </w:p>
        </w:tc>
        <w:tc>
          <w:tcPr>
            <w:tcW w:w="238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gridSpan w:val="3"/>
            <w:vMerge w:val="continue"/>
          </w:tcPr>
          <w:p>
            <w:pPr>
              <w:spacing w:after="0"/>
              <w:rPr>
                <w:sz w:val="8"/>
                <w:szCs w:val="8"/>
                <w:color w:val="auto"/>
              </w:rPr>
            </w:pPr>
          </w:p>
        </w:tc>
        <w:tc>
          <w:tcPr>
            <w:tcW w:w="22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302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680" w:type="dxa"/>
            <w:vAlign w:val="bottom"/>
            <w:tcBorders>
              <w:top w:val="single" w:sz="8" w:color="0A0A0A"/>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bottom w:val="single" w:sz="8" w:color="auto"/>
              <w:right w:val="single" w:sz="8" w:color="auto"/>
            </w:tcBorders>
            <w:gridSpan w:val="3"/>
          </w:tcPr>
          <w:p>
            <w:pPr>
              <w:jc w:val="center"/>
              <w:ind w:left="561"/>
              <w:spacing w:after="0"/>
              <w:rPr>
                <w:sz w:val="20"/>
                <w:szCs w:val="20"/>
                <w:color w:val="auto"/>
              </w:rPr>
            </w:pPr>
            <w:r>
              <w:rPr>
                <w:rFonts w:ascii="Arial" w:cs="Arial" w:eastAsia="Arial" w:hAnsi="Arial"/>
                <w:sz w:val="20"/>
                <w:szCs w:val="20"/>
                <w:color w:val="0A0A0A"/>
                <w:w w:val="88"/>
              </w:rPr>
              <w:t>June 1</w:t>
            </w:r>
            <w:r>
              <w:rPr>
                <w:rFonts w:ascii="Arial" w:cs="Arial" w:eastAsia="Arial" w:hAnsi="Arial"/>
                <w:sz w:val="20"/>
                <w:szCs w:val="20"/>
                <w:color w:val="1D1D1D"/>
                <w:w w:val="88"/>
              </w:rPr>
              <w:t>,</w:t>
            </w:r>
            <w:r>
              <w:rPr>
                <w:rFonts w:ascii="Arial" w:cs="Arial" w:eastAsia="Arial" w:hAnsi="Arial"/>
                <w:sz w:val="20"/>
                <w:szCs w:val="20"/>
                <w:color w:val="0A0A0A"/>
                <w:w w:val="88"/>
              </w:rPr>
              <w:t xml:space="preserve"> 2018 - December 31</w:t>
            </w:r>
            <w:r>
              <w:rPr>
                <w:rFonts w:ascii="Arial" w:cs="Arial" w:eastAsia="Arial" w:hAnsi="Arial"/>
                <w:sz w:val="20"/>
                <w:szCs w:val="20"/>
                <w:color w:val="1D1D1D"/>
                <w:w w:val="88"/>
              </w:rPr>
              <w:t>,</w:t>
            </w:r>
            <w:r>
              <w:rPr>
                <w:rFonts w:ascii="Arial" w:cs="Arial" w:eastAsia="Arial" w:hAnsi="Arial"/>
                <w:sz w:val="20"/>
                <w:szCs w:val="20"/>
                <w:color w:val="0A0A0A"/>
                <w:w w:val="88"/>
              </w:rPr>
              <w:t xml:space="preserve"> 2018</w:t>
            </w:r>
          </w:p>
        </w:tc>
        <w:tc>
          <w:tcPr>
            <w:tcW w:w="1760" w:type="dxa"/>
            <w:vAlign w:val="bottom"/>
            <w:tcBorders>
              <w:bottom w:val="single" w:sz="8" w:color="auto"/>
            </w:tcBorders>
            <w:gridSpan w:val="2"/>
          </w:tcPr>
          <w:p>
            <w:pPr>
              <w:jc w:val="center"/>
              <w:ind w:left="1001"/>
              <w:spacing w:after="0"/>
              <w:rPr>
                <w:sz w:val="20"/>
                <w:szCs w:val="20"/>
                <w:color w:val="auto"/>
              </w:rPr>
            </w:pPr>
            <w:r>
              <w:rPr>
                <w:rFonts w:ascii="Arial" w:cs="Arial" w:eastAsia="Arial" w:hAnsi="Arial"/>
                <w:sz w:val="20"/>
                <w:szCs w:val="20"/>
                <w:color w:val="0A0A0A"/>
                <w:w w:val="88"/>
              </w:rPr>
              <w:t>$78.28</w:t>
            </w:r>
          </w:p>
        </w:tc>
        <w:tc>
          <w:tcPr>
            <w:tcW w:w="4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jc w:val="center"/>
              <w:ind w:left="521"/>
              <w:spacing w:after="0"/>
              <w:rPr>
                <w:sz w:val="20"/>
                <w:szCs w:val="20"/>
                <w:color w:val="auto"/>
              </w:rPr>
            </w:pPr>
            <w:r>
              <w:rPr>
                <w:rFonts w:ascii="Arial" w:cs="Arial" w:eastAsia="Arial" w:hAnsi="Arial"/>
                <w:sz w:val="20"/>
                <w:szCs w:val="20"/>
                <w:color w:val="auto"/>
                <w:w w:val="88"/>
              </w:rPr>
              <w:t>$455,981.00</w:t>
            </w:r>
          </w:p>
        </w:tc>
        <w:tc>
          <w:tcPr>
            <w:tcW w:w="0" w:type="dxa"/>
            <w:vAlign w:val="bottom"/>
          </w:tcPr>
          <w:p>
            <w:pPr>
              <w:spacing w:after="0"/>
              <w:rPr>
                <w:sz w:val="1"/>
                <w:szCs w:val="1"/>
                <w:color w:val="auto"/>
              </w:rPr>
            </w:pPr>
          </w:p>
        </w:tc>
      </w:tr>
      <w:tr>
        <w:trPr>
          <w:trHeight w:val="254"/>
        </w:trPr>
        <w:tc>
          <w:tcPr>
            <w:tcW w:w="5960" w:type="dxa"/>
            <w:vAlign w:val="bottom"/>
            <w:tcBorders>
              <w:left w:val="single" w:sz="8" w:color="auto"/>
              <w:right w:val="single" w:sz="8" w:color="auto"/>
            </w:tcBorders>
            <w:gridSpan w:val="3"/>
          </w:tcPr>
          <w:p>
            <w:pPr>
              <w:jc w:val="center"/>
              <w:ind w:left="561"/>
              <w:spacing w:after="0"/>
              <w:rPr>
                <w:sz w:val="20"/>
                <w:szCs w:val="20"/>
                <w:color w:val="auto"/>
              </w:rPr>
            </w:pPr>
            <w:r>
              <w:rPr>
                <w:rFonts w:ascii="Arial" w:cs="Arial" w:eastAsia="Arial" w:hAnsi="Arial"/>
                <w:sz w:val="20"/>
                <w:szCs w:val="20"/>
                <w:color w:val="auto"/>
                <w:w w:val="88"/>
              </w:rPr>
              <w:t>January 1, 2019 - December 31, 2020</w:t>
            </w:r>
          </w:p>
        </w:tc>
        <w:tc>
          <w:tcPr>
            <w:tcW w:w="1760" w:type="dxa"/>
            <w:vAlign w:val="bottom"/>
            <w:gridSpan w:val="2"/>
          </w:tcPr>
          <w:p>
            <w:pPr>
              <w:jc w:val="center"/>
              <w:ind w:left="1001"/>
              <w:spacing w:after="0"/>
              <w:rPr>
                <w:sz w:val="20"/>
                <w:szCs w:val="20"/>
                <w:color w:val="auto"/>
              </w:rPr>
            </w:pPr>
            <w:r>
              <w:rPr>
                <w:rFonts w:ascii="Arial" w:cs="Arial" w:eastAsia="Arial" w:hAnsi="Arial"/>
                <w:sz w:val="20"/>
                <w:szCs w:val="20"/>
                <w:color w:val="0A0A0A"/>
                <w:w w:val="88"/>
              </w:rPr>
              <w:t>$80.63</w:t>
            </w:r>
          </w:p>
        </w:tc>
        <w:tc>
          <w:tcPr>
            <w:tcW w:w="46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jc w:val="center"/>
              <w:ind w:left="521"/>
              <w:spacing w:after="0"/>
              <w:rPr>
                <w:sz w:val="20"/>
                <w:szCs w:val="20"/>
                <w:color w:val="auto"/>
              </w:rPr>
            </w:pPr>
            <w:r>
              <w:rPr>
                <w:rFonts w:ascii="Arial" w:cs="Arial" w:eastAsia="Arial" w:hAnsi="Arial"/>
                <w:sz w:val="20"/>
                <w:szCs w:val="20"/>
                <w:color w:val="0A0A0A"/>
                <w:w w:val="88"/>
              </w:rPr>
              <w:t>$469,669.75</w:t>
            </w:r>
          </w:p>
        </w:tc>
        <w:tc>
          <w:tcPr>
            <w:tcW w:w="0" w:type="dxa"/>
            <w:vAlign w:val="bottom"/>
          </w:tcPr>
          <w:p>
            <w:pPr>
              <w:spacing w:after="0"/>
              <w:rPr>
                <w:sz w:val="1"/>
                <w:szCs w:val="1"/>
                <w:color w:val="auto"/>
              </w:rPr>
            </w:pPr>
          </w:p>
        </w:tc>
      </w:tr>
      <w:tr>
        <w:trPr>
          <w:trHeight w:val="23"/>
        </w:trPr>
        <w:tc>
          <w:tcPr>
            <w:tcW w:w="30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960" w:type="dxa"/>
            <w:vAlign w:val="bottom"/>
            <w:tcBorders>
              <w:left w:val="single" w:sz="8" w:color="auto"/>
              <w:right w:val="single" w:sz="8" w:color="auto"/>
            </w:tcBorders>
            <w:gridSpan w:val="3"/>
          </w:tcPr>
          <w:p>
            <w:pPr>
              <w:jc w:val="center"/>
              <w:ind w:left="561"/>
              <w:spacing w:after="0"/>
              <w:rPr>
                <w:sz w:val="20"/>
                <w:szCs w:val="20"/>
                <w:color w:val="auto"/>
              </w:rPr>
            </w:pPr>
            <w:r>
              <w:rPr>
                <w:rFonts w:ascii="Arial" w:cs="Arial" w:eastAsia="Arial" w:hAnsi="Arial"/>
                <w:sz w:val="20"/>
                <w:szCs w:val="20"/>
                <w:color w:val="0A0A0A"/>
                <w:w w:val="88"/>
              </w:rPr>
              <w:t>January 1</w:t>
            </w:r>
            <w:r>
              <w:rPr>
                <w:rFonts w:ascii="Arial" w:cs="Arial" w:eastAsia="Arial" w:hAnsi="Arial"/>
                <w:sz w:val="20"/>
                <w:szCs w:val="20"/>
                <w:color w:val="1D1D1D"/>
                <w:w w:val="88"/>
              </w:rPr>
              <w:t>,</w:t>
            </w:r>
            <w:r>
              <w:rPr>
                <w:rFonts w:ascii="Arial" w:cs="Arial" w:eastAsia="Arial" w:hAnsi="Arial"/>
                <w:sz w:val="20"/>
                <w:szCs w:val="20"/>
                <w:color w:val="0A0A0A"/>
                <w:w w:val="88"/>
              </w:rPr>
              <w:t xml:space="preserve"> 2020 - December 31, 2020</w:t>
            </w:r>
          </w:p>
        </w:tc>
        <w:tc>
          <w:tcPr>
            <w:tcW w:w="1760" w:type="dxa"/>
            <w:vAlign w:val="bottom"/>
            <w:gridSpan w:val="2"/>
          </w:tcPr>
          <w:p>
            <w:pPr>
              <w:jc w:val="center"/>
              <w:ind w:left="1001"/>
              <w:spacing w:after="0"/>
              <w:rPr>
                <w:sz w:val="20"/>
                <w:szCs w:val="20"/>
                <w:color w:val="auto"/>
              </w:rPr>
            </w:pPr>
            <w:r>
              <w:rPr>
                <w:rFonts w:ascii="Arial" w:cs="Arial" w:eastAsia="Arial" w:hAnsi="Arial"/>
                <w:sz w:val="20"/>
                <w:szCs w:val="20"/>
                <w:color w:val="0A0A0A"/>
                <w:w w:val="88"/>
              </w:rPr>
              <w:t>$83.05</w:t>
            </w:r>
          </w:p>
        </w:tc>
        <w:tc>
          <w:tcPr>
            <w:tcW w:w="46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jc w:val="center"/>
              <w:ind w:left="521"/>
              <w:spacing w:after="0"/>
              <w:rPr>
                <w:sz w:val="20"/>
                <w:szCs w:val="20"/>
                <w:color w:val="auto"/>
              </w:rPr>
            </w:pPr>
            <w:r>
              <w:rPr>
                <w:rFonts w:ascii="Arial" w:cs="Arial" w:eastAsia="Arial" w:hAnsi="Arial"/>
                <w:sz w:val="20"/>
                <w:szCs w:val="20"/>
                <w:color w:val="0A0A0A"/>
                <w:w w:val="88"/>
              </w:rPr>
              <w:t>$483,766.25</w:t>
            </w:r>
          </w:p>
        </w:tc>
        <w:tc>
          <w:tcPr>
            <w:tcW w:w="0" w:type="dxa"/>
            <w:vAlign w:val="bottom"/>
          </w:tcPr>
          <w:p>
            <w:pPr>
              <w:spacing w:after="0"/>
              <w:rPr>
                <w:sz w:val="1"/>
                <w:szCs w:val="1"/>
                <w:color w:val="auto"/>
              </w:rPr>
            </w:pPr>
          </w:p>
        </w:tc>
      </w:tr>
      <w:tr>
        <w:trPr>
          <w:trHeight w:val="23"/>
        </w:trPr>
        <w:tc>
          <w:tcPr>
            <w:tcW w:w="30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960" w:type="dxa"/>
            <w:vAlign w:val="bottom"/>
            <w:tcBorders>
              <w:left w:val="single" w:sz="8" w:color="auto"/>
              <w:right w:val="single" w:sz="8" w:color="auto"/>
            </w:tcBorders>
            <w:gridSpan w:val="3"/>
          </w:tcPr>
          <w:p>
            <w:pPr>
              <w:jc w:val="center"/>
              <w:ind w:left="561"/>
              <w:spacing w:after="0"/>
              <w:rPr>
                <w:sz w:val="20"/>
                <w:szCs w:val="20"/>
                <w:color w:val="auto"/>
              </w:rPr>
            </w:pPr>
            <w:r>
              <w:rPr>
                <w:rFonts w:ascii="Arial" w:cs="Arial" w:eastAsia="Arial" w:hAnsi="Arial"/>
                <w:sz w:val="20"/>
                <w:szCs w:val="20"/>
                <w:color w:val="0A0A0A"/>
                <w:w w:val="88"/>
              </w:rPr>
              <w:t>January 1</w:t>
            </w:r>
            <w:r>
              <w:rPr>
                <w:rFonts w:ascii="Arial" w:cs="Arial" w:eastAsia="Arial" w:hAnsi="Arial"/>
                <w:sz w:val="20"/>
                <w:szCs w:val="20"/>
                <w:color w:val="1D1D1D"/>
                <w:w w:val="88"/>
              </w:rPr>
              <w:t>,</w:t>
            </w:r>
            <w:r>
              <w:rPr>
                <w:rFonts w:ascii="Arial" w:cs="Arial" w:eastAsia="Arial" w:hAnsi="Arial"/>
                <w:sz w:val="20"/>
                <w:szCs w:val="20"/>
                <w:color w:val="0A0A0A"/>
                <w:w w:val="88"/>
              </w:rPr>
              <w:t xml:space="preserve"> 2021 - December 31, 2021</w:t>
            </w:r>
          </w:p>
        </w:tc>
        <w:tc>
          <w:tcPr>
            <w:tcW w:w="1760" w:type="dxa"/>
            <w:vAlign w:val="bottom"/>
            <w:gridSpan w:val="2"/>
          </w:tcPr>
          <w:p>
            <w:pPr>
              <w:jc w:val="center"/>
              <w:ind w:left="1001"/>
              <w:spacing w:after="0"/>
              <w:rPr>
                <w:sz w:val="20"/>
                <w:szCs w:val="20"/>
                <w:color w:val="auto"/>
              </w:rPr>
            </w:pPr>
            <w:r>
              <w:rPr>
                <w:rFonts w:ascii="Arial" w:cs="Arial" w:eastAsia="Arial" w:hAnsi="Arial"/>
                <w:sz w:val="20"/>
                <w:szCs w:val="20"/>
                <w:color w:val="0A0A0A"/>
                <w:w w:val="88"/>
              </w:rPr>
              <w:t>$85.54</w:t>
            </w:r>
          </w:p>
        </w:tc>
        <w:tc>
          <w:tcPr>
            <w:tcW w:w="46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jc w:val="center"/>
              <w:ind w:left="521"/>
              <w:spacing w:after="0"/>
              <w:rPr>
                <w:sz w:val="20"/>
                <w:szCs w:val="20"/>
                <w:color w:val="auto"/>
              </w:rPr>
            </w:pPr>
            <w:r>
              <w:rPr>
                <w:rFonts w:ascii="Arial" w:cs="Arial" w:eastAsia="Arial" w:hAnsi="Arial"/>
                <w:sz w:val="20"/>
                <w:szCs w:val="20"/>
                <w:color w:val="0A0A0A"/>
                <w:w w:val="88"/>
              </w:rPr>
              <w:t>$498,270.50</w:t>
            </w:r>
          </w:p>
        </w:tc>
        <w:tc>
          <w:tcPr>
            <w:tcW w:w="0" w:type="dxa"/>
            <w:vAlign w:val="bottom"/>
          </w:tcPr>
          <w:p>
            <w:pPr>
              <w:spacing w:after="0"/>
              <w:rPr>
                <w:sz w:val="1"/>
                <w:szCs w:val="1"/>
                <w:color w:val="auto"/>
              </w:rPr>
            </w:pPr>
          </w:p>
        </w:tc>
      </w:tr>
      <w:tr>
        <w:trPr>
          <w:trHeight w:val="23"/>
        </w:trPr>
        <w:tc>
          <w:tcPr>
            <w:tcW w:w="30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070707"/>
        </w:rPr>
        <w:t>All such Base Rent shall be payable by Subtenant in accordance with the terms of the Sublease.</w:t>
      </w:r>
    </w:p>
    <w:p>
      <w:pPr>
        <w:sectPr>
          <w:pgSz w:w="11900" w:h="16838" w:orient="portrait"/>
          <w:cols w:equalWidth="0" w:num="1">
            <w:col w:w="11240"/>
          </w:cols>
          <w:pgMar w:left="320" w:top="121" w:right="339" w:bottom="1440" w:gutter="0" w:footer="0" w:header="0"/>
        </w:sectPr>
      </w:pPr>
    </w:p>
    <w:bookmarkStart w:id="582" w:name="page583"/>
    <w:bookmarkEnd w:id="582"/>
    <w:p>
      <w:pPr>
        <w:ind w:firstLine="656"/>
        <w:spacing w:after="0" w:line="267" w:lineRule="auto"/>
        <w:tabs>
          <w:tab w:leader="none" w:pos="1062" w:val="left"/>
        </w:tabs>
        <w:numPr>
          <w:ilvl w:val="0"/>
          <w:numId w:val="555"/>
        </w:numPr>
        <w:rPr>
          <w:rFonts w:ascii="Arial" w:cs="Arial" w:eastAsia="Arial" w:hAnsi="Arial"/>
          <w:sz w:val="20"/>
          <w:szCs w:val="20"/>
          <w:color w:val="070707"/>
        </w:rPr>
      </w:pPr>
      <w:r>
        <w:rPr>
          <w:rFonts w:ascii="Arial" w:cs="Arial" w:eastAsia="Arial" w:hAnsi="Arial"/>
          <w:sz w:val="20"/>
          <w:szCs w:val="20"/>
          <w:b w:val="1"/>
          <w:bCs w:val="1"/>
          <w:u w:val="single" w:color="auto"/>
          <w:color w:val="070707"/>
        </w:rPr>
        <w:t>Additional Consideration.</w:t>
      </w:r>
      <w:r>
        <w:rPr>
          <w:rFonts w:ascii="Arial" w:cs="Arial" w:eastAsia="Arial" w:hAnsi="Arial"/>
          <w:sz w:val="20"/>
          <w:szCs w:val="20"/>
          <w:b w:val="1"/>
          <w:bCs w:val="1"/>
          <w:color w:val="070707"/>
        </w:rPr>
        <w:t xml:space="preserve"> </w:t>
      </w:r>
      <w:r>
        <w:rPr>
          <w:rFonts w:ascii="Arial" w:cs="Arial" w:eastAsia="Arial" w:hAnsi="Arial"/>
          <w:sz w:val="20"/>
          <w:szCs w:val="20"/>
          <w:color w:val="070707"/>
        </w:rPr>
        <w:t>As additional consideration for this First Amendment</w:t>
      </w:r>
      <w:r>
        <w:rPr>
          <w:rFonts w:ascii="Arial" w:cs="Arial" w:eastAsia="Arial" w:hAnsi="Arial"/>
          <w:sz w:val="20"/>
          <w:szCs w:val="20"/>
          <w:color w:val="181818"/>
        </w:rPr>
        <w:t>,</w:t>
      </w:r>
      <w:r>
        <w:rPr>
          <w:rFonts w:ascii="Arial" w:cs="Arial" w:eastAsia="Arial" w:hAnsi="Arial"/>
          <w:sz w:val="20"/>
          <w:szCs w:val="20"/>
          <w:b w:val="1"/>
          <w:bCs w:val="1"/>
          <w:color w:val="070707"/>
        </w:rPr>
        <w:t xml:space="preserve"> </w:t>
      </w:r>
      <w:r>
        <w:rPr>
          <w:rFonts w:ascii="Arial" w:cs="Arial" w:eastAsia="Arial" w:hAnsi="Arial"/>
          <w:sz w:val="20"/>
          <w:szCs w:val="20"/>
          <w:color w:val="070707"/>
        </w:rPr>
        <w:t>Subtenant agrees to pay Sublandlord upon</w:t>
      </w:r>
      <w:r>
        <w:rPr>
          <w:rFonts w:ascii="Arial" w:cs="Arial" w:eastAsia="Arial" w:hAnsi="Arial"/>
          <w:sz w:val="20"/>
          <w:szCs w:val="20"/>
          <w:b w:val="1"/>
          <w:bCs w:val="1"/>
          <w:color w:val="070707"/>
        </w:rPr>
        <w:t xml:space="preserve"> </w:t>
      </w:r>
      <w:r>
        <w:rPr>
          <w:rFonts w:ascii="Arial" w:cs="Arial" w:eastAsia="Arial" w:hAnsi="Arial"/>
          <w:sz w:val="20"/>
          <w:szCs w:val="20"/>
          <w:color w:val="070707"/>
        </w:rPr>
        <w:t>Subtenant's execution of this First Amendment, the amount of $683</w:t>
      </w:r>
      <w:r>
        <w:rPr>
          <w:rFonts w:ascii="Arial" w:cs="Arial" w:eastAsia="Arial" w:hAnsi="Arial"/>
          <w:sz w:val="20"/>
          <w:szCs w:val="20"/>
          <w:color w:val="181818"/>
        </w:rPr>
        <w:t>,</w:t>
      </w:r>
      <w:r>
        <w:rPr>
          <w:rFonts w:ascii="Arial" w:cs="Arial" w:eastAsia="Arial" w:hAnsi="Arial"/>
          <w:sz w:val="20"/>
          <w:szCs w:val="20"/>
          <w:color w:val="070707"/>
        </w:rPr>
        <w:t>971.20.</w:t>
      </w:r>
    </w:p>
    <w:p>
      <w:pPr>
        <w:spacing w:after="0" w:line="109" w:lineRule="exact"/>
        <w:rPr>
          <w:rFonts w:ascii="Arial" w:cs="Arial" w:eastAsia="Arial" w:hAnsi="Arial"/>
          <w:sz w:val="20"/>
          <w:szCs w:val="20"/>
          <w:color w:val="070707"/>
        </w:rPr>
      </w:pPr>
    </w:p>
    <w:p>
      <w:pPr>
        <w:jc w:val="both"/>
        <w:ind w:firstLine="656"/>
        <w:spacing w:after="0" w:line="246" w:lineRule="auto"/>
        <w:tabs>
          <w:tab w:leader="none" w:pos="1021" w:val="left"/>
        </w:tabs>
        <w:numPr>
          <w:ilvl w:val="0"/>
          <w:numId w:val="555"/>
        </w:numPr>
        <w:rPr>
          <w:rFonts w:ascii="Arial" w:cs="Arial" w:eastAsia="Arial" w:hAnsi="Arial"/>
          <w:sz w:val="20"/>
          <w:szCs w:val="20"/>
          <w:color w:val="070707"/>
        </w:rPr>
      </w:pPr>
      <w:r>
        <w:rPr>
          <w:rFonts w:ascii="Arial" w:cs="Arial" w:eastAsia="Arial" w:hAnsi="Arial"/>
          <w:sz w:val="20"/>
          <w:szCs w:val="20"/>
          <w:b w:val="1"/>
          <w:bCs w:val="1"/>
          <w:u w:val="single" w:color="auto"/>
          <w:color w:val="070707"/>
        </w:rPr>
        <w:t>Subtenant's Percentage Share.</w:t>
      </w:r>
      <w:r>
        <w:rPr>
          <w:rFonts w:ascii="Arial" w:cs="Arial" w:eastAsia="Arial" w:hAnsi="Arial"/>
          <w:sz w:val="20"/>
          <w:szCs w:val="20"/>
          <w:b w:val="1"/>
          <w:bCs w:val="1"/>
          <w:color w:val="070707"/>
        </w:rPr>
        <w:t xml:space="preserve"> </w:t>
      </w:r>
      <w:r>
        <w:rPr>
          <w:rFonts w:ascii="Arial" w:cs="Arial" w:eastAsia="Arial" w:hAnsi="Arial"/>
          <w:sz w:val="20"/>
          <w:szCs w:val="20"/>
          <w:color w:val="070707"/>
        </w:rPr>
        <w:t>From and after the Reduction Date, Subtenant's Percentage Share is decreased to 22.33% (i.e.</w:t>
      </w:r>
      <w:r>
        <w:rPr>
          <w:rFonts w:ascii="Arial" w:cs="Arial" w:eastAsia="Arial" w:hAnsi="Arial"/>
          <w:sz w:val="20"/>
          <w:szCs w:val="20"/>
          <w:color w:val="181818"/>
        </w:rPr>
        <w:t>,</w:t>
      </w:r>
      <w:r>
        <w:rPr>
          <w:rFonts w:ascii="Arial" w:cs="Arial" w:eastAsia="Arial" w:hAnsi="Arial"/>
          <w:sz w:val="20"/>
          <w:szCs w:val="20"/>
          <w:b w:val="1"/>
          <w:bCs w:val="1"/>
          <w:color w:val="070707"/>
        </w:rPr>
        <w:t xml:space="preserve"> </w:t>
      </w:r>
      <w:r>
        <w:rPr>
          <w:rFonts w:ascii="Arial" w:cs="Arial" w:eastAsia="Arial" w:hAnsi="Arial"/>
          <w:sz w:val="20"/>
          <w:szCs w:val="20"/>
          <w:color w:val="070707"/>
        </w:rPr>
        <w:t>69</w:t>
      </w:r>
      <w:r>
        <w:rPr>
          <w:rFonts w:ascii="Arial" w:cs="Arial" w:eastAsia="Arial" w:hAnsi="Arial"/>
          <w:sz w:val="20"/>
          <w:szCs w:val="20"/>
          <w:color w:val="181818"/>
        </w:rPr>
        <w:t>,</w:t>
      </w:r>
      <w:r>
        <w:rPr>
          <w:rFonts w:ascii="Arial" w:cs="Arial" w:eastAsia="Arial" w:hAnsi="Arial"/>
          <w:sz w:val="20"/>
          <w:szCs w:val="20"/>
          <w:color w:val="070707"/>
        </w:rPr>
        <w:t>900/313,063). Notwithstanding anything in this First Amendment to the contrary, Subtenant shall remain liable for all year-end adjustments with respect to Subtenant's Percentage Share of Operating Costs applicable to the Reduction Space for that portion of the calendar year 2018 preceding the Reduction Date. Such adjustments shall be paid at the time, in the manner and otherwise in accordance with the terms of the Sublease, unless otherwise specified herein.</w:t>
      </w:r>
    </w:p>
    <w:p>
      <w:pPr>
        <w:spacing w:after="0" w:line="130" w:lineRule="exact"/>
        <w:rPr>
          <w:rFonts w:ascii="Arial" w:cs="Arial" w:eastAsia="Arial" w:hAnsi="Arial"/>
          <w:sz w:val="20"/>
          <w:szCs w:val="20"/>
          <w:color w:val="070707"/>
        </w:rPr>
      </w:pPr>
    </w:p>
    <w:p>
      <w:pPr>
        <w:jc w:val="both"/>
        <w:ind w:firstLine="656"/>
        <w:spacing w:after="0" w:line="256" w:lineRule="auto"/>
        <w:tabs>
          <w:tab w:leader="none" w:pos="1062" w:val="left"/>
        </w:tabs>
        <w:numPr>
          <w:ilvl w:val="0"/>
          <w:numId w:val="555"/>
        </w:numPr>
        <w:rPr>
          <w:rFonts w:ascii="Arial" w:cs="Arial" w:eastAsia="Arial" w:hAnsi="Arial"/>
          <w:sz w:val="19"/>
          <w:szCs w:val="19"/>
          <w:color w:val="070707"/>
        </w:rPr>
      </w:pPr>
      <w:r>
        <w:rPr>
          <w:rFonts w:ascii="Arial" w:cs="Arial" w:eastAsia="Arial" w:hAnsi="Arial"/>
          <w:sz w:val="19"/>
          <w:szCs w:val="19"/>
          <w:b w:val="1"/>
          <w:bCs w:val="1"/>
          <w:u w:val="single" w:color="auto"/>
          <w:color w:val="070707"/>
        </w:rPr>
        <w:t>Restoration of Reduction Space</w:t>
      </w:r>
      <w:r>
        <w:rPr>
          <w:rFonts w:ascii="Arial" w:cs="Arial" w:eastAsia="Arial" w:hAnsi="Arial"/>
          <w:sz w:val="19"/>
          <w:szCs w:val="19"/>
          <w:b w:val="1"/>
          <w:bCs w:val="1"/>
          <w:color w:val="070707"/>
        </w:rPr>
        <w:t xml:space="preserve">. </w:t>
      </w:r>
      <w:r>
        <w:rPr>
          <w:rFonts w:ascii="Arial" w:cs="Arial" w:eastAsia="Arial" w:hAnsi="Arial"/>
          <w:sz w:val="19"/>
          <w:szCs w:val="19"/>
          <w:color w:val="070707"/>
        </w:rPr>
        <w:t>Sublandlord and Subtenant have conducted joint walk-throughs of the Reduction Space in</w:t>
      </w:r>
      <w:r>
        <w:rPr>
          <w:rFonts w:ascii="Arial" w:cs="Arial" w:eastAsia="Arial" w:hAnsi="Arial"/>
          <w:sz w:val="19"/>
          <w:szCs w:val="19"/>
          <w:b w:val="1"/>
          <w:bCs w:val="1"/>
          <w:color w:val="070707"/>
        </w:rPr>
        <w:t xml:space="preserve"> </w:t>
      </w:r>
      <w:r>
        <w:rPr>
          <w:rFonts w:ascii="Arial" w:cs="Arial" w:eastAsia="Arial" w:hAnsi="Arial"/>
          <w:sz w:val="19"/>
          <w:szCs w:val="19"/>
          <w:color w:val="070707"/>
        </w:rPr>
        <w:t xml:space="preserve">order to determine the general scope of Subtenant's restoration requirements with respect to the Reduction Space, which are set forth on </w:t>
      </w:r>
      <w:r>
        <w:rPr>
          <w:rFonts w:ascii="Arial" w:cs="Arial" w:eastAsia="Arial" w:hAnsi="Arial"/>
          <w:sz w:val="19"/>
          <w:szCs w:val="19"/>
          <w:b w:val="1"/>
          <w:bCs w:val="1"/>
          <w:color w:val="070707"/>
        </w:rPr>
        <w:t xml:space="preserve">Exhibit A </w:t>
      </w:r>
      <w:r>
        <w:rPr>
          <w:rFonts w:ascii="Arial" w:cs="Arial" w:eastAsia="Arial" w:hAnsi="Arial"/>
          <w:sz w:val="19"/>
          <w:szCs w:val="19"/>
          <w:color w:val="070707"/>
        </w:rPr>
        <w:t>attached hereto (the</w:t>
      </w:r>
      <w:r>
        <w:rPr>
          <w:rFonts w:ascii="Arial" w:cs="Arial" w:eastAsia="Arial" w:hAnsi="Arial"/>
          <w:sz w:val="19"/>
          <w:szCs w:val="19"/>
          <w:b w:val="1"/>
          <w:bCs w:val="1"/>
          <w:color w:val="070707"/>
        </w:rPr>
        <w:t xml:space="preserve"> </w:t>
      </w:r>
      <w:r>
        <w:rPr>
          <w:rFonts w:ascii="Arial" w:cs="Arial" w:eastAsia="Arial" w:hAnsi="Arial"/>
          <w:sz w:val="19"/>
          <w:szCs w:val="19"/>
          <w:color w:val="000000"/>
        </w:rPr>
        <w:t>“</w:t>
      </w:r>
      <w:r>
        <w:rPr>
          <w:rFonts w:ascii="Arial" w:cs="Arial" w:eastAsia="Arial" w:hAnsi="Arial"/>
          <w:sz w:val="19"/>
          <w:szCs w:val="19"/>
          <w:b w:val="1"/>
          <w:bCs w:val="1"/>
          <w:color w:val="070707"/>
        </w:rPr>
        <w:t>Reduction Space Restoration Requirements</w:t>
      </w:r>
      <w:r>
        <w:rPr>
          <w:rFonts w:ascii="Arial" w:cs="Arial" w:eastAsia="Arial" w:hAnsi="Arial"/>
          <w:sz w:val="19"/>
          <w:szCs w:val="19"/>
          <w:color w:val="000000"/>
        </w:rPr>
        <w:t>”</w:t>
      </w:r>
      <w:r>
        <w:rPr>
          <w:rFonts w:ascii="Arial" w:cs="Arial" w:eastAsia="Arial" w:hAnsi="Arial"/>
          <w:sz w:val="19"/>
          <w:szCs w:val="19"/>
          <w:color w:val="070707"/>
        </w:rPr>
        <w:t>). Prior to the Reduction Date, Subtenant will complete the</w:t>
      </w:r>
      <w:r>
        <w:rPr>
          <w:rFonts w:ascii="Arial" w:cs="Arial" w:eastAsia="Arial" w:hAnsi="Arial"/>
          <w:sz w:val="19"/>
          <w:szCs w:val="19"/>
          <w:b w:val="1"/>
          <w:bCs w:val="1"/>
          <w:color w:val="070707"/>
        </w:rPr>
        <w:t xml:space="preserve"> </w:t>
      </w:r>
      <w:r>
        <w:rPr>
          <w:rFonts w:ascii="Arial" w:cs="Arial" w:eastAsia="Arial" w:hAnsi="Arial"/>
          <w:sz w:val="19"/>
          <w:szCs w:val="19"/>
          <w:color w:val="070707"/>
        </w:rPr>
        <w:t>Reduction Space Restoration Requirements, at Subtenant's sole cost and expense, pursuant to plans approved in advance by Sublandlord and Landlord and in strict accordance with the construction guidelines of Sublandlord and Landlord</w:t>
      </w:r>
      <w:r>
        <w:rPr>
          <w:rFonts w:ascii="Arial" w:cs="Arial" w:eastAsia="Arial" w:hAnsi="Arial"/>
          <w:sz w:val="19"/>
          <w:szCs w:val="19"/>
          <w:color w:val="181818"/>
        </w:rPr>
        <w:t>.</w:t>
      </w:r>
      <w:r>
        <w:rPr>
          <w:rFonts w:ascii="Arial" w:cs="Arial" w:eastAsia="Arial" w:hAnsi="Arial"/>
          <w:sz w:val="19"/>
          <w:szCs w:val="19"/>
          <w:color w:val="070707"/>
        </w:rPr>
        <w:t xml:space="preserve"> Within three (3) days of notice from Subtenant that the Reduction Space Restoration Requirements have been completed and are ready for inspection, or if no notice is provided then on May 30, 2018</w:t>
      </w:r>
      <w:r>
        <w:rPr>
          <w:rFonts w:ascii="Arial" w:cs="Arial" w:eastAsia="Arial" w:hAnsi="Arial"/>
          <w:sz w:val="19"/>
          <w:szCs w:val="19"/>
          <w:color w:val="181818"/>
        </w:rPr>
        <w:t>,</w:t>
      </w:r>
      <w:r>
        <w:rPr>
          <w:rFonts w:ascii="Arial" w:cs="Arial" w:eastAsia="Arial" w:hAnsi="Arial"/>
          <w:sz w:val="19"/>
          <w:szCs w:val="19"/>
          <w:color w:val="070707"/>
        </w:rPr>
        <w:t xml:space="preserve"> Subtenant and Sublandlord will conduct a joint walk-through o</w:t>
      </w:r>
      <w:r>
        <w:rPr>
          <w:rFonts w:ascii="Arial" w:cs="Arial" w:eastAsia="Arial" w:hAnsi="Arial"/>
          <w:sz w:val="19"/>
          <w:szCs w:val="19"/>
          <w:color w:val="181818"/>
        </w:rPr>
        <w:t>f</w:t>
      </w:r>
      <w:r>
        <w:rPr>
          <w:rFonts w:ascii="Arial" w:cs="Arial" w:eastAsia="Arial" w:hAnsi="Arial"/>
          <w:sz w:val="19"/>
          <w:szCs w:val="19"/>
          <w:color w:val="070707"/>
        </w:rPr>
        <w:t xml:space="preserve"> the Reduction Space in order to catalog deficiencies and/or punch list items in Subtenant</w:t>
      </w:r>
      <w:r>
        <w:rPr>
          <w:rFonts w:ascii="Arial" w:cs="Arial" w:eastAsia="Arial" w:hAnsi="Arial"/>
          <w:sz w:val="19"/>
          <w:szCs w:val="19"/>
          <w:color w:val="181818"/>
        </w:rPr>
        <w:t>'</w:t>
      </w:r>
      <w:r>
        <w:rPr>
          <w:rFonts w:ascii="Arial" w:cs="Arial" w:eastAsia="Arial" w:hAnsi="Arial"/>
          <w:sz w:val="19"/>
          <w:szCs w:val="19"/>
          <w:color w:val="070707"/>
        </w:rPr>
        <w:t>s performance of the Reduction Space Restoration Requirements (which may include damage caused by Subtenant in the course of its work of performing the Reduction Space Restoration Requirements), which deficiencies and/or punch list items will be set forth in writing, and will be completed diligently and in good faith by Subtenant promptly following the preparation of such catalog.</w:t>
      </w:r>
    </w:p>
    <w:p>
      <w:pPr>
        <w:spacing w:after="0" w:line="122" w:lineRule="exact"/>
        <w:rPr>
          <w:rFonts w:ascii="Arial" w:cs="Arial" w:eastAsia="Arial" w:hAnsi="Arial"/>
          <w:sz w:val="19"/>
          <w:szCs w:val="19"/>
          <w:color w:val="070707"/>
        </w:rPr>
      </w:pPr>
    </w:p>
    <w:p>
      <w:pPr>
        <w:jc w:val="both"/>
        <w:ind w:firstLine="656"/>
        <w:spacing w:after="0" w:line="273" w:lineRule="auto"/>
        <w:tabs>
          <w:tab w:leader="none" w:pos="1102" w:val="left"/>
        </w:tabs>
        <w:numPr>
          <w:ilvl w:val="0"/>
          <w:numId w:val="555"/>
        </w:numPr>
        <w:rPr>
          <w:rFonts w:ascii="Arial" w:cs="Arial" w:eastAsia="Arial" w:hAnsi="Arial"/>
          <w:sz w:val="18"/>
          <w:szCs w:val="18"/>
          <w:color w:val="070707"/>
        </w:rPr>
      </w:pPr>
      <w:r>
        <w:rPr>
          <w:rFonts w:ascii="Arial" w:cs="Arial" w:eastAsia="Arial" w:hAnsi="Arial"/>
          <w:sz w:val="18"/>
          <w:szCs w:val="18"/>
          <w:b w:val="1"/>
          <w:bCs w:val="1"/>
          <w:u w:val="single" w:color="auto"/>
          <w:color w:val="070707"/>
        </w:rPr>
        <w:t>Furniture</w:t>
      </w:r>
      <w:r>
        <w:rPr>
          <w:rFonts w:ascii="Arial" w:cs="Arial" w:eastAsia="Arial" w:hAnsi="Arial"/>
          <w:sz w:val="18"/>
          <w:szCs w:val="18"/>
          <w:b w:val="1"/>
          <w:bCs w:val="1"/>
          <w:color w:val="070707"/>
        </w:rPr>
        <w:t xml:space="preserve">. </w:t>
      </w:r>
      <w:r>
        <w:rPr>
          <w:rFonts w:ascii="Arial" w:cs="Arial" w:eastAsia="Arial" w:hAnsi="Arial"/>
          <w:sz w:val="18"/>
          <w:szCs w:val="18"/>
          <w:color w:val="070707"/>
        </w:rPr>
        <w:t>Subtenant shall surrender, on the Reduction Date, the furniture listed on pages F-11 through F-15 of Exhibit F</w:t>
      </w:r>
      <w:r>
        <w:rPr>
          <w:rFonts w:ascii="Arial" w:cs="Arial" w:eastAsia="Arial" w:hAnsi="Arial"/>
          <w:sz w:val="18"/>
          <w:szCs w:val="18"/>
          <w:b w:val="1"/>
          <w:bCs w:val="1"/>
          <w:color w:val="070707"/>
        </w:rPr>
        <w:t xml:space="preserve"> </w:t>
      </w:r>
      <w:r>
        <w:rPr>
          <w:rFonts w:ascii="Arial" w:cs="Arial" w:eastAsia="Arial" w:hAnsi="Arial"/>
          <w:sz w:val="18"/>
          <w:szCs w:val="18"/>
          <w:color w:val="070707"/>
        </w:rPr>
        <w:t xml:space="preserve">attached to the Sublease (the </w:t>
      </w:r>
      <w:r>
        <w:rPr>
          <w:rFonts w:ascii="Arial" w:cs="Arial" w:eastAsia="Arial" w:hAnsi="Arial"/>
          <w:sz w:val="18"/>
          <w:szCs w:val="18"/>
          <w:color w:val="000000"/>
        </w:rPr>
        <w:t>“</w:t>
      </w:r>
      <w:r>
        <w:rPr>
          <w:rFonts w:ascii="Arial" w:cs="Arial" w:eastAsia="Arial" w:hAnsi="Arial"/>
          <w:sz w:val="18"/>
          <w:szCs w:val="18"/>
          <w:b w:val="1"/>
          <w:bCs w:val="1"/>
          <w:color w:val="070707"/>
        </w:rPr>
        <w:t>Sixth Floor Furniture</w:t>
      </w:r>
      <w:r>
        <w:rPr>
          <w:rFonts w:ascii="Arial" w:cs="Arial" w:eastAsia="Arial" w:hAnsi="Arial"/>
          <w:sz w:val="18"/>
          <w:szCs w:val="18"/>
          <w:color w:val="000000"/>
        </w:rPr>
        <w:t>”</w:t>
      </w:r>
      <w:r>
        <w:rPr>
          <w:rFonts w:ascii="Arial" w:cs="Arial" w:eastAsia="Arial" w:hAnsi="Arial"/>
          <w:sz w:val="18"/>
          <w:szCs w:val="18"/>
          <w:color w:val="070707"/>
        </w:rPr>
        <w:t>)</w:t>
      </w:r>
      <w:r>
        <w:rPr>
          <w:rFonts w:ascii="Arial" w:cs="Arial" w:eastAsia="Arial" w:hAnsi="Arial"/>
          <w:sz w:val="18"/>
          <w:szCs w:val="18"/>
          <w:color w:val="181818"/>
        </w:rPr>
        <w:t>;</w:t>
      </w:r>
      <w:r>
        <w:rPr>
          <w:rFonts w:ascii="Arial" w:cs="Arial" w:eastAsia="Arial" w:hAnsi="Arial"/>
          <w:sz w:val="18"/>
          <w:szCs w:val="18"/>
          <w:color w:val="070707"/>
        </w:rPr>
        <w:t xml:space="preserve"> accordingly, Exhibit F of the Sublease is hereby amended to delete pages F-11 through F-15. Subtenant has previously removed and stored some of the Si</w:t>
      </w:r>
      <w:r>
        <w:rPr>
          <w:rFonts w:ascii="Arial" w:cs="Arial" w:eastAsia="Arial" w:hAnsi="Arial"/>
          <w:sz w:val="18"/>
          <w:szCs w:val="18"/>
          <w:color w:val="181818"/>
        </w:rPr>
        <w:t>x</w:t>
      </w:r>
      <w:r>
        <w:rPr>
          <w:rFonts w:ascii="Arial" w:cs="Arial" w:eastAsia="Arial" w:hAnsi="Arial"/>
          <w:sz w:val="18"/>
          <w:szCs w:val="18"/>
          <w:color w:val="070707"/>
        </w:rPr>
        <w:t xml:space="preserve">th Floor Furniture from the Reduction Space (such items being referred to herein as the </w:t>
      </w:r>
      <w:r>
        <w:rPr>
          <w:rFonts w:ascii="Arial" w:cs="Arial" w:eastAsia="Arial" w:hAnsi="Arial"/>
          <w:sz w:val="18"/>
          <w:szCs w:val="18"/>
          <w:color w:val="000000"/>
        </w:rPr>
        <w:t>“</w:t>
      </w:r>
      <w:r>
        <w:rPr>
          <w:rFonts w:ascii="Arial" w:cs="Arial" w:eastAsia="Arial" w:hAnsi="Arial"/>
          <w:sz w:val="18"/>
          <w:szCs w:val="18"/>
          <w:b w:val="1"/>
          <w:bCs w:val="1"/>
          <w:color w:val="070707"/>
        </w:rPr>
        <w:t>Warehoused Furniture</w:t>
      </w:r>
      <w:r>
        <w:rPr>
          <w:rFonts w:ascii="Arial" w:cs="Arial" w:eastAsia="Arial" w:hAnsi="Arial"/>
          <w:sz w:val="18"/>
          <w:szCs w:val="18"/>
          <w:color w:val="000000"/>
        </w:rPr>
        <w:t>”</w:t>
      </w:r>
      <w:r>
        <w:rPr>
          <w:rFonts w:ascii="Arial" w:cs="Arial" w:eastAsia="Arial" w:hAnsi="Arial"/>
          <w:sz w:val="18"/>
          <w:szCs w:val="18"/>
          <w:color w:val="070707"/>
        </w:rPr>
        <w:t>); Subtenant will return the Warehoused Furniture prior to the Reduction Date. Within three (3) days of notice from Subtenant that the Sixth Floor Furniture is ready for inspection, or if no notice is provided then on May 30</w:t>
      </w:r>
      <w:r>
        <w:rPr>
          <w:rFonts w:ascii="Arial" w:cs="Arial" w:eastAsia="Arial" w:hAnsi="Arial"/>
          <w:sz w:val="18"/>
          <w:szCs w:val="18"/>
          <w:color w:val="181818"/>
        </w:rPr>
        <w:t>,</w:t>
      </w:r>
      <w:r>
        <w:rPr>
          <w:rFonts w:ascii="Arial" w:cs="Arial" w:eastAsia="Arial" w:hAnsi="Arial"/>
          <w:sz w:val="18"/>
          <w:szCs w:val="18"/>
          <w:color w:val="070707"/>
        </w:rPr>
        <w:t xml:space="preserve"> 2018, Sublandlord and Subtenant will conduct a joint walk-through of the Reduction Space in order to inventory items of damage or disrepair with respect to the portion of the Sixth Floor Furniture currently located in the Reduction Space and the Warehoused </w:t>
      </w:r>
      <w:r>
        <w:rPr>
          <w:rFonts w:ascii="Arial" w:cs="Arial" w:eastAsia="Arial" w:hAnsi="Arial"/>
          <w:sz w:val="18"/>
          <w:szCs w:val="18"/>
          <w:color w:val="181818"/>
        </w:rPr>
        <w:t>F</w:t>
      </w:r>
      <w:r>
        <w:rPr>
          <w:rFonts w:ascii="Arial" w:cs="Arial" w:eastAsia="Arial" w:hAnsi="Arial"/>
          <w:sz w:val="18"/>
          <w:szCs w:val="18"/>
          <w:color w:val="070707"/>
        </w:rPr>
        <w:t>urniture to determine whether the Sixth Floor Furniture has been installed and assembled in a manner which will allow Sub landlord to commence use of the same. Subtenant agrees to remedy any such items of damage or improper/incomplete installation prior to the Reduction Date.</w:t>
      </w:r>
    </w:p>
    <w:p>
      <w:pPr>
        <w:spacing w:after="0" w:line="108" w:lineRule="exact"/>
        <w:rPr>
          <w:rFonts w:ascii="Arial" w:cs="Arial" w:eastAsia="Arial" w:hAnsi="Arial"/>
          <w:sz w:val="18"/>
          <w:szCs w:val="18"/>
          <w:color w:val="070707"/>
        </w:rPr>
      </w:pPr>
    </w:p>
    <w:p>
      <w:pPr>
        <w:jc w:val="both"/>
        <w:ind w:firstLine="656"/>
        <w:spacing w:after="0" w:line="285" w:lineRule="auto"/>
        <w:tabs>
          <w:tab w:leader="none" w:pos="1048" w:val="left"/>
        </w:tabs>
        <w:numPr>
          <w:ilvl w:val="0"/>
          <w:numId w:val="555"/>
        </w:numPr>
        <w:rPr>
          <w:rFonts w:ascii="Arial" w:cs="Arial" w:eastAsia="Arial" w:hAnsi="Arial"/>
          <w:sz w:val="18"/>
          <w:szCs w:val="18"/>
          <w:color w:val="070707"/>
        </w:rPr>
      </w:pPr>
      <w:r>
        <w:rPr>
          <w:rFonts w:ascii="Arial" w:cs="Arial" w:eastAsia="Arial" w:hAnsi="Arial"/>
          <w:sz w:val="18"/>
          <w:szCs w:val="18"/>
          <w:b w:val="1"/>
          <w:bCs w:val="1"/>
          <w:u w:val="single" w:color="auto"/>
          <w:color w:val="070707"/>
        </w:rPr>
        <w:t>Transfer of Furniture</w:t>
      </w:r>
      <w:r>
        <w:rPr>
          <w:rFonts w:ascii="Arial" w:cs="Arial" w:eastAsia="Arial" w:hAnsi="Arial"/>
          <w:sz w:val="18"/>
          <w:szCs w:val="18"/>
          <w:b w:val="1"/>
          <w:bCs w:val="1"/>
          <w:color w:val="070707"/>
        </w:rPr>
        <w:t xml:space="preserve">. </w:t>
      </w:r>
      <w:r>
        <w:rPr>
          <w:rFonts w:ascii="Arial" w:cs="Arial" w:eastAsia="Arial" w:hAnsi="Arial"/>
          <w:sz w:val="18"/>
          <w:szCs w:val="18"/>
          <w:color w:val="070707"/>
        </w:rPr>
        <w:t>In consideration of a purchase price of $26</w:t>
      </w:r>
      <w:r>
        <w:rPr>
          <w:rFonts w:ascii="Arial" w:cs="Arial" w:eastAsia="Arial" w:hAnsi="Arial"/>
          <w:sz w:val="18"/>
          <w:szCs w:val="18"/>
          <w:color w:val="181818"/>
        </w:rPr>
        <w:t>,</w:t>
      </w:r>
      <w:r>
        <w:rPr>
          <w:rFonts w:ascii="Arial" w:cs="Arial" w:eastAsia="Arial" w:hAnsi="Arial"/>
          <w:sz w:val="18"/>
          <w:szCs w:val="18"/>
          <w:color w:val="070707"/>
        </w:rPr>
        <w:t>700.00 to be paid by Sublandlord to Subtenant, Subtenant</w:t>
      </w:r>
      <w:r>
        <w:rPr>
          <w:rFonts w:ascii="Arial" w:cs="Arial" w:eastAsia="Arial" w:hAnsi="Arial"/>
          <w:sz w:val="18"/>
          <w:szCs w:val="18"/>
          <w:b w:val="1"/>
          <w:bCs w:val="1"/>
          <w:color w:val="070707"/>
        </w:rPr>
        <w:t xml:space="preserve"> </w:t>
      </w:r>
      <w:r>
        <w:rPr>
          <w:rFonts w:ascii="Arial" w:cs="Arial" w:eastAsia="Arial" w:hAnsi="Arial"/>
          <w:sz w:val="18"/>
          <w:szCs w:val="18"/>
          <w:color w:val="070707"/>
        </w:rPr>
        <w:t xml:space="preserve">shall convey to Sublandlord on the Reduction Date, title to the furniture owned by Subtenant and located in the Reduction Space, in its as-is condition as of the First Amendment Effective Date, as described in more particular detail in </w:t>
      </w:r>
      <w:r>
        <w:rPr>
          <w:rFonts w:ascii="Arial" w:cs="Arial" w:eastAsia="Arial" w:hAnsi="Arial"/>
          <w:sz w:val="18"/>
          <w:szCs w:val="18"/>
          <w:b w:val="1"/>
          <w:bCs w:val="1"/>
          <w:color w:val="0B0B0B"/>
        </w:rPr>
        <w:t>Schedule 1</w:t>
      </w:r>
      <w:r>
        <w:rPr>
          <w:rFonts w:ascii="Arial" w:cs="Arial" w:eastAsia="Arial" w:hAnsi="Arial"/>
          <w:sz w:val="18"/>
          <w:szCs w:val="18"/>
          <w:color w:val="070707"/>
        </w:rPr>
        <w:t xml:space="preserve"> </w:t>
      </w:r>
      <w:r>
        <w:rPr>
          <w:rFonts w:ascii="Arial" w:cs="Arial" w:eastAsia="Arial" w:hAnsi="Arial"/>
          <w:sz w:val="18"/>
          <w:szCs w:val="18"/>
          <w:color w:val="0B0B0B"/>
        </w:rPr>
        <w:t>of the bill of</w:t>
      </w:r>
      <w:r>
        <w:rPr>
          <w:rFonts w:ascii="Arial" w:cs="Arial" w:eastAsia="Arial" w:hAnsi="Arial"/>
          <w:sz w:val="18"/>
          <w:szCs w:val="18"/>
          <w:color w:val="070707"/>
        </w:rPr>
        <w:t xml:space="preserve"> </w:t>
      </w:r>
      <w:r>
        <w:rPr>
          <w:rFonts w:ascii="Arial" w:cs="Arial" w:eastAsia="Arial" w:hAnsi="Arial"/>
          <w:sz w:val="18"/>
          <w:szCs w:val="18"/>
          <w:color w:val="1F1F1F"/>
        </w:rPr>
        <w:t>s</w:t>
      </w:r>
      <w:r>
        <w:rPr>
          <w:rFonts w:ascii="Arial" w:cs="Arial" w:eastAsia="Arial" w:hAnsi="Arial"/>
          <w:sz w:val="18"/>
          <w:szCs w:val="18"/>
          <w:color w:val="0B0B0B"/>
        </w:rPr>
        <w:t>ale attached hereto as</w:t>
      </w:r>
      <w:r>
        <w:rPr>
          <w:rFonts w:ascii="Arial" w:cs="Arial" w:eastAsia="Arial" w:hAnsi="Arial"/>
          <w:sz w:val="18"/>
          <w:szCs w:val="18"/>
          <w:color w:val="070707"/>
        </w:rPr>
        <w:t xml:space="preserve"> </w:t>
      </w:r>
      <w:r>
        <w:rPr>
          <w:rFonts w:ascii="Arial" w:cs="Arial" w:eastAsia="Arial" w:hAnsi="Arial"/>
          <w:sz w:val="18"/>
          <w:szCs w:val="18"/>
          <w:b w:val="1"/>
          <w:bCs w:val="1"/>
          <w:color w:val="0B0B0B"/>
        </w:rPr>
        <w:t xml:space="preserve">Exhibit B </w:t>
      </w:r>
      <w:r>
        <w:rPr>
          <w:rFonts w:ascii="Arial" w:cs="Arial" w:eastAsia="Arial" w:hAnsi="Arial"/>
          <w:sz w:val="18"/>
          <w:szCs w:val="18"/>
          <w:color w:val="0B0B0B"/>
        </w:rPr>
        <w:t>(the</w:t>
      </w:r>
      <w:r>
        <w:rPr>
          <w:rFonts w:ascii="Arial" w:cs="Arial" w:eastAsia="Arial" w:hAnsi="Arial"/>
          <w:sz w:val="18"/>
          <w:szCs w:val="18"/>
          <w:b w:val="1"/>
          <w:bCs w:val="1"/>
          <w:color w:val="0B0B0B"/>
        </w:rPr>
        <w:t xml:space="preserve"> </w:t>
      </w:r>
      <w:r>
        <w:rPr>
          <w:rFonts w:ascii="Arial" w:cs="Arial" w:eastAsia="Arial" w:hAnsi="Arial"/>
          <w:sz w:val="18"/>
          <w:szCs w:val="18"/>
          <w:color w:val="000000"/>
        </w:rPr>
        <w:t>“</w:t>
      </w:r>
      <w:r>
        <w:rPr>
          <w:rFonts w:ascii="Arial" w:cs="Arial" w:eastAsia="Arial" w:hAnsi="Arial"/>
          <w:sz w:val="18"/>
          <w:szCs w:val="18"/>
          <w:b w:val="1"/>
          <w:bCs w:val="1"/>
          <w:color w:val="0B0B0B"/>
        </w:rPr>
        <w:t>Bill of Sale</w:t>
      </w:r>
      <w:r>
        <w:rPr>
          <w:rFonts w:ascii="Arial" w:cs="Arial" w:eastAsia="Arial" w:hAnsi="Arial"/>
          <w:sz w:val="18"/>
          <w:szCs w:val="18"/>
          <w:color w:val="000000"/>
        </w:rPr>
        <w:t>”</w:t>
      </w:r>
      <w:r>
        <w:rPr>
          <w:rFonts w:ascii="Arial" w:cs="Arial" w:eastAsia="Arial" w:hAnsi="Arial"/>
          <w:sz w:val="18"/>
          <w:szCs w:val="18"/>
          <w:color w:val="0B0B0B"/>
        </w:rPr>
        <w:t>) (the</w:t>
      </w:r>
      <w:r>
        <w:rPr>
          <w:rFonts w:ascii="Arial" w:cs="Arial" w:eastAsia="Arial" w:hAnsi="Arial"/>
          <w:sz w:val="18"/>
          <w:szCs w:val="18"/>
          <w:b w:val="1"/>
          <w:bCs w:val="1"/>
          <w:color w:val="0B0B0B"/>
        </w:rPr>
        <w:t xml:space="preserve"> </w:t>
      </w:r>
      <w:r>
        <w:rPr>
          <w:rFonts w:ascii="Arial" w:cs="Arial" w:eastAsia="Arial" w:hAnsi="Arial"/>
          <w:sz w:val="18"/>
          <w:szCs w:val="18"/>
          <w:color w:val="000000"/>
        </w:rPr>
        <w:t>“</w:t>
      </w:r>
      <w:r>
        <w:rPr>
          <w:rFonts w:ascii="Arial" w:cs="Arial" w:eastAsia="Arial" w:hAnsi="Arial"/>
          <w:sz w:val="18"/>
          <w:szCs w:val="18"/>
          <w:b w:val="1"/>
          <w:bCs w:val="1"/>
          <w:color w:val="0B0B0B"/>
        </w:rPr>
        <w:t>Furniture</w:t>
      </w:r>
      <w:r>
        <w:rPr>
          <w:rFonts w:ascii="Arial" w:cs="Arial" w:eastAsia="Arial" w:hAnsi="Arial"/>
          <w:sz w:val="18"/>
          <w:szCs w:val="18"/>
          <w:color w:val="000000"/>
        </w:rPr>
        <w:t>”</w:t>
      </w:r>
      <w:r>
        <w:rPr>
          <w:rFonts w:ascii="Arial" w:cs="Arial" w:eastAsia="Arial" w:hAnsi="Arial"/>
          <w:sz w:val="18"/>
          <w:szCs w:val="18"/>
          <w:color w:val="0B0B0B"/>
        </w:rPr>
        <w:t>). In connection with such transfer of the Furniture, Subtenant shall execute the Bill of Sale.</w:t>
      </w:r>
    </w:p>
    <w:p>
      <w:pPr>
        <w:spacing w:after="0" w:line="96" w:lineRule="exact"/>
        <w:rPr>
          <w:rFonts w:ascii="Arial" w:cs="Arial" w:eastAsia="Arial" w:hAnsi="Arial"/>
          <w:sz w:val="18"/>
          <w:szCs w:val="18"/>
          <w:color w:val="070707"/>
        </w:rPr>
      </w:pPr>
    </w:p>
    <w:p>
      <w:pPr>
        <w:jc w:val="both"/>
        <w:ind w:firstLine="656"/>
        <w:spacing w:after="0" w:line="253" w:lineRule="auto"/>
        <w:tabs>
          <w:tab w:leader="none" w:pos="1008" w:val="left"/>
        </w:tabs>
        <w:numPr>
          <w:ilvl w:val="0"/>
          <w:numId w:val="555"/>
        </w:numPr>
        <w:rPr>
          <w:rFonts w:ascii="Arial" w:cs="Arial" w:eastAsia="Arial" w:hAnsi="Arial"/>
          <w:sz w:val="20"/>
          <w:szCs w:val="20"/>
          <w:color w:val="0B0B0B"/>
        </w:rPr>
      </w:pPr>
      <w:r>
        <w:rPr>
          <w:rFonts w:ascii="Arial" w:cs="Arial" w:eastAsia="Arial" w:hAnsi="Arial"/>
          <w:sz w:val="20"/>
          <w:szCs w:val="20"/>
          <w:b w:val="1"/>
          <w:bCs w:val="1"/>
          <w:u w:val="single" w:color="auto"/>
          <w:color w:val="0B0B0B"/>
        </w:rPr>
        <w:t>Failure to Timely Complete Work</w:t>
      </w:r>
      <w:r>
        <w:rPr>
          <w:rFonts w:ascii="Arial" w:cs="Arial" w:eastAsia="Arial" w:hAnsi="Arial"/>
          <w:sz w:val="20"/>
          <w:szCs w:val="20"/>
          <w:b w:val="1"/>
          <w:bCs w:val="1"/>
          <w:color w:val="0B0B0B"/>
        </w:rPr>
        <w:t xml:space="preserve">. </w:t>
      </w:r>
      <w:r>
        <w:rPr>
          <w:rFonts w:ascii="Arial" w:cs="Arial" w:eastAsia="Arial" w:hAnsi="Arial"/>
          <w:sz w:val="20"/>
          <w:szCs w:val="20"/>
          <w:color w:val="0B0B0B"/>
        </w:rPr>
        <w:t>If Sub</w:t>
      </w:r>
      <w:r>
        <w:rPr>
          <w:rFonts w:ascii="Arial" w:cs="Arial" w:eastAsia="Arial" w:hAnsi="Arial"/>
          <w:sz w:val="20"/>
          <w:szCs w:val="20"/>
          <w:color w:val="1F1F1F"/>
        </w:rPr>
        <w:t>t</w:t>
      </w:r>
      <w:r>
        <w:rPr>
          <w:rFonts w:ascii="Arial" w:cs="Arial" w:eastAsia="Arial" w:hAnsi="Arial"/>
          <w:sz w:val="20"/>
          <w:szCs w:val="20"/>
          <w:color w:val="0B0B0B"/>
        </w:rPr>
        <w:t>enant fails to complete the Reduction Space Restoration Requirements, inclusive of</w:t>
      </w:r>
      <w:r>
        <w:rPr>
          <w:rFonts w:ascii="Arial" w:cs="Arial" w:eastAsia="Arial" w:hAnsi="Arial"/>
          <w:sz w:val="20"/>
          <w:szCs w:val="20"/>
          <w:b w:val="1"/>
          <w:bCs w:val="1"/>
          <w:color w:val="0B0B0B"/>
        </w:rPr>
        <w:t xml:space="preserve"> </w:t>
      </w:r>
      <w:r>
        <w:rPr>
          <w:rFonts w:ascii="Arial" w:cs="Arial" w:eastAsia="Arial" w:hAnsi="Arial"/>
          <w:sz w:val="20"/>
          <w:szCs w:val="20"/>
          <w:color w:val="0B0B0B"/>
        </w:rPr>
        <w:t>the completion of all work required to be performed by Subtenant pursuant to the provisions of Section 6 above</w:t>
      </w:r>
      <w:r>
        <w:rPr>
          <w:rFonts w:ascii="Arial" w:cs="Arial" w:eastAsia="Arial" w:hAnsi="Arial"/>
          <w:sz w:val="20"/>
          <w:szCs w:val="20"/>
          <w:color w:val="1F1F1F"/>
        </w:rPr>
        <w:t>,</w:t>
      </w:r>
      <w:r>
        <w:rPr>
          <w:rFonts w:ascii="Arial" w:cs="Arial" w:eastAsia="Arial" w:hAnsi="Arial"/>
          <w:sz w:val="20"/>
          <w:szCs w:val="20"/>
          <w:color w:val="0B0B0B"/>
        </w:rPr>
        <w:t xml:space="preserve"> provided that Subtenant is diligently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2" w:right="339" w:bottom="1440" w:gutter="0" w:footer="0" w:header="0"/>
        </w:sectPr>
      </w:pPr>
    </w:p>
    <w:bookmarkStart w:id="583" w:name="page584"/>
    <w:bookmarkEnd w:id="583"/>
    <w:p>
      <w:pPr>
        <w:jc w:val="both"/>
        <w:spacing w:after="0" w:line="243" w:lineRule="auto"/>
        <w:rPr>
          <w:sz w:val="20"/>
          <w:szCs w:val="20"/>
          <w:color w:val="auto"/>
        </w:rPr>
      </w:pPr>
      <w:r>
        <w:rPr>
          <w:rFonts w:ascii="Arial" w:cs="Arial" w:eastAsia="Arial" w:hAnsi="Arial"/>
          <w:sz w:val="20"/>
          <w:szCs w:val="20"/>
          <w:color w:val="0B0B0B"/>
        </w:rPr>
        <w:t>continuously completing such work</w:t>
      </w:r>
      <w:r>
        <w:rPr>
          <w:rFonts w:ascii="Arial" w:cs="Arial" w:eastAsia="Arial" w:hAnsi="Arial"/>
          <w:sz w:val="20"/>
          <w:szCs w:val="20"/>
          <w:color w:val="1F1F1F"/>
        </w:rPr>
        <w:t>,</w:t>
      </w:r>
      <w:r>
        <w:rPr>
          <w:rFonts w:ascii="Arial" w:cs="Arial" w:eastAsia="Arial" w:hAnsi="Arial"/>
          <w:sz w:val="20"/>
          <w:szCs w:val="20"/>
          <w:color w:val="0B0B0B"/>
        </w:rPr>
        <w:t xml:space="preserve"> then Subtenant's continued presence in the Reduction Space for the sole purpose of completing such work will not be deemed a holdover for the purposes of Section 16 of the Sublease, but rather (a) Subtenant will continue to pay Rent for the Reduction Space at the rate payable immediately preceding the scheduled Reduction Date</w:t>
      </w:r>
      <w:r>
        <w:rPr>
          <w:rFonts w:ascii="Arial" w:cs="Arial" w:eastAsia="Arial" w:hAnsi="Arial"/>
          <w:sz w:val="20"/>
          <w:szCs w:val="20"/>
          <w:color w:val="1F1F1F"/>
        </w:rPr>
        <w:t>,</w:t>
      </w:r>
      <w:r>
        <w:rPr>
          <w:rFonts w:ascii="Arial" w:cs="Arial" w:eastAsia="Arial" w:hAnsi="Arial"/>
          <w:sz w:val="20"/>
          <w:szCs w:val="20"/>
          <w:color w:val="0B0B0B"/>
        </w:rPr>
        <w:t xml:space="preserve"> calculated on a per diem basis, until all of Subtenant</w:t>
      </w:r>
      <w:r>
        <w:rPr>
          <w:rFonts w:ascii="Arial" w:cs="Arial" w:eastAsia="Arial" w:hAnsi="Arial"/>
          <w:sz w:val="20"/>
          <w:szCs w:val="20"/>
          <w:color w:val="1F1F1F"/>
        </w:rPr>
        <w:t>'</w:t>
      </w:r>
      <w:r>
        <w:rPr>
          <w:rFonts w:ascii="Arial" w:cs="Arial" w:eastAsia="Arial" w:hAnsi="Arial"/>
          <w:sz w:val="20"/>
          <w:szCs w:val="20"/>
          <w:color w:val="0B0B0B"/>
        </w:rPr>
        <w:t>s obligations hereunder have been completed, and (b) Subtenant will coordinate its presence within the Reduction Space with Sublandlord in order to minimize interference with Sublandlord</w:t>
      </w:r>
      <w:r>
        <w:rPr>
          <w:rFonts w:ascii="Arial" w:cs="Arial" w:eastAsia="Arial" w:hAnsi="Arial"/>
          <w:sz w:val="20"/>
          <w:szCs w:val="20"/>
          <w:color w:val="1F1F1F"/>
        </w:rPr>
        <w:t>'</w:t>
      </w:r>
      <w:r>
        <w:rPr>
          <w:rFonts w:ascii="Arial" w:cs="Arial" w:eastAsia="Arial" w:hAnsi="Arial"/>
          <w:sz w:val="20"/>
          <w:szCs w:val="20"/>
          <w:color w:val="0B0B0B"/>
        </w:rPr>
        <w:t>s personnel, contractors and vendors who are fitting out the Reduction Space for Sublandlord's use</w:t>
      </w:r>
      <w:r>
        <w:rPr>
          <w:rFonts w:ascii="Arial" w:cs="Arial" w:eastAsia="Arial" w:hAnsi="Arial"/>
          <w:sz w:val="20"/>
          <w:szCs w:val="20"/>
          <w:color w:val="1F1F1F"/>
        </w:rPr>
        <w:t>,</w:t>
      </w:r>
      <w:r>
        <w:rPr>
          <w:rFonts w:ascii="Arial" w:cs="Arial" w:eastAsia="Arial" w:hAnsi="Arial"/>
          <w:sz w:val="20"/>
          <w:szCs w:val="20"/>
          <w:color w:val="0B0B0B"/>
        </w:rPr>
        <w:t xml:space="preserve"> and each party agrees to use reasonable efforts to minimize interference with the other party</w:t>
      </w:r>
      <w:r>
        <w:rPr>
          <w:rFonts w:ascii="Arial" w:cs="Arial" w:eastAsia="Arial" w:hAnsi="Arial"/>
          <w:sz w:val="20"/>
          <w:szCs w:val="20"/>
          <w:color w:val="1F1F1F"/>
        </w:rPr>
        <w:t>'</w:t>
      </w:r>
      <w:r>
        <w:rPr>
          <w:rFonts w:ascii="Arial" w:cs="Arial" w:eastAsia="Arial" w:hAnsi="Arial"/>
          <w:sz w:val="20"/>
          <w:szCs w:val="20"/>
          <w:color w:val="0B0B0B"/>
        </w:rPr>
        <w:t>s work in connection therewith.</w:t>
      </w:r>
    </w:p>
    <w:p>
      <w:pPr>
        <w:spacing w:after="0" w:line="133" w:lineRule="exact"/>
        <w:rPr>
          <w:sz w:val="20"/>
          <w:szCs w:val="20"/>
          <w:color w:val="auto"/>
        </w:rPr>
      </w:pPr>
    </w:p>
    <w:p>
      <w:pPr>
        <w:jc w:val="both"/>
        <w:ind w:firstLine="656"/>
        <w:spacing w:after="0" w:line="273" w:lineRule="auto"/>
        <w:tabs>
          <w:tab w:leader="none" w:pos="994" w:val="left"/>
        </w:tabs>
        <w:numPr>
          <w:ilvl w:val="0"/>
          <w:numId w:val="556"/>
        </w:numPr>
        <w:rPr>
          <w:rFonts w:ascii="Arial" w:cs="Arial" w:eastAsia="Arial" w:hAnsi="Arial"/>
          <w:sz w:val="18"/>
          <w:szCs w:val="18"/>
          <w:color w:val="0B0B0B"/>
        </w:rPr>
      </w:pPr>
      <w:r>
        <w:rPr>
          <w:rFonts w:ascii="Arial" w:cs="Arial" w:eastAsia="Arial" w:hAnsi="Arial"/>
          <w:sz w:val="18"/>
          <w:szCs w:val="18"/>
          <w:b w:val="1"/>
          <w:bCs w:val="1"/>
          <w:u w:val="single" w:color="auto"/>
          <w:color w:val="0B0B0B"/>
        </w:rPr>
        <w:t>Letter of Credit</w:t>
      </w:r>
      <w:r>
        <w:rPr>
          <w:rFonts w:ascii="Arial" w:cs="Arial" w:eastAsia="Arial" w:hAnsi="Arial"/>
          <w:sz w:val="18"/>
          <w:szCs w:val="18"/>
          <w:b w:val="1"/>
          <w:bCs w:val="1"/>
          <w:color w:val="0B0B0B"/>
        </w:rPr>
        <w:t xml:space="preserve">. </w:t>
      </w:r>
      <w:r>
        <w:rPr>
          <w:rFonts w:ascii="Arial" w:cs="Arial" w:eastAsia="Arial" w:hAnsi="Arial"/>
          <w:sz w:val="18"/>
          <w:szCs w:val="18"/>
          <w:color w:val="0B0B0B"/>
        </w:rPr>
        <w:t>Subject to the satisfaction of Subtenant's obligations under this First Amendment, Section 4(a) of the Sublease</w:t>
      </w:r>
      <w:r>
        <w:rPr>
          <w:rFonts w:ascii="Arial" w:cs="Arial" w:eastAsia="Arial" w:hAnsi="Arial"/>
          <w:sz w:val="18"/>
          <w:szCs w:val="18"/>
          <w:b w:val="1"/>
          <w:bCs w:val="1"/>
          <w:color w:val="0B0B0B"/>
        </w:rPr>
        <w:t xml:space="preserve"> </w:t>
      </w:r>
      <w:r>
        <w:rPr>
          <w:rFonts w:ascii="Arial" w:cs="Arial" w:eastAsia="Arial" w:hAnsi="Arial"/>
          <w:sz w:val="18"/>
          <w:szCs w:val="18"/>
          <w:color w:val="0B0B0B"/>
        </w:rPr>
        <w:t>is hereby amended to reduce the Letter of Credit Amount set forth therein in proportion to the reduction in the size of the Subleased Premises</w:t>
      </w:r>
      <w:r>
        <w:rPr>
          <w:rFonts w:ascii="Arial" w:cs="Arial" w:eastAsia="Arial" w:hAnsi="Arial"/>
          <w:sz w:val="18"/>
          <w:szCs w:val="18"/>
          <w:color w:val="1F1F1F"/>
        </w:rPr>
        <w:t>,</w:t>
      </w:r>
      <w:r>
        <w:rPr>
          <w:rFonts w:ascii="Arial" w:cs="Arial" w:eastAsia="Arial" w:hAnsi="Arial"/>
          <w:sz w:val="18"/>
          <w:szCs w:val="18"/>
          <w:color w:val="0B0B0B"/>
        </w:rPr>
        <w:t xml:space="preserve"> such that from and after the Reduction Date the Letter of Credit Amount shall be $2,656</w:t>
      </w:r>
      <w:r>
        <w:rPr>
          <w:rFonts w:ascii="Arial" w:cs="Arial" w:eastAsia="Arial" w:hAnsi="Arial"/>
          <w:sz w:val="18"/>
          <w:szCs w:val="18"/>
          <w:color w:val="1F1F1F"/>
        </w:rPr>
        <w:t>,</w:t>
      </w:r>
      <w:r>
        <w:rPr>
          <w:rFonts w:ascii="Arial" w:cs="Arial" w:eastAsia="Arial" w:hAnsi="Arial"/>
          <w:sz w:val="18"/>
          <w:szCs w:val="18"/>
          <w:color w:val="0B0B0B"/>
        </w:rPr>
        <w:t>200</w:t>
      </w:r>
      <w:r>
        <w:rPr>
          <w:rFonts w:ascii="Arial" w:cs="Arial" w:eastAsia="Arial" w:hAnsi="Arial"/>
          <w:sz w:val="18"/>
          <w:szCs w:val="18"/>
          <w:color w:val="1F1F1F"/>
        </w:rPr>
        <w:t>.</w:t>
      </w:r>
      <w:r>
        <w:rPr>
          <w:rFonts w:ascii="Arial" w:cs="Arial" w:eastAsia="Arial" w:hAnsi="Arial"/>
          <w:sz w:val="18"/>
          <w:szCs w:val="18"/>
          <w:color w:val="0B0B0B"/>
        </w:rPr>
        <w:t>00</w:t>
      </w:r>
      <w:r>
        <w:rPr>
          <w:rFonts w:ascii="Arial" w:cs="Arial" w:eastAsia="Arial" w:hAnsi="Arial"/>
          <w:sz w:val="18"/>
          <w:szCs w:val="18"/>
          <w:color w:val="1F1F1F"/>
        </w:rPr>
        <w:t>.</w:t>
      </w:r>
      <w:r>
        <w:rPr>
          <w:rFonts w:ascii="Arial" w:cs="Arial" w:eastAsia="Arial" w:hAnsi="Arial"/>
          <w:sz w:val="18"/>
          <w:szCs w:val="18"/>
          <w:color w:val="0B0B0B"/>
        </w:rPr>
        <w:t xml:space="preserve"> Such reduction in the Letter of Credit Amount shall be accomplished by Subtenant providing Sublandlord with a substitute Letter of Credit or amendment thereto in the reduced amount, in either case in form and substance reasonably satisfactory to Sublandlord</w:t>
      </w:r>
      <w:r>
        <w:rPr>
          <w:rFonts w:ascii="Arial" w:cs="Arial" w:eastAsia="Arial" w:hAnsi="Arial"/>
          <w:sz w:val="18"/>
          <w:szCs w:val="18"/>
          <w:color w:val="1F1F1F"/>
        </w:rPr>
        <w:t>.</w:t>
      </w:r>
      <w:r>
        <w:rPr>
          <w:rFonts w:ascii="Arial" w:cs="Arial" w:eastAsia="Arial" w:hAnsi="Arial"/>
          <w:sz w:val="18"/>
          <w:szCs w:val="18"/>
          <w:color w:val="0B0B0B"/>
        </w:rPr>
        <w:t xml:space="preserve"> If Subtenant elect</w:t>
      </w:r>
      <w:r>
        <w:rPr>
          <w:rFonts w:ascii="Arial" w:cs="Arial" w:eastAsia="Arial" w:hAnsi="Arial"/>
          <w:sz w:val="18"/>
          <w:szCs w:val="18"/>
          <w:color w:val="1F1F1F"/>
        </w:rPr>
        <w:t>s</w:t>
      </w:r>
      <w:r>
        <w:rPr>
          <w:rFonts w:ascii="Arial" w:cs="Arial" w:eastAsia="Arial" w:hAnsi="Arial"/>
          <w:sz w:val="18"/>
          <w:szCs w:val="18"/>
          <w:color w:val="0B0B0B"/>
        </w:rPr>
        <w:t xml:space="preserve"> to deliver a substitute Letter of Credit</w:t>
      </w:r>
      <w:r>
        <w:rPr>
          <w:rFonts w:ascii="Arial" w:cs="Arial" w:eastAsia="Arial" w:hAnsi="Arial"/>
          <w:sz w:val="18"/>
          <w:szCs w:val="18"/>
          <w:color w:val="1F1F1F"/>
        </w:rPr>
        <w:t>,</w:t>
      </w:r>
      <w:r>
        <w:rPr>
          <w:rFonts w:ascii="Arial" w:cs="Arial" w:eastAsia="Arial" w:hAnsi="Arial"/>
          <w:sz w:val="18"/>
          <w:szCs w:val="18"/>
          <w:color w:val="0B0B0B"/>
        </w:rPr>
        <w:t xml:space="preserve"> then upon such delivery, Sublandlord shall</w:t>
      </w:r>
      <w:r>
        <w:rPr>
          <w:rFonts w:ascii="Arial" w:cs="Arial" w:eastAsia="Arial" w:hAnsi="Arial"/>
          <w:sz w:val="18"/>
          <w:szCs w:val="18"/>
          <w:color w:val="1F1F1F"/>
        </w:rPr>
        <w:t>,</w:t>
      </w:r>
      <w:r>
        <w:rPr>
          <w:rFonts w:ascii="Arial" w:cs="Arial" w:eastAsia="Arial" w:hAnsi="Arial"/>
          <w:sz w:val="18"/>
          <w:szCs w:val="18"/>
          <w:color w:val="0B0B0B"/>
        </w:rPr>
        <w:t xml:space="preserve"> at no cost to Sublandlord, return the then-existing Letter of Credit to Subtenant and will agree to execute such reasonable correspondence as may be reasonably required by the issuing bank to cause the termination of such prior Letter of Credit. If Subtenant elects to deliver an amendment to the existing Letter of Credit, Sublandlord will execute such amendment and return the same to Subtenant or to the Issuing Bank, at Subtenant's direction.</w:t>
      </w:r>
    </w:p>
    <w:p>
      <w:pPr>
        <w:spacing w:after="0" w:line="108" w:lineRule="exact"/>
        <w:rPr>
          <w:rFonts w:ascii="Arial" w:cs="Arial" w:eastAsia="Arial" w:hAnsi="Arial"/>
          <w:sz w:val="18"/>
          <w:szCs w:val="18"/>
          <w:color w:val="0B0B0B"/>
        </w:rPr>
      </w:pPr>
    </w:p>
    <w:p>
      <w:pPr>
        <w:jc w:val="both"/>
        <w:ind w:firstLine="656"/>
        <w:spacing w:after="0" w:line="259" w:lineRule="auto"/>
        <w:tabs>
          <w:tab w:leader="none" w:pos="1188" w:val="left"/>
        </w:tabs>
        <w:numPr>
          <w:ilvl w:val="0"/>
          <w:numId w:val="556"/>
        </w:numPr>
        <w:rPr>
          <w:rFonts w:ascii="Arial" w:cs="Arial" w:eastAsia="Arial" w:hAnsi="Arial"/>
          <w:sz w:val="19"/>
          <w:szCs w:val="19"/>
          <w:color w:val="0B0B0B"/>
        </w:rPr>
      </w:pPr>
      <w:r>
        <w:rPr>
          <w:rFonts w:ascii="Arial" w:cs="Arial" w:eastAsia="Arial" w:hAnsi="Arial"/>
          <w:sz w:val="19"/>
          <w:szCs w:val="19"/>
          <w:b w:val="1"/>
          <w:bCs w:val="1"/>
          <w:u w:val="single" w:color="auto"/>
          <w:color w:val="0B0B0B"/>
        </w:rPr>
        <w:t>Representations.</w:t>
      </w:r>
      <w:r>
        <w:rPr>
          <w:rFonts w:ascii="Arial" w:cs="Arial" w:eastAsia="Arial" w:hAnsi="Arial"/>
          <w:sz w:val="19"/>
          <w:szCs w:val="19"/>
          <w:b w:val="1"/>
          <w:bCs w:val="1"/>
          <w:color w:val="0B0B0B"/>
        </w:rPr>
        <w:t xml:space="preserve"> </w:t>
      </w:r>
      <w:r>
        <w:rPr>
          <w:rFonts w:ascii="Arial" w:cs="Arial" w:eastAsia="Arial" w:hAnsi="Arial"/>
          <w:sz w:val="19"/>
          <w:szCs w:val="19"/>
          <w:color w:val="0B0B0B"/>
        </w:rPr>
        <w:t>Each party represents to the other that it has full power and authority to execute this First Amendment.</w:t>
      </w:r>
      <w:r>
        <w:rPr>
          <w:rFonts w:ascii="Arial" w:cs="Arial" w:eastAsia="Arial" w:hAnsi="Arial"/>
          <w:sz w:val="19"/>
          <w:szCs w:val="19"/>
          <w:b w:val="1"/>
          <w:bCs w:val="1"/>
          <w:color w:val="0B0B0B"/>
        </w:rPr>
        <w:t xml:space="preserve"> </w:t>
      </w:r>
      <w:r>
        <w:rPr>
          <w:rFonts w:ascii="Arial" w:cs="Arial" w:eastAsia="Arial" w:hAnsi="Arial"/>
          <w:sz w:val="19"/>
          <w:szCs w:val="19"/>
          <w:color w:val="0B0B0B"/>
        </w:rPr>
        <w:t>Subtenant represents that it has not made any assignment</w:t>
      </w:r>
      <w:r>
        <w:rPr>
          <w:rFonts w:ascii="Arial" w:cs="Arial" w:eastAsia="Arial" w:hAnsi="Arial"/>
          <w:sz w:val="19"/>
          <w:szCs w:val="19"/>
          <w:color w:val="1F1F1F"/>
        </w:rPr>
        <w:t>,</w:t>
      </w:r>
      <w:r>
        <w:rPr>
          <w:rFonts w:ascii="Arial" w:cs="Arial" w:eastAsia="Arial" w:hAnsi="Arial"/>
          <w:sz w:val="19"/>
          <w:szCs w:val="19"/>
          <w:color w:val="0B0B0B"/>
        </w:rPr>
        <w:t xml:space="preserve"> sublease</w:t>
      </w:r>
      <w:r>
        <w:rPr>
          <w:rFonts w:ascii="Arial" w:cs="Arial" w:eastAsia="Arial" w:hAnsi="Arial"/>
          <w:sz w:val="19"/>
          <w:szCs w:val="19"/>
          <w:color w:val="1F1F1F"/>
        </w:rPr>
        <w:t>,</w:t>
      </w:r>
      <w:r>
        <w:rPr>
          <w:rFonts w:ascii="Arial" w:cs="Arial" w:eastAsia="Arial" w:hAnsi="Arial"/>
          <w:sz w:val="19"/>
          <w:szCs w:val="19"/>
          <w:color w:val="0B0B0B"/>
        </w:rPr>
        <w:t xml:space="preserve"> transfer</w:t>
      </w:r>
      <w:r>
        <w:rPr>
          <w:rFonts w:ascii="Arial" w:cs="Arial" w:eastAsia="Arial" w:hAnsi="Arial"/>
          <w:sz w:val="19"/>
          <w:szCs w:val="19"/>
          <w:color w:val="1F1F1F"/>
        </w:rPr>
        <w:t>,</w:t>
      </w:r>
      <w:r>
        <w:rPr>
          <w:rFonts w:ascii="Arial" w:cs="Arial" w:eastAsia="Arial" w:hAnsi="Arial"/>
          <w:sz w:val="19"/>
          <w:szCs w:val="19"/>
          <w:color w:val="0B0B0B"/>
        </w:rPr>
        <w:t xml:space="preserve"> conveyance of the Sublease or any interest therein or in the Reduction Space and further represents that there is not and will not hereafter be any claim</w:t>
      </w:r>
      <w:r>
        <w:rPr>
          <w:rFonts w:ascii="Arial" w:cs="Arial" w:eastAsia="Arial" w:hAnsi="Arial"/>
          <w:sz w:val="19"/>
          <w:szCs w:val="19"/>
          <w:color w:val="1F1F1F"/>
        </w:rPr>
        <w:t>,</w:t>
      </w:r>
      <w:r>
        <w:rPr>
          <w:rFonts w:ascii="Arial" w:cs="Arial" w:eastAsia="Arial" w:hAnsi="Arial"/>
          <w:sz w:val="19"/>
          <w:szCs w:val="19"/>
          <w:color w:val="0B0B0B"/>
        </w:rPr>
        <w:t xml:space="preserve"> demand</w:t>
      </w:r>
      <w:r>
        <w:rPr>
          <w:rFonts w:ascii="Arial" w:cs="Arial" w:eastAsia="Arial" w:hAnsi="Arial"/>
          <w:sz w:val="19"/>
          <w:szCs w:val="19"/>
          <w:color w:val="1F1F1F"/>
        </w:rPr>
        <w:t>,</w:t>
      </w:r>
      <w:r>
        <w:rPr>
          <w:rFonts w:ascii="Arial" w:cs="Arial" w:eastAsia="Arial" w:hAnsi="Arial"/>
          <w:sz w:val="19"/>
          <w:szCs w:val="19"/>
          <w:color w:val="0B0B0B"/>
        </w:rPr>
        <w:t xml:space="preserve"> obligation, liability</w:t>
      </w:r>
      <w:r>
        <w:rPr>
          <w:rFonts w:ascii="Arial" w:cs="Arial" w:eastAsia="Arial" w:hAnsi="Arial"/>
          <w:sz w:val="19"/>
          <w:szCs w:val="19"/>
          <w:color w:val="1F1F1F"/>
        </w:rPr>
        <w:t>,</w:t>
      </w:r>
      <w:r>
        <w:rPr>
          <w:rFonts w:ascii="Arial" w:cs="Arial" w:eastAsia="Arial" w:hAnsi="Arial"/>
          <w:sz w:val="19"/>
          <w:szCs w:val="19"/>
          <w:color w:val="0B0B0B"/>
        </w:rPr>
        <w:t xml:space="preserve"> action or cause of action by any other party respecting</w:t>
      </w:r>
      <w:r>
        <w:rPr>
          <w:rFonts w:ascii="Arial" w:cs="Arial" w:eastAsia="Arial" w:hAnsi="Arial"/>
          <w:sz w:val="19"/>
          <w:szCs w:val="19"/>
          <w:color w:val="1F1F1F"/>
        </w:rPr>
        <w:t>,</w:t>
      </w:r>
      <w:r>
        <w:rPr>
          <w:rFonts w:ascii="Arial" w:cs="Arial" w:eastAsia="Arial" w:hAnsi="Arial"/>
          <w:sz w:val="19"/>
          <w:szCs w:val="19"/>
          <w:color w:val="0B0B0B"/>
        </w:rPr>
        <w:t xml:space="preserve"> relating to or arising out of the Reduction Space</w:t>
      </w:r>
      <w:r>
        <w:rPr>
          <w:rFonts w:ascii="Arial" w:cs="Arial" w:eastAsia="Arial" w:hAnsi="Arial"/>
          <w:sz w:val="19"/>
          <w:szCs w:val="19"/>
          <w:color w:val="1F1F1F"/>
        </w:rPr>
        <w:t>,</w:t>
      </w:r>
      <w:r>
        <w:rPr>
          <w:rFonts w:ascii="Arial" w:cs="Arial" w:eastAsia="Arial" w:hAnsi="Arial"/>
          <w:sz w:val="19"/>
          <w:szCs w:val="19"/>
          <w:color w:val="0B0B0B"/>
        </w:rPr>
        <w:t xml:space="preserve"> and Subtenant agrees to indemnify and hold harmless Sublandlord from all liabilities, expenses</w:t>
      </w:r>
      <w:r>
        <w:rPr>
          <w:rFonts w:ascii="Arial" w:cs="Arial" w:eastAsia="Arial" w:hAnsi="Arial"/>
          <w:sz w:val="19"/>
          <w:szCs w:val="19"/>
          <w:color w:val="1F1F1F"/>
        </w:rPr>
        <w:t>,</w:t>
      </w:r>
      <w:r>
        <w:rPr>
          <w:rFonts w:ascii="Arial" w:cs="Arial" w:eastAsia="Arial" w:hAnsi="Arial"/>
          <w:sz w:val="19"/>
          <w:szCs w:val="19"/>
          <w:color w:val="0B0B0B"/>
        </w:rPr>
        <w:t xml:space="preserve"> claims, demands, judgments, damages or costs arising from any of the same, including without limitation, attorneys' fees. Subtenant acknowledges that Sublandlord will be relying on this First Amendment in entering into leases for the Reduction Space with other parties.</w:t>
      </w:r>
    </w:p>
    <w:p>
      <w:pPr>
        <w:spacing w:after="0" w:line="118" w:lineRule="exact"/>
        <w:rPr>
          <w:rFonts w:ascii="Arial" w:cs="Arial" w:eastAsia="Arial" w:hAnsi="Arial"/>
          <w:sz w:val="19"/>
          <w:szCs w:val="19"/>
          <w:color w:val="0B0B0B"/>
        </w:rPr>
      </w:pPr>
    </w:p>
    <w:p>
      <w:pPr>
        <w:jc w:val="both"/>
        <w:ind w:firstLine="656"/>
        <w:spacing w:after="0" w:line="248" w:lineRule="auto"/>
        <w:tabs>
          <w:tab w:leader="none" w:pos="1086" w:val="left"/>
        </w:tabs>
        <w:numPr>
          <w:ilvl w:val="0"/>
          <w:numId w:val="556"/>
        </w:numPr>
        <w:rPr>
          <w:rFonts w:ascii="Arial" w:cs="Arial" w:eastAsia="Arial" w:hAnsi="Arial"/>
          <w:sz w:val="20"/>
          <w:szCs w:val="20"/>
          <w:color w:val="070707"/>
        </w:rPr>
      </w:pPr>
      <w:r>
        <w:rPr>
          <w:rFonts w:ascii="Arial" w:cs="Arial" w:eastAsia="Arial" w:hAnsi="Arial"/>
          <w:sz w:val="20"/>
          <w:szCs w:val="20"/>
          <w:b w:val="1"/>
          <w:bCs w:val="1"/>
          <w:u w:val="single" w:color="auto"/>
          <w:color w:val="070707"/>
        </w:rPr>
        <w:t>Release</w:t>
      </w:r>
      <w:r>
        <w:rPr>
          <w:rFonts w:ascii="Arial" w:cs="Arial" w:eastAsia="Arial" w:hAnsi="Arial"/>
          <w:sz w:val="20"/>
          <w:szCs w:val="20"/>
          <w:b w:val="1"/>
          <w:bCs w:val="1"/>
          <w:color w:val="070707"/>
        </w:rPr>
        <w:t xml:space="preserve">. </w:t>
      </w:r>
      <w:r>
        <w:rPr>
          <w:rFonts w:ascii="Arial" w:cs="Arial" w:eastAsia="Arial" w:hAnsi="Arial"/>
          <w:sz w:val="20"/>
          <w:szCs w:val="20"/>
          <w:color w:val="070707"/>
        </w:rPr>
        <w:t>As of the Reduction Date and subject to the performance of the terms and conditions of this First Amendment and any</w:t>
      </w:r>
      <w:r>
        <w:rPr>
          <w:rFonts w:ascii="Arial" w:cs="Arial" w:eastAsia="Arial" w:hAnsi="Arial"/>
          <w:sz w:val="20"/>
          <w:szCs w:val="20"/>
          <w:b w:val="1"/>
          <w:bCs w:val="1"/>
          <w:color w:val="070707"/>
        </w:rPr>
        <w:t xml:space="preserve"> </w:t>
      </w:r>
      <w:r>
        <w:rPr>
          <w:rFonts w:ascii="Arial" w:cs="Arial" w:eastAsia="Arial" w:hAnsi="Arial"/>
          <w:sz w:val="20"/>
          <w:szCs w:val="20"/>
          <w:color w:val="070707"/>
        </w:rPr>
        <w:t>provisions of the Sublease that expressly survive termination</w:t>
      </w:r>
      <w:r>
        <w:rPr>
          <w:rFonts w:ascii="Arial" w:cs="Arial" w:eastAsia="Arial" w:hAnsi="Arial"/>
          <w:sz w:val="20"/>
          <w:szCs w:val="20"/>
          <w:color w:val="181818"/>
        </w:rPr>
        <w:t>,</w:t>
      </w:r>
      <w:r>
        <w:rPr>
          <w:rFonts w:ascii="Arial" w:cs="Arial" w:eastAsia="Arial" w:hAnsi="Arial"/>
          <w:sz w:val="20"/>
          <w:szCs w:val="20"/>
          <w:color w:val="070707"/>
        </w:rPr>
        <w:t xml:space="preserve"> Sublandlord and Subtenant hereby release each other from any and all obligations, demands</w:t>
      </w:r>
      <w:r>
        <w:rPr>
          <w:rFonts w:ascii="Arial" w:cs="Arial" w:eastAsia="Arial" w:hAnsi="Arial"/>
          <w:sz w:val="20"/>
          <w:szCs w:val="20"/>
          <w:color w:val="181818"/>
        </w:rPr>
        <w:t>,</w:t>
      </w:r>
      <w:r>
        <w:rPr>
          <w:rFonts w:ascii="Arial" w:cs="Arial" w:eastAsia="Arial" w:hAnsi="Arial"/>
          <w:sz w:val="20"/>
          <w:szCs w:val="20"/>
          <w:color w:val="070707"/>
        </w:rPr>
        <w:t xml:space="preserve"> liabilities</w:t>
      </w:r>
      <w:r>
        <w:rPr>
          <w:rFonts w:ascii="Arial" w:cs="Arial" w:eastAsia="Arial" w:hAnsi="Arial"/>
          <w:sz w:val="20"/>
          <w:szCs w:val="20"/>
          <w:color w:val="181818"/>
        </w:rPr>
        <w:t>,</w:t>
      </w:r>
      <w:r>
        <w:rPr>
          <w:rFonts w:ascii="Arial" w:cs="Arial" w:eastAsia="Arial" w:hAnsi="Arial"/>
          <w:sz w:val="20"/>
          <w:szCs w:val="20"/>
          <w:color w:val="070707"/>
        </w:rPr>
        <w:t xml:space="preserve"> actions, and causes of action respecting or relating in any way to the Sublease with respect to the Reduction Space only.</w:t>
      </w:r>
    </w:p>
    <w:p>
      <w:pPr>
        <w:spacing w:after="0" w:line="129" w:lineRule="exact"/>
        <w:rPr>
          <w:rFonts w:ascii="Arial" w:cs="Arial" w:eastAsia="Arial" w:hAnsi="Arial"/>
          <w:sz w:val="20"/>
          <w:szCs w:val="20"/>
          <w:color w:val="070707"/>
        </w:rPr>
      </w:pPr>
    </w:p>
    <w:p>
      <w:pPr>
        <w:ind w:left="1100" w:hanging="444"/>
        <w:spacing w:after="0"/>
        <w:tabs>
          <w:tab w:leader="none" w:pos="1100" w:val="left"/>
        </w:tabs>
        <w:numPr>
          <w:ilvl w:val="0"/>
          <w:numId w:val="556"/>
        </w:numPr>
        <w:rPr>
          <w:rFonts w:ascii="Arial" w:cs="Arial" w:eastAsia="Arial" w:hAnsi="Arial"/>
          <w:sz w:val="20"/>
          <w:szCs w:val="20"/>
          <w:color w:val="070707"/>
        </w:rPr>
      </w:pPr>
      <w:r>
        <w:rPr>
          <w:rFonts w:ascii="Arial" w:cs="Arial" w:eastAsia="Arial" w:hAnsi="Arial"/>
          <w:sz w:val="20"/>
          <w:szCs w:val="20"/>
          <w:b w:val="1"/>
          <w:bCs w:val="1"/>
          <w:u w:val="single" w:color="auto"/>
          <w:color w:val="070707"/>
        </w:rPr>
        <w:t>Miscellaneous</w:t>
      </w:r>
      <w:r>
        <w:rPr>
          <w:rFonts w:ascii="Arial" w:cs="Arial" w:eastAsia="Arial" w:hAnsi="Arial"/>
          <w:sz w:val="20"/>
          <w:szCs w:val="20"/>
          <w:b w:val="1"/>
          <w:bCs w:val="1"/>
          <w:color w:val="070707"/>
        </w:rPr>
        <w:t>.</w:t>
      </w:r>
    </w:p>
    <w:p>
      <w:pPr>
        <w:spacing w:after="0" w:line="167" w:lineRule="exact"/>
        <w:rPr>
          <w:rFonts w:ascii="Arial" w:cs="Arial" w:eastAsia="Arial" w:hAnsi="Arial"/>
          <w:sz w:val="20"/>
          <w:szCs w:val="20"/>
          <w:color w:val="070707"/>
        </w:rPr>
      </w:pPr>
    </w:p>
    <w:p>
      <w:pPr>
        <w:jc w:val="both"/>
        <w:ind w:firstLine="1304"/>
        <w:spacing w:after="0" w:line="250" w:lineRule="auto"/>
        <w:tabs>
          <w:tab w:leader="none" w:pos="1815" w:val="left"/>
        </w:tabs>
        <w:numPr>
          <w:ilvl w:val="1"/>
          <w:numId w:val="556"/>
        </w:numPr>
        <w:rPr>
          <w:rFonts w:ascii="Arial" w:cs="Arial" w:eastAsia="Arial" w:hAnsi="Arial"/>
          <w:sz w:val="20"/>
          <w:szCs w:val="20"/>
          <w:color w:val="070707"/>
        </w:rPr>
      </w:pPr>
      <w:r>
        <w:rPr>
          <w:rFonts w:ascii="Arial" w:cs="Arial" w:eastAsia="Arial" w:hAnsi="Arial"/>
          <w:sz w:val="20"/>
          <w:szCs w:val="20"/>
          <w:color w:val="070707"/>
        </w:rPr>
        <w:t>This First Amendment and the attached exhibits, which are hereby incorporated into and made a part of this First Amendment, set forth the entire agreement between the parties with respect to the matters set forth herein. There have been no additional oral or written representations or agreements.</w:t>
      </w:r>
    </w:p>
    <w:p>
      <w:pPr>
        <w:spacing w:after="0" w:line="131" w:lineRule="exact"/>
        <w:rPr>
          <w:rFonts w:ascii="Arial" w:cs="Arial" w:eastAsia="Arial" w:hAnsi="Arial"/>
          <w:sz w:val="20"/>
          <w:szCs w:val="20"/>
          <w:color w:val="070707"/>
        </w:rPr>
      </w:pPr>
    </w:p>
    <w:p>
      <w:pPr>
        <w:ind w:right="20" w:firstLine="1304"/>
        <w:spacing w:after="0" w:line="260" w:lineRule="auto"/>
        <w:tabs>
          <w:tab w:leader="none" w:pos="1784" w:val="left"/>
        </w:tabs>
        <w:numPr>
          <w:ilvl w:val="1"/>
          <w:numId w:val="556"/>
        </w:numPr>
        <w:rPr>
          <w:rFonts w:ascii="Arial" w:cs="Arial" w:eastAsia="Arial" w:hAnsi="Arial"/>
          <w:sz w:val="20"/>
          <w:szCs w:val="20"/>
          <w:color w:val="070707"/>
        </w:rPr>
      </w:pPr>
      <w:r>
        <w:rPr>
          <w:rFonts w:ascii="Arial" w:cs="Arial" w:eastAsia="Arial" w:hAnsi="Arial"/>
          <w:sz w:val="20"/>
          <w:szCs w:val="20"/>
          <w:color w:val="070707"/>
        </w:rPr>
        <w:t>Except as herein modified or amended, the provisions, conditions and terms of the Sublease shall remain unchanged and in full force and effect.</w:t>
      </w:r>
    </w:p>
    <w:p>
      <w:pPr>
        <w:spacing w:after="0" w:line="122" w:lineRule="exact"/>
        <w:rPr>
          <w:rFonts w:ascii="Arial" w:cs="Arial" w:eastAsia="Arial" w:hAnsi="Arial"/>
          <w:sz w:val="20"/>
          <w:szCs w:val="20"/>
          <w:color w:val="070707"/>
        </w:rPr>
      </w:pPr>
    </w:p>
    <w:p>
      <w:pPr>
        <w:ind w:firstLine="1304"/>
        <w:spacing w:after="0" w:line="260" w:lineRule="auto"/>
        <w:tabs>
          <w:tab w:leader="none" w:pos="1767" w:val="left"/>
        </w:tabs>
        <w:numPr>
          <w:ilvl w:val="1"/>
          <w:numId w:val="556"/>
        </w:numPr>
        <w:rPr>
          <w:rFonts w:ascii="Arial" w:cs="Arial" w:eastAsia="Arial" w:hAnsi="Arial"/>
          <w:sz w:val="20"/>
          <w:szCs w:val="20"/>
          <w:color w:val="070707"/>
        </w:rPr>
      </w:pPr>
      <w:r>
        <w:rPr>
          <w:rFonts w:ascii="Arial" w:cs="Arial" w:eastAsia="Arial" w:hAnsi="Arial"/>
          <w:sz w:val="20"/>
          <w:szCs w:val="20"/>
          <w:color w:val="070707"/>
        </w:rPr>
        <w:t>In the case of any inconsistency between the provisions of the Sublease and this First Amendment, the provisions of this First Amendment shall govern and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18" w:right="339" w:bottom="1440" w:gutter="0" w:footer="0" w:header="0"/>
        </w:sectPr>
      </w:pPr>
    </w:p>
    <w:bookmarkStart w:id="584" w:name="page585"/>
    <w:bookmarkEnd w:id="584"/>
    <w:p>
      <w:pPr>
        <w:jc w:val="both"/>
        <w:ind w:firstLine="1304"/>
        <w:spacing w:after="0" w:line="250" w:lineRule="auto"/>
        <w:tabs>
          <w:tab w:leader="none" w:pos="1786" w:val="left"/>
        </w:tabs>
        <w:numPr>
          <w:ilvl w:val="0"/>
          <w:numId w:val="557"/>
        </w:numPr>
        <w:rPr>
          <w:rFonts w:ascii="Arial" w:cs="Arial" w:eastAsia="Arial" w:hAnsi="Arial"/>
          <w:sz w:val="20"/>
          <w:szCs w:val="20"/>
          <w:color w:val="070707"/>
        </w:rPr>
      </w:pPr>
      <w:r>
        <w:rPr>
          <w:rFonts w:ascii="Arial" w:cs="Arial" w:eastAsia="Arial" w:hAnsi="Arial"/>
          <w:sz w:val="20"/>
          <w:szCs w:val="20"/>
          <w:color w:val="070707"/>
        </w:rPr>
        <w:t>Submission of this First Amendment by Sublandlord is not an offer to enter into this First Amendment. Sublandlord and Subtenant will not be bound by this First Amendment until Sublandlord and Subtenant have each executed and delivered this First Amendment to each other.</w:t>
      </w:r>
    </w:p>
    <w:p>
      <w:pPr>
        <w:spacing w:after="0" w:line="131" w:lineRule="exact"/>
        <w:rPr>
          <w:rFonts w:ascii="Arial" w:cs="Arial" w:eastAsia="Arial" w:hAnsi="Arial"/>
          <w:sz w:val="20"/>
          <w:szCs w:val="20"/>
          <w:color w:val="070707"/>
        </w:rPr>
      </w:pPr>
    </w:p>
    <w:p>
      <w:pPr>
        <w:ind w:firstLine="1304"/>
        <w:spacing w:after="0" w:line="260" w:lineRule="auto"/>
        <w:tabs>
          <w:tab w:leader="none" w:pos="1713" w:val="left"/>
        </w:tabs>
        <w:numPr>
          <w:ilvl w:val="0"/>
          <w:numId w:val="557"/>
        </w:numPr>
        <w:rPr>
          <w:rFonts w:ascii="Arial" w:cs="Arial" w:eastAsia="Arial" w:hAnsi="Arial"/>
          <w:sz w:val="20"/>
          <w:szCs w:val="20"/>
          <w:color w:val="070707"/>
        </w:rPr>
      </w:pPr>
      <w:r>
        <w:rPr>
          <w:rFonts w:ascii="Arial" w:cs="Arial" w:eastAsia="Arial" w:hAnsi="Arial"/>
          <w:sz w:val="20"/>
          <w:szCs w:val="20"/>
          <w:color w:val="070707"/>
        </w:rPr>
        <w:t>Capitalized terms used in this First Amendment shall have the same definitions as set forth in the Sublease to the extent that such capitalized terms are defined therein and not redefined in this First Amendment.</w:t>
      </w:r>
    </w:p>
    <w:p>
      <w:pPr>
        <w:spacing w:after="0" w:line="122" w:lineRule="exact"/>
        <w:rPr>
          <w:rFonts w:ascii="Arial" w:cs="Arial" w:eastAsia="Arial" w:hAnsi="Arial"/>
          <w:sz w:val="20"/>
          <w:szCs w:val="20"/>
          <w:color w:val="070707"/>
        </w:rPr>
      </w:pPr>
    </w:p>
    <w:p>
      <w:pPr>
        <w:jc w:val="both"/>
        <w:ind w:firstLine="1304"/>
        <w:spacing w:after="0" w:line="259" w:lineRule="auto"/>
        <w:tabs>
          <w:tab w:leader="none" w:pos="1824" w:val="left"/>
        </w:tabs>
        <w:numPr>
          <w:ilvl w:val="0"/>
          <w:numId w:val="557"/>
        </w:numPr>
        <w:rPr>
          <w:rFonts w:ascii="Arial" w:cs="Arial" w:eastAsia="Arial" w:hAnsi="Arial"/>
          <w:sz w:val="19"/>
          <w:szCs w:val="19"/>
          <w:color w:val="070707"/>
        </w:rPr>
      </w:pPr>
      <w:r>
        <w:rPr>
          <w:rFonts w:ascii="Arial" w:cs="Arial" w:eastAsia="Arial" w:hAnsi="Arial"/>
          <w:sz w:val="19"/>
          <w:szCs w:val="19"/>
          <w:color w:val="070707"/>
        </w:rPr>
        <w:t>Subtenant hereby represents to Sublandlord that Subtenant has dealt with no broker in connection with this First Amendment, other than Jones Lang LaSalle (</w:t>
      </w:r>
      <w:r>
        <w:rPr>
          <w:rFonts w:ascii="Arial" w:cs="Arial" w:eastAsia="Arial" w:hAnsi="Arial"/>
          <w:sz w:val="19"/>
          <w:szCs w:val="19"/>
          <w:color w:val="000000"/>
        </w:rPr>
        <w:t>“</w:t>
      </w:r>
      <w:r>
        <w:rPr>
          <w:rFonts w:ascii="Arial" w:cs="Arial" w:eastAsia="Arial" w:hAnsi="Arial"/>
          <w:sz w:val="19"/>
          <w:szCs w:val="19"/>
          <w:b w:val="1"/>
          <w:bCs w:val="1"/>
          <w:color w:val="070707"/>
        </w:rPr>
        <w:t>Subtenant’s Broker</w:t>
      </w:r>
      <w:r>
        <w:rPr>
          <w:rFonts w:ascii="Arial" w:cs="Arial" w:eastAsia="Arial" w:hAnsi="Arial"/>
          <w:sz w:val="19"/>
          <w:szCs w:val="19"/>
          <w:color w:val="000000"/>
        </w:rPr>
        <w:t>”</w:t>
      </w:r>
      <w:r>
        <w:rPr>
          <w:rFonts w:ascii="Arial" w:cs="Arial" w:eastAsia="Arial" w:hAnsi="Arial"/>
          <w:sz w:val="19"/>
          <w:szCs w:val="19"/>
          <w:color w:val="070707"/>
        </w:rPr>
        <w:t>). Subtenant agrees to defend, indemnify and hold Sublandlord harmless from all claims of any brokers</w:t>
      </w:r>
      <w:r>
        <w:rPr>
          <w:rFonts w:ascii="Arial" w:cs="Arial" w:eastAsia="Arial" w:hAnsi="Arial"/>
          <w:sz w:val="19"/>
          <w:szCs w:val="19"/>
          <w:color w:val="181818"/>
        </w:rPr>
        <w:t>,</w:t>
      </w:r>
      <w:r>
        <w:rPr>
          <w:rFonts w:ascii="Arial" w:cs="Arial" w:eastAsia="Arial" w:hAnsi="Arial"/>
          <w:sz w:val="19"/>
          <w:szCs w:val="19"/>
          <w:color w:val="070707"/>
        </w:rPr>
        <w:t xml:space="preserve"> other than Subtenant's Broker</w:t>
      </w:r>
      <w:r>
        <w:rPr>
          <w:rFonts w:ascii="Arial" w:cs="Arial" w:eastAsia="Arial" w:hAnsi="Arial"/>
          <w:sz w:val="19"/>
          <w:szCs w:val="19"/>
          <w:color w:val="181818"/>
        </w:rPr>
        <w:t>,</w:t>
      </w:r>
      <w:r>
        <w:rPr>
          <w:rFonts w:ascii="Arial" w:cs="Arial" w:eastAsia="Arial" w:hAnsi="Arial"/>
          <w:sz w:val="19"/>
          <w:szCs w:val="19"/>
          <w:color w:val="070707"/>
        </w:rPr>
        <w:t xml:space="preserve"> claiming to have represented Subtenant in connection with this First Amendment. Sublandlord hereby represents to Subtenant that Sublandlord has dealt w</w:t>
      </w:r>
      <w:r>
        <w:rPr>
          <w:rFonts w:ascii="Arial" w:cs="Arial" w:eastAsia="Arial" w:hAnsi="Arial"/>
          <w:sz w:val="19"/>
          <w:szCs w:val="19"/>
          <w:color w:val="181818"/>
        </w:rPr>
        <w:t>i</w:t>
      </w:r>
      <w:r>
        <w:rPr>
          <w:rFonts w:ascii="Arial" w:cs="Arial" w:eastAsia="Arial" w:hAnsi="Arial"/>
          <w:sz w:val="19"/>
          <w:szCs w:val="19"/>
          <w:color w:val="070707"/>
        </w:rPr>
        <w:t>th no broker in connection with this First Amendment, other than CRESA Global</w:t>
      </w:r>
      <w:r>
        <w:rPr>
          <w:rFonts w:ascii="Arial" w:cs="Arial" w:eastAsia="Arial" w:hAnsi="Arial"/>
          <w:sz w:val="19"/>
          <w:szCs w:val="19"/>
          <w:color w:val="181818"/>
        </w:rPr>
        <w:t>,</w:t>
      </w:r>
      <w:r>
        <w:rPr>
          <w:rFonts w:ascii="Arial" w:cs="Arial" w:eastAsia="Arial" w:hAnsi="Arial"/>
          <w:sz w:val="19"/>
          <w:szCs w:val="19"/>
          <w:color w:val="070707"/>
        </w:rPr>
        <w:t xml:space="preserve"> Inc</w:t>
      </w:r>
      <w:r>
        <w:rPr>
          <w:rFonts w:ascii="Arial" w:cs="Arial" w:eastAsia="Arial" w:hAnsi="Arial"/>
          <w:sz w:val="19"/>
          <w:szCs w:val="19"/>
          <w:color w:val="181818"/>
        </w:rPr>
        <w:t>.</w:t>
      </w:r>
      <w:r>
        <w:rPr>
          <w:rFonts w:ascii="Arial" w:cs="Arial" w:eastAsia="Arial" w:hAnsi="Arial"/>
          <w:sz w:val="19"/>
          <w:szCs w:val="19"/>
          <w:color w:val="070707"/>
        </w:rPr>
        <w:t xml:space="preserve"> Sublandlord agrees to defend, indemnify and hold Subtenant harmless from all claims of any brokers claiming to have represented Sublandlord in connection with this First Amendment.</w:t>
      </w:r>
    </w:p>
    <w:p>
      <w:pPr>
        <w:spacing w:after="0" w:line="124" w:lineRule="exact"/>
        <w:rPr>
          <w:rFonts w:ascii="Arial" w:cs="Arial" w:eastAsia="Arial" w:hAnsi="Arial"/>
          <w:sz w:val="19"/>
          <w:szCs w:val="19"/>
          <w:color w:val="070707"/>
        </w:rPr>
      </w:pPr>
    </w:p>
    <w:p>
      <w:pPr>
        <w:ind w:right="20" w:firstLine="1304"/>
        <w:spacing w:after="0" w:line="260" w:lineRule="auto"/>
        <w:tabs>
          <w:tab w:leader="none" w:pos="1781" w:val="left"/>
        </w:tabs>
        <w:numPr>
          <w:ilvl w:val="0"/>
          <w:numId w:val="557"/>
        </w:numPr>
        <w:rPr>
          <w:rFonts w:ascii="Arial" w:cs="Arial" w:eastAsia="Arial" w:hAnsi="Arial"/>
          <w:sz w:val="20"/>
          <w:szCs w:val="20"/>
          <w:color w:val="070707"/>
        </w:rPr>
      </w:pPr>
      <w:r>
        <w:rPr>
          <w:rFonts w:ascii="Arial" w:cs="Arial" w:eastAsia="Arial" w:hAnsi="Arial"/>
          <w:sz w:val="20"/>
          <w:szCs w:val="20"/>
          <w:color w:val="070707"/>
        </w:rPr>
        <w:t>Each signatory of this First Amendment represents hereby that he or she has the authority to execute and deliver the same on behalf of the party hereto for which such signatory is acting.</w:t>
      </w:r>
    </w:p>
    <w:p>
      <w:pPr>
        <w:spacing w:after="0" w:line="122" w:lineRule="exact"/>
        <w:rPr>
          <w:rFonts w:ascii="Arial" w:cs="Arial" w:eastAsia="Arial" w:hAnsi="Arial"/>
          <w:sz w:val="20"/>
          <w:szCs w:val="20"/>
          <w:color w:val="070707"/>
        </w:rPr>
      </w:pPr>
    </w:p>
    <w:p>
      <w:pPr>
        <w:jc w:val="both"/>
        <w:ind w:firstLine="1304"/>
        <w:spacing w:after="0" w:line="278" w:lineRule="auto"/>
        <w:tabs>
          <w:tab w:leader="none" w:pos="1757" w:val="left"/>
        </w:tabs>
        <w:numPr>
          <w:ilvl w:val="0"/>
          <w:numId w:val="557"/>
        </w:numPr>
        <w:rPr>
          <w:rFonts w:ascii="Arial" w:cs="Arial" w:eastAsia="Arial" w:hAnsi="Arial"/>
          <w:sz w:val="18"/>
          <w:szCs w:val="18"/>
          <w:color w:val="070707"/>
        </w:rPr>
      </w:pPr>
      <w:r>
        <w:rPr>
          <w:rFonts w:ascii="Arial" w:cs="Arial" w:eastAsia="Arial" w:hAnsi="Arial"/>
          <w:sz w:val="18"/>
          <w:szCs w:val="18"/>
          <w:color w:val="070707"/>
        </w:rPr>
        <w:t>Subtenant represents and warrants to Sublandlord that Subtenant is currently in compliance with and shall at all times through and including the Termination Date (including any extension thereof), remain in compliance with the regulations of the Office of Foreign Asset Control (</w:t>
      </w:r>
      <w:r>
        <w:rPr>
          <w:rFonts w:ascii="Arial" w:cs="Arial" w:eastAsia="Arial" w:hAnsi="Arial"/>
          <w:sz w:val="18"/>
          <w:szCs w:val="18"/>
          <w:color w:val="000000"/>
        </w:rPr>
        <w:t>“</w:t>
      </w:r>
      <w:r>
        <w:rPr>
          <w:rFonts w:ascii="Arial" w:cs="Arial" w:eastAsia="Arial" w:hAnsi="Arial"/>
          <w:sz w:val="18"/>
          <w:szCs w:val="18"/>
          <w:b w:val="1"/>
          <w:bCs w:val="1"/>
          <w:color w:val="070707"/>
        </w:rPr>
        <w:t>OFAC</w:t>
      </w:r>
      <w:r>
        <w:rPr>
          <w:rFonts w:ascii="Arial" w:cs="Arial" w:eastAsia="Arial" w:hAnsi="Arial"/>
          <w:sz w:val="18"/>
          <w:szCs w:val="18"/>
          <w:color w:val="000000"/>
        </w:rPr>
        <w:t>”</w:t>
      </w:r>
      <w:r>
        <w:rPr>
          <w:rFonts w:ascii="Arial" w:cs="Arial" w:eastAsia="Arial" w:hAnsi="Arial"/>
          <w:sz w:val="18"/>
          <w:szCs w:val="18"/>
          <w:color w:val="070707"/>
        </w:rPr>
        <w:t>) of the Department of the Treasury (including those named on OFAC's Specially Designated and Blocked Persons List) and any statute, executive order (including the September 24</w:t>
      </w:r>
      <w:r>
        <w:rPr>
          <w:rFonts w:ascii="Arial" w:cs="Arial" w:eastAsia="Arial" w:hAnsi="Arial"/>
          <w:sz w:val="18"/>
          <w:szCs w:val="18"/>
          <w:color w:val="181818"/>
        </w:rPr>
        <w:t>,</w:t>
      </w:r>
      <w:r>
        <w:rPr>
          <w:rFonts w:ascii="Arial" w:cs="Arial" w:eastAsia="Arial" w:hAnsi="Arial"/>
          <w:sz w:val="18"/>
          <w:szCs w:val="18"/>
          <w:color w:val="070707"/>
        </w:rPr>
        <w:t xml:space="preserve"> 2001, Executive Order Blocking Property and Prohibiting Transactions with Persons Who Commit, Threaten to Commit, or Support Terrorism), or other governmental action relating thereto.</w:t>
      </w:r>
    </w:p>
    <w:p>
      <w:pPr>
        <w:spacing w:after="0" w:line="110" w:lineRule="exact"/>
        <w:rPr>
          <w:rFonts w:ascii="Arial" w:cs="Arial" w:eastAsia="Arial" w:hAnsi="Arial"/>
          <w:sz w:val="18"/>
          <w:szCs w:val="18"/>
          <w:color w:val="070707"/>
        </w:rPr>
      </w:pPr>
    </w:p>
    <w:p>
      <w:pPr>
        <w:jc w:val="both"/>
        <w:ind w:firstLine="1304"/>
        <w:spacing w:after="0" w:line="291" w:lineRule="auto"/>
        <w:tabs>
          <w:tab w:leader="none" w:pos="1778" w:val="left"/>
        </w:tabs>
        <w:numPr>
          <w:ilvl w:val="0"/>
          <w:numId w:val="557"/>
        </w:numPr>
        <w:rPr>
          <w:rFonts w:ascii="Arial" w:cs="Arial" w:eastAsia="Arial" w:hAnsi="Arial"/>
          <w:sz w:val="18"/>
          <w:szCs w:val="18"/>
          <w:color w:val="070707"/>
        </w:rPr>
      </w:pPr>
      <w:r>
        <w:rPr>
          <w:rFonts w:ascii="Arial" w:cs="Arial" w:eastAsia="Arial" w:hAnsi="Arial"/>
          <w:sz w:val="18"/>
          <w:szCs w:val="18"/>
          <w:color w:val="070707"/>
        </w:rPr>
        <w:t>This First Amendment may be executed in multiple counterparts each of which is deemed an original but together constitute one and the same instrument. This First Amendment may be executed in "pdf format and each party has the right to rely upon a pdf counterpart of this First Amendment signed by the other party to the same extent as if such party had received an original counterpart.</w:t>
      </w:r>
    </w:p>
    <w:p>
      <w:pPr>
        <w:spacing w:after="0" w:line="97" w:lineRule="exact"/>
        <w:rPr>
          <w:rFonts w:ascii="Arial" w:cs="Arial" w:eastAsia="Arial" w:hAnsi="Arial"/>
          <w:sz w:val="18"/>
          <w:szCs w:val="18"/>
          <w:color w:val="070707"/>
        </w:rPr>
      </w:pPr>
    </w:p>
    <w:p>
      <w:pPr>
        <w:jc w:val="both"/>
        <w:ind w:firstLine="1304"/>
        <w:spacing w:after="0" w:line="291" w:lineRule="auto"/>
        <w:tabs>
          <w:tab w:leader="none" w:pos="1807" w:val="left"/>
        </w:tabs>
        <w:numPr>
          <w:ilvl w:val="0"/>
          <w:numId w:val="557"/>
        </w:numPr>
        <w:rPr>
          <w:rFonts w:ascii="Arial" w:cs="Arial" w:eastAsia="Arial" w:hAnsi="Arial"/>
          <w:sz w:val="18"/>
          <w:szCs w:val="18"/>
          <w:color w:val="070707"/>
        </w:rPr>
      </w:pPr>
      <w:r>
        <w:rPr>
          <w:rFonts w:ascii="Arial" w:cs="Arial" w:eastAsia="Arial" w:hAnsi="Arial"/>
          <w:sz w:val="18"/>
          <w:szCs w:val="18"/>
          <w:color w:val="070707"/>
        </w:rPr>
        <w:t>This First Amendment is expressly subject to the procurement by Sublandlord of Landlord's consent to this First Amendment. Promptly following the mutual execution and delivery of this First Amendment, Sublandlord will submit this First Amendment to Landlord for its consent</w:t>
      </w:r>
      <w:r>
        <w:rPr>
          <w:rFonts w:ascii="Arial" w:cs="Arial" w:eastAsia="Arial" w:hAnsi="Arial"/>
          <w:sz w:val="18"/>
          <w:szCs w:val="18"/>
          <w:color w:val="1D1D1D"/>
        </w:rPr>
        <w:t>,</w:t>
      </w:r>
      <w:r>
        <w:rPr>
          <w:rFonts w:ascii="Arial" w:cs="Arial" w:eastAsia="Arial" w:hAnsi="Arial"/>
          <w:sz w:val="18"/>
          <w:szCs w:val="18"/>
          <w:color w:val="070707"/>
        </w:rPr>
        <w:t xml:space="preserve"> and Sublandlord and Subtenant will diligently cooperate in good faith to obtain Landlord's consent hereto.</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70707"/>
        </w:rPr>
        <w:t>[SIGNATURES ARE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18" w:right="339" w:bottom="1440" w:gutter="0" w:footer="0" w:header="0"/>
        </w:sectPr>
      </w:pPr>
    </w:p>
    <w:bookmarkStart w:id="585" w:name="page586"/>
    <w:bookmarkEnd w:id="585"/>
    <w:p>
      <w:pPr>
        <w:ind w:firstLine="648"/>
        <w:spacing w:after="0" w:line="267" w:lineRule="auto"/>
        <w:rPr>
          <w:sz w:val="20"/>
          <w:szCs w:val="20"/>
          <w:color w:val="auto"/>
        </w:rPr>
      </w:pPr>
      <w:r>
        <w:rPr>
          <w:rFonts w:ascii="Arial" w:cs="Arial" w:eastAsia="Arial" w:hAnsi="Arial"/>
          <w:sz w:val="20"/>
          <w:szCs w:val="20"/>
          <w:b w:val="1"/>
          <w:bCs w:val="1"/>
          <w:color w:val="070707"/>
        </w:rPr>
        <w:t>IN WITNESS WHEREOF</w:t>
      </w:r>
      <w:r>
        <w:rPr>
          <w:rFonts w:ascii="Arial" w:cs="Arial" w:eastAsia="Arial" w:hAnsi="Arial"/>
          <w:sz w:val="20"/>
          <w:szCs w:val="20"/>
          <w:color w:val="070707"/>
        </w:rPr>
        <w:t>, Sublandlord and Subtenant have duly executed this First Amendment as of the First Amendment</w:t>
      </w:r>
      <w:r>
        <w:rPr>
          <w:rFonts w:ascii="Arial" w:cs="Arial" w:eastAsia="Arial" w:hAnsi="Arial"/>
          <w:sz w:val="20"/>
          <w:szCs w:val="20"/>
          <w:b w:val="1"/>
          <w:bCs w:val="1"/>
          <w:color w:val="070707"/>
        </w:rPr>
        <w:t xml:space="preserve"> </w:t>
      </w:r>
      <w:r>
        <w:rPr>
          <w:rFonts w:ascii="Arial" w:cs="Arial" w:eastAsia="Arial" w:hAnsi="Arial"/>
          <w:sz w:val="20"/>
          <w:szCs w:val="20"/>
          <w:color w:val="070707"/>
        </w:rPr>
        <w:t>Effective Date.</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70707"/>
        </w:rPr>
        <w:t>SUBLANDLORD:</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70707"/>
        </w:rPr>
        <w:t>TWITTER,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20"/>
          <w:szCs w:val="20"/>
          <w:color w:val="070707"/>
        </w:rPr>
        <w:t>a Delaware corporation</w:t>
      </w:r>
    </w:p>
    <w:p>
      <w:pPr>
        <w:spacing w:after="0" w:line="267" w:lineRule="exact"/>
        <w:rPr>
          <w:sz w:val="20"/>
          <w:szCs w:val="20"/>
          <w:color w:val="auto"/>
        </w:rPr>
      </w:pPr>
    </w:p>
    <w:p>
      <w:pPr>
        <w:ind w:left="20"/>
        <w:spacing w:after="0"/>
        <w:tabs>
          <w:tab w:leader="none" w:pos="520" w:val="left"/>
        </w:tabs>
        <w:rPr>
          <w:sz w:val="20"/>
          <w:szCs w:val="20"/>
          <w:color w:val="auto"/>
        </w:rPr>
      </w:pPr>
      <w:r>
        <w:rPr>
          <w:rFonts w:ascii="Arial" w:cs="Arial" w:eastAsia="Arial" w:hAnsi="Arial"/>
          <w:sz w:val="20"/>
          <w:szCs w:val="20"/>
          <w:color w:val="auto"/>
        </w:rPr>
        <w:t>By:</w:t>
        <w:tab/>
        <w:t>/s/ Ned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27305</wp:posOffset>
            </wp:positionV>
            <wp:extent cx="328295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140" w:type="dxa"/>
            <w:vAlign w:val="bottom"/>
          </w:tcPr>
          <w:p>
            <w:pPr>
              <w:spacing w:after="0"/>
              <w:rPr>
                <w:sz w:val="21"/>
                <w:szCs w:val="21"/>
                <w:color w:val="auto"/>
              </w:rPr>
            </w:pPr>
          </w:p>
        </w:tc>
        <w:tc>
          <w:tcPr>
            <w:tcW w:w="5180" w:type="dxa"/>
            <w:vAlign w:val="bottom"/>
          </w:tcPr>
          <w:p>
            <w:pPr>
              <w:ind w:left="20"/>
              <w:spacing w:after="0"/>
              <w:rPr>
                <w:sz w:val="20"/>
                <w:szCs w:val="20"/>
                <w:color w:val="auto"/>
              </w:rPr>
            </w:pPr>
            <w:r>
              <w:rPr>
                <w:rFonts w:ascii="Arial" w:cs="Arial" w:eastAsia="Arial" w:hAnsi="Arial"/>
                <w:sz w:val="20"/>
                <w:szCs w:val="20"/>
                <w:color w:val="auto"/>
              </w:rPr>
              <w:t>NED SEGAL</w:t>
            </w:r>
          </w:p>
        </w:tc>
        <w:tc>
          <w:tcPr>
            <w:tcW w:w="0" w:type="dxa"/>
            <w:vAlign w:val="bottom"/>
          </w:tcPr>
          <w:p>
            <w:pPr>
              <w:spacing w:after="0"/>
              <w:rPr>
                <w:sz w:val="1"/>
                <w:szCs w:val="1"/>
                <w:color w:val="auto"/>
              </w:rPr>
            </w:pPr>
          </w:p>
        </w:tc>
      </w:tr>
      <w:tr>
        <w:trPr>
          <w:trHeight w:val="23"/>
        </w:trPr>
        <w:tc>
          <w:tcPr>
            <w:tcW w:w="820" w:type="dxa"/>
            <w:vAlign w:val="bottom"/>
            <w:vMerge w:val="restart"/>
          </w:tcPr>
          <w:p>
            <w:pPr>
              <w:spacing w:after="0"/>
              <w:rPr>
                <w:sz w:val="20"/>
                <w:szCs w:val="20"/>
                <w:color w:val="auto"/>
              </w:rPr>
            </w:pPr>
            <w:r>
              <w:rPr>
                <w:rFonts w:ascii="Arial" w:cs="Arial" w:eastAsia="Arial" w:hAnsi="Arial"/>
                <w:sz w:val="20"/>
                <w:szCs w:val="20"/>
                <w:color w:val="auto"/>
              </w:rPr>
              <w:t>Title:</w:t>
            </w:r>
          </w:p>
        </w:tc>
        <w:tc>
          <w:tcPr>
            <w:tcW w:w="53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0" w:type="dxa"/>
            <w:vAlign w:val="bottom"/>
            <w:vMerge w:val="continue"/>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18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CHIEF FINANCIAL OFFICER</w:t>
            </w: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70707"/>
        </w:rPr>
        <w:t>SUBTENANT:</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70707"/>
        </w:rPr>
        <w:t>NERDWALLET, INC.</w:t>
      </w:r>
      <w:r>
        <w:rPr>
          <w:rFonts w:ascii="Arial" w:cs="Arial" w:eastAsia="Arial" w:hAnsi="Arial"/>
          <w:sz w:val="20"/>
          <w:szCs w:val="20"/>
          <w:b w:val="1"/>
          <w:bCs w:val="1"/>
          <w:color w:val="1A1A1A"/>
        </w:rPr>
        <w:t>,</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20"/>
          <w:szCs w:val="20"/>
          <w:color w:val="070707"/>
        </w:rPr>
        <w:t>a Delaware corporation</w:t>
      </w: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540" w:type="dxa"/>
            <w:vAlign w:val="bottom"/>
          </w:tcPr>
          <w:p>
            <w:pPr>
              <w:spacing w:after="0"/>
              <w:rPr>
                <w:sz w:val="20"/>
                <w:szCs w:val="20"/>
                <w:color w:val="auto"/>
              </w:rPr>
            </w:pPr>
            <w:r>
              <w:rPr>
                <w:rFonts w:ascii="Arial" w:cs="Arial" w:eastAsia="Arial" w:hAnsi="Arial"/>
                <w:sz w:val="20"/>
                <w:szCs w:val="20"/>
                <w:color w:val="auto"/>
              </w:rPr>
              <w:t>By:</w:t>
            </w:r>
          </w:p>
        </w:tc>
        <w:tc>
          <w:tcPr>
            <w:tcW w:w="5680" w:type="dxa"/>
            <w:vAlign w:val="bottom"/>
            <w:gridSpan w:val="2"/>
          </w:tcPr>
          <w:p>
            <w:pPr>
              <w:ind w:left="20"/>
              <w:spacing w:after="0"/>
              <w:rPr>
                <w:sz w:val="20"/>
                <w:szCs w:val="20"/>
                <w:color w:val="auto"/>
              </w:rPr>
            </w:pPr>
            <w:r>
              <w:rPr>
                <w:rFonts w:ascii="Arial" w:cs="Arial" w:eastAsia="Arial" w:hAnsi="Arial"/>
                <w:sz w:val="20"/>
                <w:szCs w:val="20"/>
                <w:color w:val="auto"/>
              </w:rPr>
              <w:t>/s/ Tem Chen</w:t>
            </w:r>
          </w:p>
        </w:tc>
        <w:tc>
          <w:tcPr>
            <w:tcW w:w="0" w:type="dxa"/>
            <w:vAlign w:val="bottom"/>
          </w:tcPr>
          <w:p>
            <w:pPr>
              <w:spacing w:after="0"/>
              <w:rPr>
                <w:sz w:val="1"/>
                <w:szCs w:val="1"/>
                <w:color w:val="auto"/>
              </w:rPr>
            </w:pPr>
          </w:p>
        </w:tc>
      </w:tr>
      <w:tr>
        <w:trPr>
          <w:trHeight w:val="23"/>
        </w:trPr>
        <w:tc>
          <w:tcPr>
            <w:tcW w:w="1460" w:type="dxa"/>
            <w:vAlign w:val="bottom"/>
            <w:gridSpan w:val="2"/>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460" w:type="dxa"/>
            <w:vAlign w:val="bottom"/>
            <w:gridSpan w:val="2"/>
          </w:tcPr>
          <w:p>
            <w:pPr>
              <w:spacing w:after="0"/>
              <w:rPr>
                <w:sz w:val="20"/>
                <w:szCs w:val="20"/>
                <w:color w:val="auto"/>
              </w:rPr>
            </w:pPr>
            <w:r>
              <w:rPr>
                <w:rFonts w:ascii="Arial" w:cs="Arial" w:eastAsia="Arial" w:hAnsi="Arial"/>
                <w:sz w:val="20"/>
                <w:szCs w:val="20"/>
                <w:color w:val="auto"/>
              </w:rPr>
              <w:t>Print Name:</w:t>
            </w:r>
          </w:p>
        </w:tc>
        <w:tc>
          <w:tcPr>
            <w:tcW w:w="4760" w:type="dxa"/>
            <w:vAlign w:val="bottom"/>
          </w:tcPr>
          <w:p>
            <w:pPr>
              <w:ind w:left="20"/>
              <w:spacing w:after="0"/>
              <w:rPr>
                <w:sz w:val="20"/>
                <w:szCs w:val="20"/>
                <w:color w:val="auto"/>
              </w:rPr>
            </w:pPr>
            <w:r>
              <w:rPr>
                <w:rFonts w:ascii="Arial" w:cs="Arial" w:eastAsia="Arial" w:hAnsi="Arial"/>
                <w:sz w:val="20"/>
                <w:szCs w:val="20"/>
                <w:color w:val="auto"/>
              </w:rPr>
              <w:t>Tem Chen</w:t>
            </w:r>
          </w:p>
        </w:tc>
        <w:tc>
          <w:tcPr>
            <w:tcW w:w="0" w:type="dxa"/>
            <w:vAlign w:val="bottom"/>
          </w:tcPr>
          <w:p>
            <w:pPr>
              <w:spacing w:after="0"/>
              <w:rPr>
                <w:sz w:val="1"/>
                <w:szCs w:val="1"/>
                <w:color w:val="auto"/>
              </w:rPr>
            </w:pPr>
          </w:p>
        </w:tc>
      </w:tr>
      <w:tr>
        <w:trPr>
          <w:trHeight w:val="23"/>
        </w:trPr>
        <w:tc>
          <w:tcPr>
            <w:tcW w:w="540" w:type="dxa"/>
            <w:vAlign w:val="bottom"/>
            <w:vMerge w:val="restart"/>
          </w:tcPr>
          <w:p>
            <w:pPr>
              <w:spacing w:after="0"/>
              <w:rPr>
                <w:sz w:val="20"/>
                <w:szCs w:val="20"/>
                <w:color w:val="auto"/>
              </w:rPr>
            </w:pPr>
            <w:r>
              <w:rPr>
                <w:rFonts w:ascii="Arial" w:cs="Arial" w:eastAsia="Arial" w:hAnsi="Arial"/>
                <w:sz w:val="20"/>
                <w:szCs w:val="20"/>
                <w:color w:val="auto"/>
              </w:rPr>
              <w:t>Its:</w:t>
            </w:r>
          </w:p>
        </w:tc>
        <w:tc>
          <w:tcPr>
            <w:tcW w:w="920" w:type="dxa"/>
            <w:vAlign w:val="bottom"/>
            <w:vMerge w:val="restart"/>
          </w:tcPr>
          <w:p>
            <w:pPr>
              <w:ind w:left="20"/>
              <w:spacing w:after="0"/>
              <w:rPr>
                <w:sz w:val="20"/>
                <w:szCs w:val="20"/>
                <w:color w:val="auto"/>
              </w:rPr>
            </w:pPr>
            <w:r>
              <w:rPr>
                <w:rFonts w:ascii="Arial" w:cs="Arial" w:eastAsia="Arial" w:hAnsi="Arial"/>
                <w:sz w:val="20"/>
                <w:szCs w:val="20"/>
                <w:color w:val="auto"/>
              </w:rPr>
              <w:t>CEO</w:t>
            </w:r>
          </w:p>
        </w:tc>
        <w:tc>
          <w:tcPr>
            <w:tcW w:w="4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54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4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5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12" w:right="339" w:bottom="1440" w:gutter="0" w:footer="0" w:header="0"/>
        </w:sectPr>
      </w:pPr>
    </w:p>
    <w:bookmarkStart w:id="586" w:name="page587"/>
    <w:bookmarkEnd w:id="586"/>
    <w:p>
      <w:pPr>
        <w:jc w:val="center"/>
        <w:ind w:right="-51"/>
        <w:spacing w:after="0"/>
        <w:rPr>
          <w:sz w:val="20"/>
          <w:szCs w:val="20"/>
          <w:color w:val="auto"/>
        </w:rPr>
      </w:pPr>
      <w:r>
        <w:rPr>
          <w:rFonts w:ascii="Arial" w:cs="Arial" w:eastAsia="Arial" w:hAnsi="Arial"/>
          <w:sz w:val="20"/>
          <w:szCs w:val="20"/>
          <w:b w:val="1"/>
          <w:bCs w:val="1"/>
          <w:u w:val="single" w:color="auto"/>
          <w:color w:val="070707"/>
        </w:rPr>
        <w:t>EXHIBIT A</w:t>
      </w:r>
    </w:p>
    <w:p>
      <w:pPr>
        <w:spacing w:after="0" w:line="162" w:lineRule="exact"/>
        <w:rPr>
          <w:sz w:val="20"/>
          <w:szCs w:val="20"/>
          <w:color w:val="auto"/>
        </w:rPr>
      </w:pPr>
    </w:p>
    <w:p>
      <w:pPr>
        <w:jc w:val="center"/>
        <w:ind w:right="-51"/>
        <w:spacing w:after="0"/>
        <w:rPr>
          <w:sz w:val="20"/>
          <w:szCs w:val="20"/>
          <w:color w:val="auto"/>
        </w:rPr>
      </w:pPr>
      <w:r>
        <w:rPr>
          <w:rFonts w:ascii="Arial" w:cs="Arial" w:eastAsia="Arial" w:hAnsi="Arial"/>
          <w:sz w:val="20"/>
          <w:szCs w:val="20"/>
          <w:b w:val="1"/>
          <w:bCs w:val="1"/>
          <w:color w:val="070707"/>
        </w:rPr>
        <w:t>Reduction Space Restoration Requirements</w:t>
      </w:r>
    </w:p>
    <w:p>
      <w:pPr>
        <w:spacing w:after="0" w:line="168" w:lineRule="exact"/>
        <w:rPr>
          <w:sz w:val="20"/>
          <w:szCs w:val="20"/>
          <w:color w:val="auto"/>
        </w:rPr>
      </w:pPr>
    </w:p>
    <w:p>
      <w:pPr>
        <w:ind w:left="272" w:hanging="272"/>
        <w:spacing w:after="0"/>
        <w:tabs>
          <w:tab w:leader="none" w:pos="272" w:val="left"/>
        </w:tabs>
        <w:numPr>
          <w:ilvl w:val="0"/>
          <w:numId w:val="558"/>
        </w:numPr>
        <w:rPr>
          <w:rFonts w:ascii="Arial" w:cs="Arial" w:eastAsia="Arial" w:hAnsi="Arial"/>
          <w:sz w:val="20"/>
          <w:szCs w:val="20"/>
          <w:color w:val="070707"/>
        </w:rPr>
      </w:pPr>
      <w:r>
        <w:rPr>
          <w:rFonts w:ascii="Arial" w:cs="Arial" w:eastAsia="Arial" w:hAnsi="Arial"/>
          <w:sz w:val="20"/>
          <w:szCs w:val="20"/>
          <w:color w:val="070707"/>
        </w:rPr>
        <w:t>Return the Sixth Floor Furniture to the Reduction Space.</w:t>
      </w:r>
    </w:p>
    <w:p>
      <w:pPr>
        <w:spacing w:after="0" w:line="15" w:lineRule="exact"/>
        <w:rPr>
          <w:rFonts w:ascii="Arial" w:cs="Arial" w:eastAsia="Arial" w:hAnsi="Arial"/>
          <w:sz w:val="20"/>
          <w:szCs w:val="20"/>
          <w:color w:val="070707"/>
        </w:rPr>
      </w:pPr>
    </w:p>
    <w:p>
      <w:pPr>
        <w:ind w:left="272" w:hanging="272"/>
        <w:spacing w:after="0"/>
        <w:tabs>
          <w:tab w:leader="none" w:pos="272" w:val="left"/>
        </w:tabs>
        <w:numPr>
          <w:ilvl w:val="0"/>
          <w:numId w:val="558"/>
        </w:numPr>
        <w:rPr>
          <w:rFonts w:ascii="Arial" w:cs="Arial" w:eastAsia="Arial" w:hAnsi="Arial"/>
          <w:sz w:val="20"/>
          <w:szCs w:val="20"/>
          <w:color w:val="070707"/>
        </w:rPr>
      </w:pPr>
      <w:r>
        <w:rPr>
          <w:rFonts w:ascii="Arial" w:cs="Arial" w:eastAsia="Arial" w:hAnsi="Arial"/>
          <w:sz w:val="20"/>
          <w:szCs w:val="20"/>
          <w:color w:val="070707"/>
        </w:rPr>
        <w:t>Return all pendant lights removed from the lounges located in the Reduction Space.</w:t>
      </w:r>
    </w:p>
    <w:p>
      <w:pPr>
        <w:ind w:left="272" w:hanging="272"/>
        <w:spacing w:after="0"/>
        <w:tabs>
          <w:tab w:leader="none" w:pos="272" w:val="left"/>
        </w:tabs>
        <w:numPr>
          <w:ilvl w:val="0"/>
          <w:numId w:val="558"/>
        </w:numPr>
        <w:rPr>
          <w:rFonts w:ascii="Arial" w:cs="Arial" w:eastAsia="Arial" w:hAnsi="Arial"/>
          <w:sz w:val="20"/>
          <w:szCs w:val="20"/>
          <w:color w:val="070707"/>
        </w:rPr>
      </w:pPr>
      <w:r>
        <w:rPr>
          <w:rFonts w:ascii="Arial" w:cs="Arial" w:eastAsia="Arial" w:hAnsi="Arial"/>
          <w:sz w:val="20"/>
          <w:szCs w:val="20"/>
          <w:color w:val="070707"/>
        </w:rPr>
        <w:t>Remove equipment from the IDF room on the sixth (6th) floor and label the cabling associated therewith.</w:t>
      </w:r>
    </w:p>
    <w:p>
      <w:pPr>
        <w:ind w:left="332" w:right="160" w:hanging="332"/>
        <w:spacing w:after="0" w:line="239" w:lineRule="auto"/>
        <w:tabs>
          <w:tab w:leader="none" w:pos="275" w:val="left"/>
        </w:tabs>
        <w:numPr>
          <w:ilvl w:val="0"/>
          <w:numId w:val="558"/>
        </w:numPr>
        <w:rPr>
          <w:rFonts w:ascii="Arial" w:cs="Arial" w:eastAsia="Arial" w:hAnsi="Arial"/>
          <w:sz w:val="20"/>
          <w:szCs w:val="20"/>
          <w:color w:val="070707"/>
        </w:rPr>
      </w:pPr>
      <w:r>
        <w:rPr>
          <w:rFonts w:ascii="Arial" w:cs="Arial" w:eastAsia="Arial" w:hAnsi="Arial"/>
          <w:sz w:val="20"/>
          <w:szCs w:val="20"/>
          <w:color w:val="070707"/>
        </w:rPr>
        <w:t>Disengage the portion of the Stairwell Security System (as defined in Section 5(g) of the Original Sublease) connected to the Reduction Space.</w:t>
      </w:r>
    </w:p>
    <w:p>
      <w:pPr>
        <w:ind w:left="272" w:hanging="272"/>
        <w:spacing w:after="0"/>
        <w:tabs>
          <w:tab w:leader="none" w:pos="272" w:val="left"/>
        </w:tabs>
        <w:numPr>
          <w:ilvl w:val="0"/>
          <w:numId w:val="558"/>
        </w:numPr>
        <w:rPr>
          <w:rFonts w:ascii="Arial" w:cs="Arial" w:eastAsia="Arial" w:hAnsi="Arial"/>
          <w:sz w:val="20"/>
          <w:szCs w:val="20"/>
          <w:color w:val="070707"/>
        </w:rPr>
      </w:pPr>
      <w:r>
        <w:rPr>
          <w:rFonts w:ascii="Arial" w:cs="Arial" w:eastAsia="Arial" w:hAnsi="Arial"/>
          <w:sz w:val="20"/>
          <w:szCs w:val="20"/>
          <w:color w:val="070707"/>
        </w:rPr>
        <w:t>Remove wood feature shelves in hallway and patch wall to match existing walls in the Reduction Space.</w:t>
      </w:r>
    </w:p>
    <w:p>
      <w:pPr>
        <w:ind w:left="272" w:hanging="272"/>
        <w:spacing w:after="0"/>
        <w:tabs>
          <w:tab w:leader="none" w:pos="272" w:val="left"/>
        </w:tabs>
        <w:numPr>
          <w:ilvl w:val="0"/>
          <w:numId w:val="558"/>
        </w:numPr>
        <w:rPr>
          <w:rFonts w:ascii="Arial" w:cs="Arial" w:eastAsia="Arial" w:hAnsi="Arial"/>
          <w:sz w:val="20"/>
          <w:szCs w:val="20"/>
          <w:color w:val="070707"/>
        </w:rPr>
      </w:pPr>
      <w:r>
        <w:rPr>
          <w:rFonts w:ascii="Arial" w:cs="Arial" w:eastAsia="Arial" w:hAnsi="Arial"/>
          <w:sz w:val="20"/>
          <w:szCs w:val="20"/>
          <w:color w:val="070707"/>
        </w:rPr>
        <w:t>Replace bulbs in track lighting in the Reduction Space</w:t>
      </w:r>
      <w:r>
        <w:rPr>
          <w:rFonts w:ascii="Arial" w:cs="Arial" w:eastAsia="Arial" w:hAnsi="Arial"/>
          <w:sz w:val="20"/>
          <w:szCs w:val="20"/>
          <w:color w:val="1A1A1A"/>
        </w:rPr>
        <w:t>.</w:t>
      </w:r>
    </w:p>
    <w:p>
      <w:pPr>
        <w:ind w:left="272" w:hanging="272"/>
        <w:spacing w:after="0"/>
        <w:tabs>
          <w:tab w:leader="none" w:pos="272" w:val="left"/>
        </w:tabs>
        <w:numPr>
          <w:ilvl w:val="0"/>
          <w:numId w:val="558"/>
        </w:numPr>
        <w:rPr>
          <w:rFonts w:ascii="Arial" w:cs="Arial" w:eastAsia="Arial" w:hAnsi="Arial"/>
          <w:sz w:val="20"/>
          <w:szCs w:val="20"/>
          <w:color w:val="070707"/>
        </w:rPr>
      </w:pPr>
      <w:r>
        <w:rPr>
          <w:rFonts w:ascii="Arial" w:cs="Arial" w:eastAsia="Arial" w:hAnsi="Arial"/>
          <w:sz w:val="20"/>
          <w:szCs w:val="20"/>
          <w:color w:val="070707"/>
        </w:rPr>
        <w:t>Remove speakers in men's and women's restrooms; remove and patch/paint ceiling</w:t>
      </w:r>
      <w:r>
        <w:rPr>
          <w:rFonts w:ascii="Arial" w:cs="Arial" w:eastAsia="Arial" w:hAnsi="Arial"/>
          <w:sz w:val="20"/>
          <w:szCs w:val="20"/>
          <w:color w:val="1A1A1A"/>
        </w:rPr>
        <w:t>.</w:t>
      </w:r>
    </w:p>
    <w:p>
      <w:pPr>
        <w:ind w:left="272" w:hanging="272"/>
        <w:spacing w:after="0"/>
        <w:tabs>
          <w:tab w:leader="none" w:pos="272" w:val="left"/>
        </w:tabs>
        <w:numPr>
          <w:ilvl w:val="0"/>
          <w:numId w:val="558"/>
        </w:numPr>
        <w:rPr>
          <w:rFonts w:ascii="Arial" w:cs="Arial" w:eastAsia="Arial" w:hAnsi="Arial"/>
          <w:sz w:val="20"/>
          <w:szCs w:val="20"/>
          <w:color w:val="070707"/>
        </w:rPr>
      </w:pPr>
      <w:r>
        <w:rPr>
          <w:rFonts w:ascii="Arial" w:cs="Arial" w:eastAsia="Arial" w:hAnsi="Arial"/>
          <w:sz w:val="20"/>
          <w:szCs w:val="20"/>
          <w:color w:val="070707"/>
        </w:rPr>
        <w:t>Remove vinyl letters and graphics from conference rooms in the Reduction Space.</w:t>
      </w:r>
    </w:p>
    <w:p>
      <w:pPr>
        <w:ind w:left="272" w:hanging="272"/>
        <w:spacing w:after="0"/>
        <w:tabs>
          <w:tab w:leader="none" w:pos="272" w:val="left"/>
        </w:tabs>
        <w:numPr>
          <w:ilvl w:val="0"/>
          <w:numId w:val="558"/>
        </w:numPr>
        <w:rPr>
          <w:rFonts w:ascii="Arial" w:cs="Arial" w:eastAsia="Arial" w:hAnsi="Arial"/>
          <w:sz w:val="20"/>
          <w:szCs w:val="20"/>
          <w:color w:val="070707"/>
        </w:rPr>
      </w:pPr>
      <w:r>
        <w:rPr>
          <w:rFonts w:ascii="Arial" w:cs="Arial" w:eastAsia="Arial" w:hAnsi="Arial"/>
          <w:sz w:val="20"/>
          <w:szCs w:val="20"/>
          <w:color w:val="070707"/>
        </w:rPr>
        <w:t>Remove post-it white board vinyl and patch/paint, as determined by Sublandlord.</w:t>
      </w:r>
    </w:p>
    <w:p>
      <w:pPr>
        <w:ind w:left="272" w:hanging="272"/>
        <w:spacing w:after="0"/>
        <w:tabs>
          <w:tab w:leader="none" w:pos="272" w:val="left"/>
        </w:tabs>
        <w:numPr>
          <w:ilvl w:val="0"/>
          <w:numId w:val="558"/>
        </w:numPr>
        <w:rPr>
          <w:rFonts w:ascii="Arial" w:cs="Arial" w:eastAsia="Arial" w:hAnsi="Arial"/>
          <w:sz w:val="19"/>
          <w:szCs w:val="19"/>
          <w:color w:val="070707"/>
        </w:rPr>
      </w:pPr>
      <w:r>
        <w:rPr>
          <w:rFonts w:ascii="Arial" w:cs="Arial" w:eastAsia="Arial" w:hAnsi="Arial"/>
          <w:sz w:val="19"/>
          <w:szCs w:val="19"/>
          <w:color w:val="070707"/>
        </w:rPr>
        <w:t>Paint and restore the two (2) branded feature walls to the original condition as of the Commencement Date of the Sublease.</w:t>
      </w:r>
    </w:p>
    <w:p>
      <w:pPr>
        <w:spacing w:after="0" w:line="11" w:lineRule="exact"/>
        <w:rPr>
          <w:rFonts w:ascii="Arial" w:cs="Arial" w:eastAsia="Arial" w:hAnsi="Arial"/>
          <w:sz w:val="19"/>
          <w:szCs w:val="19"/>
          <w:color w:val="070707"/>
        </w:rPr>
      </w:pPr>
    </w:p>
    <w:p>
      <w:pPr>
        <w:ind w:left="332" w:right="680" w:hanging="332"/>
        <w:spacing w:after="0" w:line="239" w:lineRule="auto"/>
        <w:tabs>
          <w:tab w:leader="none" w:pos="275" w:val="left"/>
        </w:tabs>
        <w:numPr>
          <w:ilvl w:val="0"/>
          <w:numId w:val="558"/>
        </w:numPr>
        <w:rPr>
          <w:rFonts w:ascii="Arial" w:cs="Arial" w:eastAsia="Arial" w:hAnsi="Arial"/>
          <w:sz w:val="20"/>
          <w:szCs w:val="20"/>
          <w:color w:val="070707"/>
        </w:rPr>
      </w:pPr>
      <w:r>
        <w:rPr>
          <w:rFonts w:ascii="Arial" w:cs="Arial" w:eastAsia="Arial" w:hAnsi="Arial"/>
          <w:sz w:val="20"/>
          <w:szCs w:val="20"/>
          <w:color w:val="070707"/>
        </w:rPr>
        <w:t>Remove wallpaper and paint over the two (2) wallpapered feature walls in order to restore walls to the original condition as ofthe Commencement Date of the Sublease.</w:t>
      </w:r>
    </w:p>
    <w:p>
      <w:pPr>
        <w:ind w:left="332" w:hanging="332"/>
        <w:spacing w:after="0" w:line="239" w:lineRule="auto"/>
        <w:tabs>
          <w:tab w:leader="none" w:pos="325" w:val="left"/>
        </w:tabs>
        <w:numPr>
          <w:ilvl w:val="0"/>
          <w:numId w:val="558"/>
        </w:numPr>
        <w:rPr>
          <w:rFonts w:ascii="Arial" w:cs="Arial" w:eastAsia="Arial" w:hAnsi="Arial"/>
          <w:sz w:val="20"/>
          <w:szCs w:val="20"/>
          <w:color w:val="070707"/>
        </w:rPr>
      </w:pPr>
      <w:r>
        <w:rPr>
          <w:rFonts w:ascii="Arial" w:cs="Arial" w:eastAsia="Arial" w:hAnsi="Arial"/>
          <w:sz w:val="20"/>
          <w:szCs w:val="20"/>
          <w:color w:val="070707"/>
        </w:rPr>
        <w:t>Reimburse Sublandlord for the reasonable and mutually agreed upon cost to replace and reinstall carpeting in the Reduction Space where the same was removed for polished concrete.</w:t>
      </w:r>
    </w:p>
    <w:p>
      <w:pPr>
        <w:ind w:left="272" w:hanging="272"/>
        <w:spacing w:after="0"/>
        <w:tabs>
          <w:tab w:leader="none" w:pos="272" w:val="left"/>
        </w:tabs>
        <w:numPr>
          <w:ilvl w:val="0"/>
          <w:numId w:val="558"/>
        </w:numPr>
        <w:rPr>
          <w:rFonts w:ascii="Arial" w:cs="Arial" w:eastAsia="Arial" w:hAnsi="Arial"/>
          <w:sz w:val="20"/>
          <w:szCs w:val="20"/>
          <w:color w:val="070707"/>
        </w:rPr>
      </w:pPr>
      <w:r>
        <w:rPr>
          <w:rFonts w:ascii="Arial" w:cs="Arial" w:eastAsia="Arial" w:hAnsi="Arial"/>
          <w:sz w:val="20"/>
          <w:szCs w:val="20"/>
          <w:color w:val="070707"/>
        </w:rPr>
        <w:t>Repair lighting in two (2) booths where Lutron lights are not working.</w:t>
      </w:r>
    </w:p>
    <w:p>
      <w:pPr>
        <w:ind w:left="272" w:hanging="272"/>
        <w:spacing w:after="0"/>
        <w:tabs>
          <w:tab w:leader="none" w:pos="272" w:val="left"/>
        </w:tabs>
        <w:numPr>
          <w:ilvl w:val="0"/>
          <w:numId w:val="558"/>
        </w:numPr>
        <w:rPr>
          <w:rFonts w:ascii="Arial" w:cs="Arial" w:eastAsia="Arial" w:hAnsi="Arial"/>
          <w:sz w:val="20"/>
          <w:szCs w:val="20"/>
          <w:color w:val="070707"/>
        </w:rPr>
      </w:pPr>
      <w:r>
        <w:rPr>
          <w:rFonts w:ascii="Arial" w:cs="Arial" w:eastAsia="Arial" w:hAnsi="Arial"/>
          <w:sz w:val="20"/>
          <w:szCs w:val="20"/>
          <w:color w:val="070707"/>
        </w:rPr>
        <w:t>Remove Nerdwallet-installed DAS equipment and patch/paint ceiling.</w:t>
      </w:r>
    </w:p>
    <w:p>
      <w:pPr>
        <w:ind w:left="272" w:hanging="272"/>
        <w:spacing w:after="0"/>
        <w:tabs>
          <w:tab w:leader="none" w:pos="272" w:val="left"/>
        </w:tabs>
        <w:numPr>
          <w:ilvl w:val="0"/>
          <w:numId w:val="558"/>
        </w:numPr>
        <w:rPr>
          <w:rFonts w:ascii="Arial" w:cs="Arial" w:eastAsia="Arial" w:hAnsi="Arial"/>
          <w:sz w:val="20"/>
          <w:szCs w:val="20"/>
          <w:color w:val="070707"/>
        </w:rPr>
      </w:pPr>
      <w:r>
        <w:rPr>
          <w:rFonts w:ascii="Arial" w:cs="Arial" w:eastAsia="Arial" w:hAnsi="Arial"/>
          <w:sz w:val="20"/>
          <w:szCs w:val="20"/>
          <w:color w:val="070707"/>
        </w:rPr>
        <w:t>Patch and paint the walls in the Reduction Space</w:t>
      </w:r>
      <w:r>
        <w:rPr>
          <w:rFonts w:ascii="Arial" w:cs="Arial" w:eastAsia="Arial" w:hAnsi="Arial"/>
          <w:sz w:val="20"/>
          <w:szCs w:val="20"/>
          <w:color w:val="1A1A1A"/>
        </w:rPr>
        <w:t>,</w:t>
      </w:r>
      <w:r>
        <w:rPr>
          <w:rFonts w:ascii="Arial" w:cs="Arial" w:eastAsia="Arial" w:hAnsi="Arial"/>
          <w:sz w:val="20"/>
          <w:szCs w:val="20"/>
          <w:color w:val="070707"/>
        </w:rPr>
        <w:t xml:space="preserve"> as determined by Sublandlord.</w:t>
      </w:r>
    </w:p>
    <w:p>
      <w:pPr>
        <w:ind w:left="272" w:hanging="272"/>
        <w:spacing w:after="0"/>
        <w:tabs>
          <w:tab w:leader="none" w:pos="272" w:val="left"/>
        </w:tabs>
        <w:numPr>
          <w:ilvl w:val="0"/>
          <w:numId w:val="558"/>
        </w:numPr>
        <w:rPr>
          <w:rFonts w:ascii="Arial" w:cs="Arial" w:eastAsia="Arial" w:hAnsi="Arial"/>
          <w:sz w:val="20"/>
          <w:szCs w:val="20"/>
          <w:color w:val="070707"/>
        </w:rPr>
      </w:pPr>
      <w:r>
        <w:rPr>
          <w:rFonts w:ascii="Arial" w:cs="Arial" w:eastAsia="Arial" w:hAnsi="Arial"/>
          <w:sz w:val="20"/>
          <w:szCs w:val="20"/>
          <w:color w:val="070707"/>
        </w:rPr>
        <w:t>Reinstall 296 Knoll monitor arms.</w:t>
      </w:r>
    </w:p>
    <w:p>
      <w:pPr>
        <w:sectPr>
          <w:pgSz w:w="11900" w:h="16838" w:orient="portrait"/>
          <w:cols w:equalWidth="0" w:num="1">
            <w:col w:w="11172"/>
          </w:cols>
          <w:pgMar w:left="328" w:top="1412" w:right="399" w:bottom="1440" w:gutter="0" w:footer="0" w:header="0"/>
        </w:sectPr>
      </w:pPr>
    </w:p>
    <w:bookmarkStart w:id="587" w:name="page588"/>
    <w:bookmarkEnd w:id="587"/>
    <w:p>
      <w:pPr>
        <w:jc w:val="right"/>
        <w:spacing w:after="0"/>
        <w:rPr>
          <w:sz w:val="20"/>
          <w:szCs w:val="20"/>
          <w:color w:val="auto"/>
        </w:rPr>
      </w:pPr>
      <w:r>
        <w:rPr>
          <w:rFonts w:ascii="Arial" w:cs="Arial" w:eastAsia="Arial" w:hAnsi="Arial"/>
          <w:sz w:val="18"/>
          <w:szCs w:val="18"/>
          <w:b w:val="1"/>
          <w:bCs w:val="1"/>
          <w:color w:val="auto"/>
        </w:rPr>
        <w:t>Exhibit 10.17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60325</wp:posOffset>
            </wp:positionV>
            <wp:extent cx="1800225" cy="3168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80022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95959"/>
        </w:rPr>
        <w:t>875 Stevenson Street, 5th Floor, San Francisco, CA 94103</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0"/>
          <w:szCs w:val="20"/>
          <w:color w:val="auto"/>
        </w:rPr>
        <w:t>November 23, 2020</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Lauren StClair Waugh</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 Employment Terms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Dear Lauren:</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NerdWallet, Inc. (“NerdWallet” or the “Company”) is pleased to offer you employment in the position of Chief Financial Officer on the following terms.</w:t>
      </w:r>
    </w:p>
    <w:p>
      <w:pPr>
        <w:spacing w:after="0" w:line="12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You will report to our CEO, Tim Chen. You will work at our facility located in San Francisco, CA once we are able to return to the office. Of course, the Company may change your position, duties, and work location from time to time in its discretion.</w:t>
      </w:r>
    </w:p>
    <w:p>
      <w:pPr>
        <w:spacing w:after="0" w:line="12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This offer will be contingent upon a background check clearance, satisfactory reference check, and satisfactory proof of your right to work in the United States being provided within three (3) business days of your date of hire. You agree provide any documentation or information at the Company’s request to facilitate these processes.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Compensation; Benefits</w:t>
      </w:r>
    </w:p>
    <w:p>
      <w:pPr>
        <w:spacing w:after="0" w:line="16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You will receive an annual salary of $500,000.00, less payroll deductions and with holdings, payable on the Company’s ordinary payroll cycle. As an exempt salaried employee, you will be expected to work the Company’s normal business hours as well as additional hours as required by the nature of your work assignments, and you will not be entitled to overtime compensation. During your employment, you will be eligible to participate in the standard benefits plans offered to similarly situated employees by the Company from time to time, subject to plan terms and generally applicable Company policies. Details about these benefits are available for your review.</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color w:val="auto"/>
        </w:rPr>
        <w:t>The Company may change compensation and benefits from time to time in its discretion.</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Equity</w:t>
      </w:r>
    </w:p>
    <w:p>
      <w:pPr>
        <w:spacing w:after="0" w:line="16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Subject to approval by the Company’s Board of Directors (the “</w:t>
      </w:r>
      <w:r>
        <w:rPr>
          <w:rFonts w:ascii="Arial" w:cs="Arial" w:eastAsia="Arial" w:hAnsi="Arial"/>
          <w:sz w:val="20"/>
          <w:szCs w:val="20"/>
          <w:i w:val="1"/>
          <w:iCs w:val="1"/>
          <w:color w:val="auto"/>
        </w:rPr>
        <w:t>Board</w:t>
      </w:r>
      <w:r>
        <w:rPr>
          <w:rFonts w:ascii="Arial" w:cs="Arial" w:eastAsia="Arial" w:hAnsi="Arial"/>
          <w:sz w:val="20"/>
          <w:szCs w:val="20"/>
          <w:color w:val="auto"/>
        </w:rPr>
        <w:t>”) and upon execution of the Company’s RSU Grant Notice, the Company, will recommend that you be granted a Restricted Stock Unit Award covering 315,000 shares of the Company’s Class A Common Stock (the “</w:t>
      </w:r>
      <w:r>
        <w:rPr>
          <w:rFonts w:ascii="Arial" w:cs="Arial" w:eastAsia="Arial" w:hAnsi="Arial"/>
          <w:sz w:val="20"/>
          <w:szCs w:val="20"/>
          <w:i w:val="1"/>
          <w:iCs w:val="1"/>
          <w:color w:val="auto"/>
        </w:rPr>
        <w:t>RSU Award</w:t>
      </w:r>
      <w:r>
        <w:rPr>
          <w:rFonts w:ascii="Arial" w:cs="Arial" w:eastAsia="Arial" w:hAnsi="Arial"/>
          <w:sz w:val="20"/>
          <w:szCs w:val="20"/>
          <w:color w:val="auto"/>
        </w:rPr>
        <w:t>”). The RSU Award will be governed by the terms and conditions of the Restricted Stock Unit Award Agreement (which you are required to sign) and the Company’s 2012 Equity Incentive Plan (the “</w:t>
      </w:r>
      <w:r>
        <w:rPr>
          <w:rFonts w:ascii="Arial" w:cs="Arial" w:eastAsia="Arial" w:hAnsi="Arial"/>
          <w:sz w:val="20"/>
          <w:szCs w:val="20"/>
          <w:i w:val="1"/>
          <w:iCs w:val="1"/>
          <w:color w:val="auto"/>
        </w:rPr>
        <w:t>Plan</w:t>
      </w:r>
      <w:r>
        <w:rPr>
          <w:rFonts w:ascii="Arial" w:cs="Arial" w:eastAsia="Arial" w:hAnsi="Arial"/>
          <w:sz w:val="20"/>
          <w:szCs w:val="20"/>
          <w:color w:val="auto"/>
        </w:rPr>
        <w:t>”). Your RSU Award will vest over approximately four years, subject to a one-year vesting cliff (meaning none of the RSU Award will vest for approximately one year as measured from the date of grant of the RSU Award) and will generally vest quarterly thereafter, subject to your continuing to be a Service Provider as of each vesting date.</w:t>
      </w:r>
    </w:p>
    <w:p>
      <w:pPr>
        <w:spacing w:after="0" w:line="13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Subject to approval by the Board and upon execution of the Company’s Option Grant Notice, the Company will recommend that you be granted an option to purchase 630,000 shares of the Company’s Class A Common Stock at a price per share equal to the fair market value per share of the Common Stock on the date of grant, as determined by the Company’s Board of Directors. Twenty-five percent of the shares subject to the option shall vest twelve months after the date your employment begins,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95959"/>
        </w:rPr>
        <w:t>NerdWallet | 875 Stevenson Street, 5th Floor, San Francisco, CA 94103 | nerdwallet.com</w:t>
      </w:r>
    </w:p>
    <w:p>
      <w:pPr>
        <w:sectPr>
          <w:pgSz w:w="11900" w:h="16838" w:orient="portrait"/>
          <w:cols w:equalWidth="0" w:num="1">
            <w:col w:w="11240"/>
          </w:cols>
          <w:pgMar w:left="320" w:top="121" w:right="339" w:bottom="1440" w:gutter="0" w:footer="0" w:header="0"/>
        </w:sectPr>
      </w:pPr>
    </w:p>
    <w:bookmarkStart w:id="588" w:name="page589"/>
    <w:bookmarkEnd w:id="588"/>
    <w:p>
      <w:pPr>
        <w:spacing w:after="0" w:line="200" w:lineRule="exact"/>
        <w:rPr>
          <w:sz w:val="20"/>
          <w:szCs w:val="20"/>
          <w:color w:val="auto"/>
        </w:rPr>
      </w:pPr>
    </w:p>
    <w:p>
      <w:pPr>
        <w:spacing w:after="0" w:line="26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your continuing employment with the Company, and no shares shall vest before such date. The remaining shares shall vest monthly over the next thirty-six (36) months in equal monthly amounts subject to your continuing employment with the Company. This option grant shall be subject to the terms and conditions of the Company’s Equity Incentive Plan and Stock Option Agreement, including vesting requirements. No right to any stock is earned or accrued until such time that vesting occurs, nor does the grant confer any right to continue vesting or employment.</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Terms of Employment</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As a Company employee, you will be expected to abide by Company rules and policies (including but not limited to the Company’s employee handbook), as adopted or modified by the Company from time to time. As a condition of employment, you must sign and comply with the Confidential Information, Inventions Assignment and Arbitration Agreement set forth in Attachment A, which prohibits unauthorized use or disclosure of the Company’s proprietary information, among other obligations.</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At-will Employment</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Your employment relationship with the Company will be at-will. Accordingly, you may terminate your employment with the Company at any time and for any reason whatsoever simply by notifying the Company; and the Company may terminate your employment at any time, with or without cause or advance notice. Any contrary representations that may have been made to you are superseded by this offer. This is the full and complete agreement between you and the Company on this term. Notwithstanding the foregoing, upon certain termination events, you will be entitled to the severance benefits as set forth in Attachment B.</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Arbitration</w:t>
      </w:r>
    </w:p>
    <w:p>
      <w:pPr>
        <w:spacing w:after="0" w:line="162" w:lineRule="exact"/>
        <w:rPr>
          <w:sz w:val="20"/>
          <w:szCs w:val="20"/>
          <w:color w:val="auto"/>
        </w:rPr>
      </w:pPr>
    </w:p>
    <w:p>
      <w:pPr>
        <w:jc w:val="both"/>
        <w:spacing w:after="0" w:line="322" w:lineRule="auto"/>
        <w:rPr>
          <w:sz w:val="20"/>
          <w:szCs w:val="20"/>
          <w:color w:val="auto"/>
        </w:rPr>
      </w:pPr>
      <w:r>
        <w:rPr>
          <w:rFonts w:ascii="Arial" w:cs="Arial" w:eastAsia="Arial" w:hAnsi="Arial"/>
          <w:sz w:val="16"/>
          <w:szCs w:val="16"/>
          <w:b w:val="1"/>
          <w:bCs w:val="1"/>
          <w:color w:val="auto"/>
        </w:rPr>
        <w:t>To ensure the rapid and economical resolution of disputes that may arise in connection with your employment with the Company, you and the Company agree that any and all controversies, claims, or disputes with anyone (including the Company and any employee, officer, director, shareholder, or benefit plan of the company, in their capacity as such or otherwise), arising out of, relating to, or resulting from your employment with the Company or the termination of your employment with the Company shall be subject to binding arbitration per the terms of the attached Confidential Information, Inventions Assignment and Arbitration Agreement.</w:t>
      </w:r>
    </w:p>
    <w:p>
      <w:pPr>
        <w:spacing w:after="0" w:line="81"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This letter, including Attachments A and B, forms the complete and exclusive statement of your employment agreement with the Company. It supersedes any other agreements or promises made to you by anyone, whether oral or written. Changes in your employment terms, other than those changes expressly reserved to the Company’s discretion in this letter, require a written modification signed by an officer of the Company. If any provision of this offer letter agreement is determined to be invalid or unenforceable, in whole or in part, this determination shall not affect any other provision of this offer letter agreement and the provision in question shall be modified so as to be rendered enforceable in a manner consistent with the intent of the parties insofar as possible under applicable law. This letter may be delivered via facsimile, electronic mail (including pdf or any electronic signature complying with the U.S. federal ESIGN Act of 2000, Uniform Electronic Transactions Act or other applicable law) or other transmission method and shall be deemed to have been duly and validly delivered and be valid and effective for all purposes.</w:t>
      </w:r>
    </w:p>
    <w:p>
      <w:pPr>
        <w:sectPr>
          <w:pgSz w:w="11900" w:h="16838" w:orient="portrait"/>
          <w:cols w:equalWidth="0" w:num="1">
            <w:col w:w="11240"/>
          </w:cols>
          <w:pgMar w:left="320" w:top="1440" w:right="339" w:bottom="1440" w:gutter="0" w:footer="0" w:header="0"/>
        </w:sectPr>
      </w:pPr>
    </w:p>
    <w:bookmarkStart w:id="589" w:name="page590"/>
    <w:bookmarkEnd w:id="589"/>
    <w:p>
      <w:pPr>
        <w:spacing w:after="0" w:line="200" w:lineRule="exact"/>
        <w:rPr>
          <w:sz w:val="20"/>
          <w:szCs w:val="20"/>
          <w:color w:val="auto"/>
        </w:rPr>
      </w:pPr>
    </w:p>
    <w:p>
      <w:pPr>
        <w:spacing w:after="0" w:line="26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Please sign and date this letter, and the enclosed Employee Confidential Information, Inventions Assignment and Arbitration Agreement and return them to me by November 24, 2020, if you wish to accept employment at the Company under the terms described above. If you accept our offer, we would like you to start on December 16, 2020.</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auto"/>
        </w:rPr>
        <w:t>We look forward to your favorable reply and to a productive and enjoyable work relationship.</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25755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20"/>
          <w:szCs w:val="20"/>
          <w:color w:val="auto"/>
        </w:rPr>
        <w:t>Tim Chen</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Chief Executive Officer</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620" w:type="dxa"/>
            <w:vAlign w:val="bottom"/>
            <w:gridSpan w:val="2"/>
          </w:tcPr>
          <w:p>
            <w:pPr>
              <w:ind w:left="20"/>
              <w:spacing w:after="0"/>
              <w:rPr>
                <w:sz w:val="20"/>
                <w:szCs w:val="20"/>
                <w:color w:val="auto"/>
              </w:rPr>
            </w:pPr>
            <w:r>
              <w:rPr>
                <w:rFonts w:ascii="Arial" w:cs="Arial" w:eastAsia="Arial" w:hAnsi="Arial"/>
                <w:sz w:val="20"/>
                <w:szCs w:val="20"/>
                <w:color w:val="auto"/>
              </w:rPr>
              <w:t>Understood, Accepted and Agreed:</w:t>
            </w:r>
          </w:p>
        </w:tc>
        <w:tc>
          <w:tcPr>
            <w:tcW w:w="5140" w:type="dxa"/>
            <w:vAlign w:val="bottom"/>
          </w:tcPr>
          <w:p>
            <w:pPr>
              <w:spacing w:after="0"/>
              <w:rPr>
                <w:sz w:val="21"/>
                <w:szCs w:val="21"/>
                <w:color w:val="auto"/>
              </w:rPr>
            </w:pPr>
          </w:p>
        </w:tc>
      </w:tr>
      <w:tr>
        <w:trPr>
          <w:trHeight w:val="283"/>
        </w:trPr>
        <w:tc>
          <w:tcPr>
            <w:tcW w:w="5620" w:type="dxa"/>
            <w:vAlign w:val="bottom"/>
            <w:gridSpan w:val="2"/>
          </w:tcPr>
          <w:p>
            <w:pPr>
              <w:ind w:left="20"/>
              <w:spacing w:after="0"/>
              <w:rPr>
                <w:sz w:val="20"/>
                <w:szCs w:val="20"/>
                <w:color w:val="auto"/>
              </w:rPr>
            </w:pPr>
            <w:r>
              <w:rPr>
                <w:rFonts w:ascii="Arial" w:cs="Arial" w:eastAsia="Arial" w:hAnsi="Arial"/>
                <w:sz w:val="20"/>
                <w:szCs w:val="20"/>
                <w:color w:val="auto"/>
              </w:rPr>
              <w:t>/s/ Lauren StClair Waugh</w:t>
            </w:r>
          </w:p>
        </w:tc>
        <w:tc>
          <w:tcPr>
            <w:tcW w:w="5140" w:type="dxa"/>
            <w:vAlign w:val="bottom"/>
          </w:tcPr>
          <w:p>
            <w:pPr>
              <w:ind w:left="20"/>
              <w:spacing w:after="0"/>
              <w:rPr>
                <w:sz w:val="20"/>
                <w:szCs w:val="20"/>
                <w:color w:val="auto"/>
              </w:rPr>
            </w:pPr>
            <w:r>
              <w:rPr>
                <w:rFonts w:ascii="Arial" w:cs="Arial" w:eastAsia="Arial" w:hAnsi="Arial"/>
                <w:sz w:val="20"/>
                <w:szCs w:val="20"/>
                <w:color w:val="auto"/>
              </w:rPr>
              <w:t>11/24/2020</w:t>
            </w:r>
          </w:p>
        </w:tc>
      </w:tr>
      <w:tr>
        <w:trPr>
          <w:trHeight w:val="185"/>
        </w:trPr>
        <w:tc>
          <w:tcPr>
            <w:tcW w:w="5140" w:type="dxa"/>
            <w:vAlign w:val="bottom"/>
            <w:tcBorders>
              <w:bottom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5140" w:type="dxa"/>
            <w:vAlign w:val="bottom"/>
            <w:tcBorders>
              <w:bottom w:val="single" w:sz="8" w:color="auto"/>
            </w:tcBorders>
          </w:tcPr>
          <w:p>
            <w:pPr>
              <w:spacing w:after="0"/>
              <w:rPr>
                <w:sz w:val="16"/>
                <w:szCs w:val="16"/>
                <w:color w:val="auto"/>
              </w:rPr>
            </w:pPr>
          </w:p>
        </w:tc>
      </w:tr>
      <w:tr>
        <w:trPr>
          <w:trHeight w:val="254"/>
        </w:trPr>
        <w:tc>
          <w:tcPr>
            <w:tcW w:w="5620" w:type="dxa"/>
            <w:vAlign w:val="bottom"/>
            <w:gridSpan w:val="2"/>
          </w:tcPr>
          <w:p>
            <w:pPr>
              <w:ind w:left="20"/>
              <w:spacing w:after="0"/>
              <w:rPr>
                <w:sz w:val="20"/>
                <w:szCs w:val="20"/>
                <w:color w:val="auto"/>
              </w:rPr>
            </w:pPr>
            <w:r>
              <w:rPr>
                <w:rFonts w:ascii="Arial" w:cs="Arial" w:eastAsia="Arial" w:hAnsi="Arial"/>
                <w:sz w:val="20"/>
                <w:szCs w:val="20"/>
                <w:color w:val="auto"/>
              </w:rPr>
              <w:t>Lauren StClair Waugh</w:t>
            </w:r>
          </w:p>
        </w:tc>
        <w:tc>
          <w:tcPr>
            <w:tcW w:w="5140" w:type="dxa"/>
            <w:vAlign w:val="bottom"/>
          </w:tcPr>
          <w:p>
            <w:pPr>
              <w:ind w:left="20"/>
              <w:spacing w:after="0"/>
              <w:rPr>
                <w:sz w:val="20"/>
                <w:szCs w:val="20"/>
                <w:color w:val="auto"/>
              </w:rPr>
            </w:pPr>
            <w:r>
              <w:rPr>
                <w:rFonts w:ascii="Arial" w:cs="Arial" w:eastAsia="Arial" w:hAnsi="Arial"/>
                <w:sz w:val="20"/>
                <w:szCs w:val="20"/>
                <w:color w:val="auto"/>
              </w:rPr>
              <w:t>Date</w:t>
            </w:r>
          </w:p>
        </w:tc>
      </w:tr>
      <w:tr>
        <w:trPr>
          <w:trHeight w:val="590"/>
        </w:trPr>
        <w:tc>
          <w:tcPr>
            <w:tcW w:w="5140" w:type="dxa"/>
            <w:vAlign w:val="bottom"/>
          </w:tcPr>
          <w:p>
            <w:pPr>
              <w:ind w:left="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51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Attachments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Attachment A: Confidential Information, Inventions Assignment and Arbitration Agreement</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Attachment B: Severance and Change in Control</w:t>
      </w:r>
    </w:p>
    <w:p>
      <w:pPr>
        <w:sectPr>
          <w:pgSz w:w="11900" w:h="16838" w:orient="portrait"/>
          <w:cols w:equalWidth="0" w:num="1">
            <w:col w:w="11240"/>
          </w:cols>
          <w:pgMar w:left="320" w:top="1440" w:right="339" w:bottom="1440" w:gutter="0" w:footer="0" w:header="0"/>
        </w:sectPr>
      </w:pPr>
    </w:p>
    <w:bookmarkStart w:id="590" w:name="page591"/>
    <w:bookmarkEnd w:id="590"/>
    <w:p>
      <w:pPr>
        <w:jc w:val="center"/>
        <w:spacing w:after="0"/>
        <w:rPr>
          <w:sz w:val="20"/>
          <w:szCs w:val="20"/>
          <w:color w:val="auto"/>
        </w:rPr>
      </w:pPr>
      <w:r>
        <w:rPr>
          <w:rFonts w:ascii="Arial" w:cs="Arial" w:eastAsia="Arial" w:hAnsi="Arial"/>
          <w:sz w:val="18"/>
          <w:szCs w:val="18"/>
          <w:b w:val="1"/>
          <w:bCs w:val="1"/>
          <w:color w:val="595959"/>
        </w:rPr>
        <w:drawing>
          <wp:anchor simplePos="0" relativeHeight="251657728" behindDoc="1" locked="0" layoutInCell="0" allowOverlap="1">
            <wp:simplePos x="0" y="0"/>
            <wp:positionH relativeFrom="page">
              <wp:posOffset>2874010</wp:posOffset>
            </wp:positionH>
            <wp:positionV relativeFrom="page">
              <wp:posOffset>131445</wp:posOffset>
            </wp:positionV>
            <wp:extent cx="1800225" cy="3175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clrChange>
                        <a:clrFrom>
                          <a:srgbClr val="FFFFFF"/>
                        </a:clrFrom>
                        <a:clrTo>
                          <a:srgbClr val="FFFFFF">
                            <a:alpha val="0"/>
                          </a:srgbClr>
                        </a:clrTo>
                      </a:clrChange>
                      <a:extLst>
                        <a:ext uri="{28A0092B-C50C-407E-A947-70E740481C1C}"/>
                      </a:extLst>
                    </a:blip>
                    <a:srcRect/>
                    <a:stretch>
                      <a:fillRect/>
                    </a:stretch>
                  </pic:blipFill>
                  <pic:spPr bwMode="auto">
                    <a:xfrm>
                      <a:off x="0" y="0"/>
                      <a:ext cx="1800225" cy="317500"/>
                    </a:xfrm>
                    <a:prstGeom prst="rect">
                      <a:avLst/>
                    </a:prstGeom>
                    <a:noFill/>
                  </pic:spPr>
                </pic:pic>
              </a:graphicData>
            </a:graphic>
          </wp:anchor>
        </w:drawing>
        <w:t>875 Stevenson Street, 5th Floor, San Francisco, CA 94103</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7"/>
          <w:szCs w:val="17"/>
          <w:b w:val="1"/>
          <w:bCs w:val="1"/>
          <w:color w:val="auto"/>
        </w:rPr>
        <w:t>CHEDULE</w:t>
      </w:r>
      <w:r>
        <w:rPr>
          <w:rFonts w:ascii="Arial" w:cs="Arial" w:eastAsia="Arial" w:hAnsi="Arial"/>
          <w:sz w:val="22"/>
          <w:szCs w:val="22"/>
          <w:b w:val="1"/>
          <w:bCs w:val="1"/>
          <w:color w:val="auto"/>
        </w:rPr>
        <w:t xml:space="preserve"> B</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7"/>
          <w:szCs w:val="17"/>
          <w:b w:val="1"/>
          <w:bCs w:val="1"/>
          <w:color w:val="auto"/>
        </w:rPr>
        <w:t>EVERANCE AND</w:t>
      </w:r>
      <w:r>
        <w:rPr>
          <w:rFonts w:ascii="Arial" w:cs="Arial" w:eastAsia="Arial" w:hAnsi="Arial"/>
          <w:sz w:val="22"/>
          <w:szCs w:val="22"/>
          <w:b w:val="1"/>
          <w:bCs w:val="1"/>
          <w:color w:val="auto"/>
        </w:rPr>
        <w:t xml:space="preserve"> C</w:t>
      </w:r>
      <w:r>
        <w:rPr>
          <w:rFonts w:ascii="Arial" w:cs="Arial" w:eastAsia="Arial" w:hAnsi="Arial"/>
          <w:sz w:val="17"/>
          <w:szCs w:val="17"/>
          <w:b w:val="1"/>
          <w:bCs w:val="1"/>
          <w:color w:val="auto"/>
        </w:rPr>
        <w:t>HANGE IN</w:t>
      </w:r>
      <w:r>
        <w:rPr>
          <w:rFonts w:ascii="Arial" w:cs="Arial" w:eastAsia="Arial" w:hAnsi="Arial"/>
          <w:sz w:val="22"/>
          <w:szCs w:val="22"/>
          <w:b w:val="1"/>
          <w:bCs w:val="1"/>
          <w:color w:val="auto"/>
        </w:rPr>
        <w:t xml:space="preserve"> C</w:t>
      </w:r>
      <w:r>
        <w:rPr>
          <w:rFonts w:ascii="Arial" w:cs="Arial" w:eastAsia="Arial" w:hAnsi="Arial"/>
          <w:sz w:val="17"/>
          <w:szCs w:val="17"/>
          <w:b w:val="1"/>
          <w:bCs w:val="1"/>
          <w:color w:val="auto"/>
        </w:rPr>
        <w:t>ONTROL</w:t>
      </w:r>
      <w:r>
        <w:rPr>
          <w:rFonts w:ascii="Arial" w:cs="Arial" w:eastAsia="Arial" w:hAnsi="Arial"/>
          <w:sz w:val="22"/>
          <w:szCs w:val="22"/>
          <w:b w:val="1"/>
          <w:bCs w:val="1"/>
          <w:color w:val="auto"/>
        </w:rPr>
        <w:t xml:space="preserve"> B</w:t>
      </w:r>
      <w:r>
        <w:rPr>
          <w:rFonts w:ascii="Arial" w:cs="Arial" w:eastAsia="Arial" w:hAnsi="Arial"/>
          <w:sz w:val="17"/>
          <w:szCs w:val="17"/>
          <w:b w:val="1"/>
          <w:bCs w:val="1"/>
          <w:color w:val="auto"/>
        </w:rPr>
        <w:t>ENEFITS</w:t>
      </w:r>
    </w:p>
    <w:p>
      <w:pPr>
        <w:spacing w:after="0" w:line="172" w:lineRule="exact"/>
        <w:rPr>
          <w:sz w:val="20"/>
          <w:szCs w:val="20"/>
          <w:color w:val="auto"/>
        </w:rPr>
      </w:pPr>
    </w:p>
    <w:p>
      <w:pPr>
        <w:jc w:val="both"/>
        <w:ind w:firstLine="656"/>
        <w:spacing w:after="0" w:line="302" w:lineRule="auto"/>
        <w:tabs>
          <w:tab w:leader="none" w:pos="1066" w:val="left"/>
        </w:tabs>
        <w:numPr>
          <w:ilvl w:val="1"/>
          <w:numId w:val="559"/>
        </w:numPr>
        <w:rPr>
          <w:rFonts w:ascii="Arial" w:cs="Arial" w:eastAsia="Arial" w:hAnsi="Arial"/>
          <w:sz w:val="19"/>
          <w:szCs w:val="19"/>
          <w:color w:val="auto"/>
        </w:rPr>
      </w:pPr>
      <w:r>
        <w:rPr>
          <w:rFonts w:ascii="Arial" w:cs="Arial" w:eastAsia="Arial" w:hAnsi="Arial"/>
          <w:sz w:val="19"/>
          <w:szCs w:val="19"/>
          <w:u w:val="single" w:color="auto"/>
          <w:color w:val="auto"/>
        </w:rPr>
        <w:t>Severance</w:t>
      </w:r>
      <w:r>
        <w:rPr>
          <w:rFonts w:ascii="Arial" w:cs="Arial" w:eastAsia="Arial" w:hAnsi="Arial"/>
          <w:sz w:val="19"/>
          <w:szCs w:val="19"/>
          <w:color w:val="auto"/>
        </w:rPr>
        <w:t>. If (i) your employment with the Company or its successor is involuntarily terminated without Cause (as defined below) or (ii) you resign your employment for Good Reason (as defined below), and in either case other than as a result of death or disability (an “Involuntary Termination”), subject to your delivery of an effective release agreement as described in Section 4(a) below, the Company will provide you with the following benefits (collectively, the “Severance”):</w:t>
      </w:r>
    </w:p>
    <w:p>
      <w:pPr>
        <w:spacing w:after="0" w:line="88" w:lineRule="exact"/>
        <w:rPr>
          <w:rFonts w:ascii="Arial" w:cs="Arial" w:eastAsia="Arial" w:hAnsi="Arial"/>
          <w:sz w:val="19"/>
          <w:szCs w:val="19"/>
          <w:color w:val="auto"/>
        </w:rPr>
      </w:pPr>
    </w:p>
    <w:p>
      <w:pPr>
        <w:ind w:left="1600" w:hanging="296"/>
        <w:spacing w:after="0"/>
        <w:tabs>
          <w:tab w:leader="none" w:pos="1600" w:val="left"/>
        </w:tabs>
        <w:numPr>
          <w:ilvl w:val="2"/>
          <w:numId w:val="559"/>
        </w:numPr>
        <w:rPr>
          <w:rFonts w:ascii="Arial" w:cs="Arial" w:eastAsia="Arial" w:hAnsi="Arial"/>
          <w:sz w:val="21"/>
          <w:szCs w:val="21"/>
          <w:color w:val="auto"/>
        </w:rPr>
      </w:pPr>
      <w:r>
        <w:rPr>
          <w:rFonts w:ascii="Arial" w:cs="Arial" w:eastAsia="Arial" w:hAnsi="Arial"/>
          <w:sz w:val="21"/>
          <w:szCs w:val="21"/>
          <w:color w:val="auto"/>
        </w:rPr>
        <w:t>cash severance equal to six (6) months of your then-current regular Base Salary (as defined below);</w:t>
      </w:r>
    </w:p>
    <w:p>
      <w:pPr>
        <w:spacing w:after="0" w:line="177" w:lineRule="exact"/>
        <w:rPr>
          <w:rFonts w:ascii="Arial" w:cs="Arial" w:eastAsia="Arial" w:hAnsi="Arial"/>
          <w:sz w:val="21"/>
          <w:szCs w:val="21"/>
          <w:color w:val="auto"/>
        </w:rPr>
      </w:pPr>
    </w:p>
    <w:p>
      <w:pPr>
        <w:jc w:val="both"/>
        <w:ind w:firstLine="1304"/>
        <w:spacing w:after="0" w:line="297" w:lineRule="auto"/>
        <w:tabs>
          <w:tab w:leader="none" w:pos="1642" w:val="left"/>
        </w:tabs>
        <w:numPr>
          <w:ilvl w:val="2"/>
          <w:numId w:val="559"/>
        </w:numPr>
        <w:rPr>
          <w:rFonts w:ascii="Arial" w:cs="Arial" w:eastAsia="Arial" w:hAnsi="Arial"/>
          <w:sz w:val="19"/>
          <w:szCs w:val="19"/>
          <w:color w:val="auto"/>
        </w:rPr>
      </w:pPr>
      <w:r>
        <w:rPr>
          <w:rFonts w:ascii="Arial" w:cs="Arial" w:eastAsia="Arial" w:hAnsi="Arial"/>
          <w:sz w:val="19"/>
          <w:szCs w:val="19"/>
          <w:color w:val="auto"/>
        </w:rPr>
        <w:t>reimbursement of the cost of COBRA coverage for six (6) months for you and your eligible dependents provided you timely elect coverage pursuant to the Consolidated Omnibus Reconciliation Act of 1985, as amended (“COBRA”), within the time period prescribed pursuant to COBRA (or if COBRA coverage is not available or if the reimbursement of such premiums would cause the Company to potentially incur financial costs or penalties under applicable law, payment in a lump sum equal to the monthly cost of what the COBRA coverage would have been for such time period); and</w:t>
      </w:r>
    </w:p>
    <w:p>
      <w:pPr>
        <w:spacing w:after="0" w:line="92" w:lineRule="exact"/>
        <w:rPr>
          <w:rFonts w:ascii="Arial" w:cs="Arial" w:eastAsia="Arial" w:hAnsi="Arial"/>
          <w:sz w:val="19"/>
          <w:szCs w:val="19"/>
          <w:color w:val="auto"/>
        </w:rPr>
      </w:pPr>
    </w:p>
    <w:p>
      <w:pPr>
        <w:jc w:val="both"/>
        <w:ind w:firstLine="1304"/>
        <w:spacing w:after="0" w:line="248" w:lineRule="auto"/>
        <w:tabs>
          <w:tab w:leader="none" w:pos="1598" w:val="left"/>
        </w:tabs>
        <w:numPr>
          <w:ilvl w:val="2"/>
          <w:numId w:val="559"/>
        </w:numPr>
        <w:rPr>
          <w:rFonts w:ascii="Arial" w:cs="Arial" w:eastAsia="Arial" w:hAnsi="Arial"/>
          <w:sz w:val="22"/>
          <w:szCs w:val="22"/>
          <w:color w:val="auto"/>
        </w:rPr>
      </w:pPr>
      <w:r>
        <w:rPr>
          <w:rFonts w:ascii="Arial" w:cs="Arial" w:eastAsia="Arial" w:hAnsi="Arial"/>
          <w:sz w:val="22"/>
          <w:szCs w:val="22"/>
          <w:color w:val="auto"/>
        </w:rPr>
        <w:t xml:space="preserve">if such Involuntary Termination occurs within one month before or twelve (12) months following a </w:t>
      </w:r>
      <w:r>
        <w:rPr>
          <w:rFonts w:ascii="Arial" w:cs="Arial" w:eastAsia="Arial" w:hAnsi="Arial"/>
          <w:sz w:val="22"/>
          <w:szCs w:val="22"/>
          <w:u w:val="single" w:color="auto"/>
          <w:color w:val="auto"/>
        </w:rPr>
        <w:t>Change in</w:t>
      </w:r>
      <w:r>
        <w:rPr>
          <w:rFonts w:ascii="Arial" w:cs="Arial" w:eastAsia="Arial" w:hAnsi="Arial"/>
          <w:sz w:val="22"/>
          <w:szCs w:val="22"/>
          <w:color w:val="auto"/>
        </w:rPr>
        <w:t xml:space="preserve"> </w:t>
      </w:r>
      <w:r>
        <w:rPr>
          <w:rFonts w:ascii="Arial" w:cs="Arial" w:eastAsia="Arial" w:hAnsi="Arial"/>
          <w:sz w:val="22"/>
          <w:szCs w:val="22"/>
          <w:u w:val="single" w:color="auto"/>
          <w:color w:val="auto"/>
        </w:rPr>
        <w:t>Control</w:t>
      </w:r>
      <w:r>
        <w:rPr>
          <w:rFonts w:ascii="Arial" w:cs="Arial" w:eastAsia="Arial" w:hAnsi="Arial"/>
          <w:sz w:val="22"/>
          <w:szCs w:val="22"/>
          <w:color w:val="auto"/>
        </w:rPr>
        <w:t xml:space="preserve"> (as defined below), twelve (12) months of additional vesting, beyond your termination date, on the portion of any stock options, restricted share units or shares of the Company’s equity securities held by you that are then unvested or subject to a repurchase option in favor of the Company (the “Unvested Shares”), pursuant to vesting terms then applicable to such Unvested Shares.</w:t>
      </w:r>
    </w:p>
    <w:p>
      <w:pPr>
        <w:spacing w:after="0" w:line="137" w:lineRule="exact"/>
        <w:rPr>
          <w:rFonts w:ascii="Arial" w:cs="Arial" w:eastAsia="Arial" w:hAnsi="Arial"/>
          <w:sz w:val="22"/>
          <w:szCs w:val="22"/>
          <w:color w:val="auto"/>
        </w:rPr>
      </w:pPr>
    </w:p>
    <w:p>
      <w:pPr>
        <w:ind w:left="1060" w:hanging="404"/>
        <w:spacing w:after="0"/>
        <w:tabs>
          <w:tab w:leader="none" w:pos="1060" w:val="left"/>
        </w:tabs>
        <w:numPr>
          <w:ilvl w:val="1"/>
          <w:numId w:val="559"/>
        </w:numPr>
        <w:rPr>
          <w:rFonts w:ascii="Arial" w:cs="Arial" w:eastAsia="Arial" w:hAnsi="Arial"/>
          <w:sz w:val="19"/>
          <w:szCs w:val="19"/>
          <w:color w:val="auto"/>
        </w:rPr>
      </w:pPr>
      <w:r>
        <w:rPr>
          <w:rFonts w:ascii="Arial" w:cs="Arial" w:eastAsia="Arial" w:hAnsi="Arial"/>
          <w:sz w:val="19"/>
          <w:szCs w:val="19"/>
          <w:u w:val="single" w:color="auto"/>
          <w:color w:val="auto"/>
        </w:rPr>
        <w:t>Exceptions</w:t>
      </w:r>
      <w:r>
        <w:rPr>
          <w:rFonts w:ascii="Arial" w:cs="Arial" w:eastAsia="Arial" w:hAnsi="Arial"/>
          <w:sz w:val="19"/>
          <w:szCs w:val="19"/>
          <w:color w:val="auto"/>
        </w:rPr>
        <w:t>. For the avoidance of doubt, you will not be entitled to Severance in any of the following circumstances:</w:t>
      </w:r>
    </w:p>
    <w:p>
      <w:pPr>
        <w:spacing w:after="0" w:line="55" w:lineRule="exact"/>
        <w:rPr>
          <w:rFonts w:ascii="Arial" w:cs="Arial" w:eastAsia="Arial" w:hAnsi="Arial"/>
          <w:sz w:val="19"/>
          <w:szCs w:val="19"/>
          <w:color w:val="auto"/>
        </w:rPr>
      </w:pPr>
    </w:p>
    <w:p>
      <w:pPr>
        <w:jc w:val="both"/>
        <w:ind w:firstLine="8"/>
        <w:spacing w:after="0" w:line="244" w:lineRule="auto"/>
        <w:tabs>
          <w:tab w:leader="none" w:pos="297" w:val="left"/>
        </w:tabs>
        <w:numPr>
          <w:ilvl w:val="0"/>
          <w:numId w:val="560"/>
        </w:numPr>
        <w:rPr>
          <w:rFonts w:ascii="Arial" w:cs="Arial" w:eastAsia="Arial" w:hAnsi="Arial"/>
          <w:sz w:val="22"/>
          <w:szCs w:val="22"/>
          <w:color w:val="auto"/>
        </w:rPr>
      </w:pPr>
      <w:r>
        <w:rPr>
          <w:rFonts w:ascii="Arial" w:cs="Arial" w:eastAsia="Arial" w:hAnsi="Arial"/>
          <w:sz w:val="22"/>
          <w:szCs w:val="22"/>
          <w:color w:val="auto"/>
        </w:rPr>
        <w:t>your employment is terminated for Cause, (b) you voluntarily terminate employment and such termination does not constitute a Good Reason (voluntary terminations include, but are not limited to, resignation, retirement or failure to return from a leave of absence on the scheduled return date), or (c) your employment with the Company is terminated in order for you to accept employment with another entity that is wholly or partly owned (directly or indirectly) by the Company or an affiliate of the Company, provided, however, that this subsection (c) shall not be interpreted to limit your rights in the event of a Good Reason resignation.</w:t>
      </w:r>
    </w:p>
    <w:p>
      <w:pPr>
        <w:spacing w:after="0" w:line="139" w:lineRule="exact"/>
        <w:rPr>
          <w:rFonts w:ascii="Arial" w:cs="Arial" w:eastAsia="Arial" w:hAnsi="Arial"/>
          <w:sz w:val="22"/>
          <w:szCs w:val="22"/>
          <w:color w:val="auto"/>
        </w:rPr>
      </w:pPr>
    </w:p>
    <w:p>
      <w:pPr>
        <w:ind w:left="1040" w:hanging="384"/>
        <w:spacing w:after="0"/>
        <w:tabs>
          <w:tab w:leader="none" w:pos="1040" w:val="left"/>
        </w:tabs>
        <w:numPr>
          <w:ilvl w:val="1"/>
          <w:numId w:val="560"/>
        </w:numPr>
        <w:rPr>
          <w:rFonts w:ascii="Arial" w:cs="Arial" w:eastAsia="Arial" w:hAnsi="Arial"/>
          <w:sz w:val="22"/>
          <w:szCs w:val="22"/>
          <w:color w:val="auto"/>
        </w:rPr>
      </w:pPr>
      <w:r>
        <w:rPr>
          <w:rFonts w:ascii="Arial" w:cs="Arial" w:eastAsia="Arial" w:hAnsi="Arial"/>
          <w:sz w:val="22"/>
          <w:szCs w:val="22"/>
          <w:u w:val="single" w:color="auto"/>
          <w:color w:val="auto"/>
        </w:rPr>
        <w:t>Severance Payments</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jc w:val="both"/>
        <w:ind w:firstLine="1304"/>
        <w:spacing w:after="0" w:line="248" w:lineRule="auto"/>
        <w:tabs>
          <w:tab w:leader="none" w:pos="1914" w:val="left"/>
        </w:tabs>
        <w:numPr>
          <w:ilvl w:val="2"/>
          <w:numId w:val="560"/>
        </w:numPr>
        <w:rPr>
          <w:rFonts w:ascii="Arial" w:cs="Arial" w:eastAsia="Arial" w:hAnsi="Arial"/>
          <w:sz w:val="22"/>
          <w:szCs w:val="22"/>
          <w:color w:val="auto"/>
        </w:rPr>
      </w:pPr>
      <w:r>
        <w:rPr>
          <w:rFonts w:ascii="Arial" w:cs="Arial" w:eastAsia="Arial" w:hAnsi="Arial"/>
          <w:sz w:val="22"/>
          <w:szCs w:val="22"/>
          <w:u w:val="single" w:color="auto"/>
          <w:color w:val="auto"/>
        </w:rPr>
        <w:t>General Rules</w:t>
      </w:r>
      <w:r>
        <w:rPr>
          <w:rFonts w:ascii="Arial" w:cs="Arial" w:eastAsia="Arial" w:hAnsi="Arial"/>
          <w:sz w:val="22"/>
          <w:szCs w:val="22"/>
          <w:color w:val="auto"/>
        </w:rPr>
        <w:t>. Cash severance will be paid in equal bi-monthly installments paid over the applicable severance period on the Company’s regularly scheduled payroll periods, with such payment(s) occurring or commencing as soon as practicable following the effective date of your Involuntary Termination. Severance payments shall be paid subject to applicable withholding for federal, state and local taxes. In no event shall payment of the Severance begin prior to the effective date of the Release described in Section 4(a) below.</w:t>
      </w:r>
    </w:p>
    <w:p>
      <w:pPr>
        <w:sectPr>
          <w:pgSz w:w="11900" w:h="16838" w:orient="portrait"/>
          <w:cols w:equalWidth="0" w:num="1">
            <w:col w:w="11240"/>
          </w:cols>
          <w:pgMar w:left="320" w:top="859" w:right="339" w:bottom="1440" w:gutter="0" w:footer="0" w:header="0"/>
        </w:sectPr>
      </w:pPr>
    </w:p>
    <w:bookmarkStart w:id="591" w:name="page592"/>
    <w:bookmarkEnd w:id="591"/>
    <w:p>
      <w:pPr>
        <w:jc w:val="center"/>
        <w:spacing w:after="0"/>
        <w:rPr>
          <w:sz w:val="20"/>
          <w:szCs w:val="20"/>
          <w:color w:val="auto"/>
        </w:rPr>
      </w:pPr>
      <w:r>
        <w:rPr>
          <w:rFonts w:ascii="Arial" w:cs="Arial" w:eastAsia="Arial" w:hAnsi="Arial"/>
          <w:sz w:val="18"/>
          <w:szCs w:val="18"/>
          <w:b w:val="1"/>
          <w:bCs w:val="1"/>
          <w:color w:val="595959"/>
        </w:rPr>
        <w:drawing>
          <wp:anchor simplePos="0" relativeHeight="251657728" behindDoc="1" locked="0" layoutInCell="0" allowOverlap="1">
            <wp:simplePos x="0" y="0"/>
            <wp:positionH relativeFrom="page">
              <wp:posOffset>2874010</wp:posOffset>
            </wp:positionH>
            <wp:positionV relativeFrom="page">
              <wp:posOffset>131445</wp:posOffset>
            </wp:positionV>
            <wp:extent cx="1800225" cy="3175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1800225" cy="317500"/>
                    </a:xfrm>
                    <a:prstGeom prst="rect">
                      <a:avLst/>
                    </a:prstGeom>
                    <a:noFill/>
                  </pic:spPr>
                </pic:pic>
              </a:graphicData>
            </a:graphic>
          </wp:anchor>
        </w:drawing>
        <w:t>875 Stevenson Street, 5th Floor, San Francisco, CA 94103</w:t>
      </w:r>
    </w:p>
    <w:p>
      <w:pPr>
        <w:spacing w:after="0" w:line="200" w:lineRule="exact"/>
        <w:rPr>
          <w:sz w:val="20"/>
          <w:szCs w:val="20"/>
          <w:color w:val="auto"/>
        </w:rPr>
      </w:pPr>
    </w:p>
    <w:p>
      <w:pPr>
        <w:spacing w:after="0" w:line="323" w:lineRule="exact"/>
        <w:rPr>
          <w:sz w:val="20"/>
          <w:szCs w:val="20"/>
          <w:color w:val="auto"/>
        </w:rPr>
      </w:pPr>
    </w:p>
    <w:p>
      <w:pPr>
        <w:jc w:val="both"/>
        <w:ind w:firstLine="1304"/>
        <w:spacing w:after="0" w:line="282" w:lineRule="auto"/>
        <w:tabs>
          <w:tab w:leader="none" w:pos="1818" w:val="left"/>
        </w:tabs>
        <w:numPr>
          <w:ilvl w:val="2"/>
          <w:numId w:val="561"/>
        </w:numPr>
        <w:rPr>
          <w:rFonts w:ascii="Arial" w:cs="Arial" w:eastAsia="Arial" w:hAnsi="Arial"/>
          <w:sz w:val="19"/>
          <w:szCs w:val="19"/>
          <w:color w:val="auto"/>
        </w:rPr>
      </w:pPr>
      <w:r>
        <w:rPr>
          <w:rFonts w:ascii="Arial" w:cs="Arial" w:eastAsia="Arial" w:hAnsi="Arial"/>
          <w:sz w:val="19"/>
          <w:szCs w:val="19"/>
          <w:u w:val="single" w:color="auto"/>
          <w:color w:val="auto"/>
        </w:rPr>
        <w:t>Application of Section 409A</w:t>
      </w:r>
      <w:r>
        <w:rPr>
          <w:rFonts w:ascii="Arial" w:cs="Arial" w:eastAsia="Arial" w:hAnsi="Arial"/>
          <w:sz w:val="19"/>
          <w:szCs w:val="19"/>
          <w:color w:val="auto"/>
        </w:rPr>
        <w:t>. It is intended that any benefits under this letter satisfy, to the greatest extent possible, the exemptions from the application of Section 409A of the Internal Revenue Code of 1986, as amended (“Section 409A”), provided under Treasury Regulations Sections 1.409A 1(b)(4), and 1.409A 1(b)(9), and this letter will be construed to the greatest extent possible as consistent with those provisions, and to the extent not so exempt, this letter (and any definitions hereunder) will be construed in a manner that complies with Section 409A. For purposes of Section 409A (including, without limitation, for purposes of Treasury Regulations Section 1.409A 2(b)(2)(iii)), your right to receive any installment payments under this letter (whether severance payments, if any, or otherwise) shall be treated as a right to receive a series of separate payments and, accordingly, each installment payment hereunder shall at all times be considered a separate and distinct payment. A termination of employment shall not be deemed to have occurred for purposes of any provision of this letter providing for the payment of any amounts or benefits upon or following a termination of employment unless such termination is also a “separation from service” within the meaning of Section 409A and, for purposes of any such provision of this Agreement, references to a “resignation,” “termination,” “termination of employment” or like terms shall mean separation from service. Notwithstanding any provision to the contrary in this Agreement, if you are deemed by the Company at the time of a separation from service to be a “specified employee” for purposes of Section 409A(a)(2)(B)(i), and if any payments or benefits that you become entitled to under this letter on account of such separation from service are deemed to be “deferred compensation,” then to the extent delayed commencement of any portion of such payments or benefits is required in order to avoid a prohibited distribution under Section 409A(a)(2)(B)(i) and the related adverse taxation under Section 409A, such payments shall not be provided prior to the earliest of</w:t>
      </w:r>
    </w:p>
    <w:p>
      <w:pPr>
        <w:spacing w:after="0" w:line="14" w:lineRule="exact"/>
        <w:rPr>
          <w:rFonts w:ascii="Arial" w:cs="Arial" w:eastAsia="Arial" w:hAnsi="Arial"/>
          <w:sz w:val="19"/>
          <w:szCs w:val="19"/>
          <w:color w:val="auto"/>
        </w:rPr>
      </w:pPr>
    </w:p>
    <w:p>
      <w:pPr>
        <w:jc w:val="both"/>
        <w:ind w:firstLine="8"/>
        <w:spacing w:after="0" w:line="295" w:lineRule="auto"/>
        <w:tabs>
          <w:tab w:leader="none" w:pos="274" w:val="left"/>
        </w:tabs>
        <w:numPr>
          <w:ilvl w:val="0"/>
          <w:numId w:val="562"/>
        </w:numPr>
        <w:rPr>
          <w:rFonts w:ascii="Arial" w:cs="Arial" w:eastAsia="Arial" w:hAnsi="Arial"/>
          <w:sz w:val="19"/>
          <w:szCs w:val="19"/>
          <w:color w:val="auto"/>
        </w:rPr>
      </w:pPr>
      <w:r>
        <w:rPr>
          <w:rFonts w:ascii="Arial" w:cs="Arial" w:eastAsia="Arial" w:hAnsi="Arial"/>
          <w:sz w:val="19"/>
          <w:szCs w:val="19"/>
          <w:color w:val="auto"/>
        </w:rPr>
        <w:t>the expiration of the six-month period measured from the date of separation from service, (ii) the date of your death or (iii) such earlier date as permitted under Section 409A without the imposition of adverse taxation. Upon the first business day following the expiration of such period, all payments deferred pursuant to this paragraph shall be paid in a lump sum, and any remaining payments due shall be paid as otherwise provided herein. No interest shall be due on any amounts so deferred.</w:t>
      </w:r>
    </w:p>
    <w:p>
      <w:pPr>
        <w:spacing w:after="0" w:line="95" w:lineRule="exact"/>
        <w:rPr>
          <w:rFonts w:ascii="Arial" w:cs="Arial" w:eastAsia="Arial" w:hAnsi="Arial"/>
          <w:sz w:val="19"/>
          <w:szCs w:val="19"/>
          <w:color w:val="auto"/>
        </w:rPr>
      </w:pPr>
    </w:p>
    <w:p>
      <w:pPr>
        <w:ind w:left="1040" w:hanging="384"/>
        <w:spacing w:after="0"/>
        <w:tabs>
          <w:tab w:leader="none" w:pos="1040" w:val="left"/>
        </w:tabs>
        <w:numPr>
          <w:ilvl w:val="1"/>
          <w:numId w:val="562"/>
        </w:numPr>
        <w:rPr>
          <w:rFonts w:ascii="Arial" w:cs="Arial" w:eastAsia="Arial" w:hAnsi="Arial"/>
          <w:sz w:val="22"/>
          <w:szCs w:val="22"/>
          <w:color w:val="auto"/>
        </w:rPr>
      </w:pPr>
      <w:r>
        <w:rPr>
          <w:rFonts w:ascii="Arial" w:cs="Arial" w:eastAsia="Arial" w:hAnsi="Arial"/>
          <w:sz w:val="22"/>
          <w:szCs w:val="22"/>
          <w:u w:val="single" w:color="auto"/>
          <w:color w:val="auto"/>
        </w:rPr>
        <w:t>Limitation of Benefits</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jc w:val="both"/>
        <w:ind w:firstLine="1304"/>
        <w:spacing w:after="0" w:line="289" w:lineRule="auto"/>
        <w:tabs>
          <w:tab w:leader="none" w:pos="1887" w:val="left"/>
        </w:tabs>
        <w:numPr>
          <w:ilvl w:val="2"/>
          <w:numId w:val="562"/>
        </w:numPr>
        <w:rPr>
          <w:rFonts w:ascii="Arial" w:cs="Arial" w:eastAsia="Arial" w:hAnsi="Arial"/>
          <w:sz w:val="19"/>
          <w:szCs w:val="19"/>
          <w:color w:val="auto"/>
        </w:rPr>
      </w:pPr>
      <w:r>
        <w:rPr>
          <w:rFonts w:ascii="Arial" w:cs="Arial" w:eastAsia="Arial" w:hAnsi="Arial"/>
          <w:sz w:val="19"/>
          <w:szCs w:val="19"/>
          <w:u w:val="single" w:color="auto"/>
          <w:color w:val="auto"/>
        </w:rPr>
        <w:t>Release</w:t>
      </w:r>
      <w:r>
        <w:rPr>
          <w:rFonts w:ascii="Arial" w:cs="Arial" w:eastAsia="Arial" w:hAnsi="Arial"/>
          <w:sz w:val="19"/>
          <w:szCs w:val="19"/>
          <w:color w:val="auto"/>
        </w:rPr>
        <w:t>. As a condition to your receipt of the Severance benefits described herein, you are required to comply with your continuing obligations (including the obligations of confidentiality and assignment of intellectual property rights, and return of any Company property) and resign from all positions you hold with the Company or its successors. In addition, as a condition to your receipt of the Severance benefits described herein, you are required to execute, and allow to become effective, the Company’s or the successor’s standard form of Release Agreement releasing any and all claims you may have against the Company and its successor within the time frame set forth therein (the “Release”), but not later than the 50th day following the date of your Separation from Service (the “Release Deadline”). In the event that the Release Deadline falls in the calendar year following the year of your Involuntary Termination, the Severance payments will not begin until the start of the second calendar year. The Company’s current form of release is set forth in Appendix B-1.</w:t>
      </w:r>
    </w:p>
    <w:p>
      <w:pPr>
        <w:sectPr>
          <w:pgSz w:w="11900" w:h="16838" w:orient="portrait"/>
          <w:cols w:equalWidth="0" w:num="1">
            <w:col w:w="11240"/>
          </w:cols>
          <w:pgMar w:left="320" w:top="859" w:right="339" w:bottom="1440" w:gutter="0" w:footer="0" w:header="0"/>
        </w:sectPr>
      </w:pPr>
    </w:p>
    <w:bookmarkStart w:id="592" w:name="page593"/>
    <w:bookmarkEnd w:id="592"/>
    <w:p>
      <w:pPr>
        <w:jc w:val="center"/>
        <w:spacing w:after="0"/>
        <w:rPr>
          <w:sz w:val="20"/>
          <w:szCs w:val="20"/>
          <w:color w:val="auto"/>
        </w:rPr>
      </w:pPr>
      <w:r>
        <w:rPr>
          <w:rFonts w:ascii="Arial" w:cs="Arial" w:eastAsia="Arial" w:hAnsi="Arial"/>
          <w:sz w:val="18"/>
          <w:szCs w:val="18"/>
          <w:b w:val="1"/>
          <w:bCs w:val="1"/>
          <w:color w:val="595959"/>
        </w:rPr>
        <w:drawing>
          <wp:anchor simplePos="0" relativeHeight="251657728" behindDoc="1" locked="0" layoutInCell="0" allowOverlap="1">
            <wp:simplePos x="0" y="0"/>
            <wp:positionH relativeFrom="page">
              <wp:posOffset>2874010</wp:posOffset>
            </wp:positionH>
            <wp:positionV relativeFrom="page">
              <wp:posOffset>131445</wp:posOffset>
            </wp:positionV>
            <wp:extent cx="1800225" cy="3175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clrChange>
                        <a:clrFrom>
                          <a:srgbClr val="FFFFFF"/>
                        </a:clrFrom>
                        <a:clrTo>
                          <a:srgbClr val="FFFFFF">
                            <a:alpha val="0"/>
                          </a:srgbClr>
                        </a:clrTo>
                      </a:clrChange>
                      <a:extLst>
                        <a:ext uri="{28A0092B-C50C-407E-A947-70E740481C1C}"/>
                      </a:extLst>
                    </a:blip>
                    <a:srcRect/>
                    <a:stretch>
                      <a:fillRect/>
                    </a:stretch>
                  </pic:blipFill>
                  <pic:spPr bwMode="auto">
                    <a:xfrm>
                      <a:off x="0" y="0"/>
                      <a:ext cx="1800225" cy="317500"/>
                    </a:xfrm>
                    <a:prstGeom prst="rect">
                      <a:avLst/>
                    </a:prstGeom>
                    <a:noFill/>
                  </pic:spPr>
                </pic:pic>
              </a:graphicData>
            </a:graphic>
          </wp:anchor>
        </w:drawing>
        <w:t>875 Stevenson Street, 5th Floor, San Francisco, CA 94103</w:t>
      </w:r>
    </w:p>
    <w:p>
      <w:pPr>
        <w:spacing w:after="0" w:line="200" w:lineRule="exact"/>
        <w:rPr>
          <w:sz w:val="20"/>
          <w:szCs w:val="20"/>
          <w:color w:val="auto"/>
        </w:rPr>
      </w:pPr>
    </w:p>
    <w:p>
      <w:pPr>
        <w:spacing w:after="0" w:line="323" w:lineRule="exact"/>
        <w:rPr>
          <w:sz w:val="20"/>
          <w:szCs w:val="20"/>
          <w:color w:val="auto"/>
        </w:rPr>
      </w:pPr>
    </w:p>
    <w:p>
      <w:pPr>
        <w:jc w:val="both"/>
        <w:ind w:right="20" w:firstLine="1304"/>
        <w:spacing w:after="0" w:line="250" w:lineRule="auto"/>
        <w:tabs>
          <w:tab w:leader="none" w:pos="1939" w:val="left"/>
        </w:tabs>
        <w:numPr>
          <w:ilvl w:val="0"/>
          <w:numId w:val="563"/>
        </w:numPr>
        <w:rPr>
          <w:rFonts w:ascii="Arial" w:cs="Arial" w:eastAsia="Arial" w:hAnsi="Arial"/>
          <w:sz w:val="22"/>
          <w:szCs w:val="22"/>
          <w:color w:val="auto"/>
        </w:rPr>
      </w:pPr>
      <w:r>
        <w:rPr>
          <w:rFonts w:ascii="Arial" w:cs="Arial" w:eastAsia="Arial" w:hAnsi="Arial"/>
          <w:sz w:val="22"/>
          <w:szCs w:val="22"/>
          <w:u w:val="single" w:color="auto"/>
          <w:color w:val="auto"/>
        </w:rPr>
        <w:t>WARN Act Offsets</w:t>
      </w:r>
      <w:r>
        <w:rPr>
          <w:rFonts w:ascii="Arial" w:cs="Arial" w:eastAsia="Arial" w:hAnsi="Arial"/>
          <w:sz w:val="22"/>
          <w:szCs w:val="22"/>
          <w:color w:val="auto"/>
        </w:rPr>
        <w:t>. The Company, in its sole discretion, shall have the authority to reduce the cash severance benefits hereunder, in whole or in part, by any other severance benefits, pay in lieu of notice, or other similar benefits payable in connection with termination of employment pursuant to any applicable legal requirement, including, without limitation, the Worker Adjustment and Retraining Notification Act (the “WARN Act”).</w:t>
      </w:r>
    </w:p>
    <w:p>
      <w:pPr>
        <w:spacing w:after="0" w:line="133" w:lineRule="exact"/>
        <w:rPr>
          <w:rFonts w:ascii="Arial" w:cs="Arial" w:eastAsia="Arial" w:hAnsi="Arial"/>
          <w:sz w:val="22"/>
          <w:szCs w:val="22"/>
          <w:color w:val="auto"/>
        </w:rPr>
      </w:pPr>
    </w:p>
    <w:p>
      <w:pPr>
        <w:jc w:val="both"/>
        <w:ind w:firstLine="1304"/>
        <w:spacing w:after="0" w:line="250" w:lineRule="auto"/>
        <w:tabs>
          <w:tab w:leader="none" w:pos="1927" w:val="left"/>
        </w:tabs>
        <w:numPr>
          <w:ilvl w:val="0"/>
          <w:numId w:val="563"/>
        </w:numPr>
        <w:rPr>
          <w:rFonts w:ascii="Arial" w:cs="Arial" w:eastAsia="Arial" w:hAnsi="Arial"/>
          <w:sz w:val="22"/>
          <w:szCs w:val="22"/>
          <w:color w:val="auto"/>
        </w:rPr>
      </w:pPr>
      <w:r>
        <w:rPr>
          <w:rFonts w:ascii="Arial" w:cs="Arial" w:eastAsia="Arial" w:hAnsi="Arial"/>
          <w:sz w:val="22"/>
          <w:szCs w:val="22"/>
          <w:u w:val="single" w:color="auto"/>
          <w:color w:val="auto"/>
        </w:rPr>
        <w:t>Parachute Payments</w:t>
      </w:r>
      <w:r>
        <w:rPr>
          <w:rFonts w:ascii="Arial" w:cs="Arial" w:eastAsia="Arial" w:hAnsi="Arial"/>
          <w:sz w:val="22"/>
          <w:szCs w:val="22"/>
          <w:color w:val="auto"/>
        </w:rPr>
        <w:t>. If any payment or benefit in connection with a Change in Control or otherwise (</w:t>
      </w:r>
      <w:r>
        <w:rPr>
          <w:rFonts w:ascii="Arial" w:cs="Arial" w:eastAsia="Arial" w:hAnsi="Arial"/>
          <w:sz w:val="22"/>
          <w:szCs w:val="22"/>
          <w:i w:val="1"/>
          <w:iCs w:val="1"/>
          <w:color w:val="auto"/>
        </w:rPr>
        <w:t>“Payment”</w:t>
      </w:r>
      <w:r>
        <w:rPr>
          <w:rFonts w:ascii="Arial" w:cs="Arial" w:eastAsia="Arial" w:hAnsi="Arial"/>
          <w:sz w:val="22"/>
          <w:szCs w:val="22"/>
          <w:color w:val="auto"/>
        </w:rPr>
        <w:t xml:space="preserve">) would (i) constitute a “parachute payment” within the meaning of Section 280G of the Code, and (ii) but for this sentence, be subject to the excise tax imposed by Section 4999 of the Code (the </w:t>
      </w:r>
      <w:r>
        <w:rPr>
          <w:rFonts w:ascii="Arial" w:cs="Arial" w:eastAsia="Arial" w:hAnsi="Arial"/>
          <w:sz w:val="22"/>
          <w:szCs w:val="22"/>
          <w:i w:val="1"/>
          <w:iCs w:val="1"/>
          <w:color w:val="auto"/>
        </w:rPr>
        <w:t>“Excise Tax”</w:t>
      </w:r>
      <w:r>
        <w:rPr>
          <w:rFonts w:ascii="Arial" w:cs="Arial" w:eastAsia="Arial" w:hAnsi="Arial"/>
          <w:sz w:val="22"/>
          <w:szCs w:val="22"/>
          <w:color w:val="auto"/>
        </w:rPr>
        <w:t>), then such Payment shall be equal to the Reduced Amount.</w:t>
      </w:r>
    </w:p>
    <w:p>
      <w:pPr>
        <w:spacing w:after="0" w:line="134"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21"/>
          <w:szCs w:val="21"/>
          <w:color w:val="auto"/>
        </w:rPr>
        <w:t>The “Reduced Amount” shall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your receipt, on an after-tax basis, of the greater amount of the Payment, notwithstanding that all or some portion of the Payment may be subject to the Excise Tax. If a reduction in payments or benefits constituting “parachute payments” is necessary so that the Payment equals the Reduced Amount, reduction shall occur in the following order: reduction of cash payments; cancellation of accelerated vesting of stock options; reduction of employee benefits. In the event that acceleration of vesting of stock options is to be reduced, such acceleration of vesting shall be cancelled in the reverse order of the date of grant of such options (</w:t>
      </w:r>
      <w:r>
        <w:rPr>
          <w:rFonts w:ascii="Arial" w:cs="Arial" w:eastAsia="Arial" w:hAnsi="Arial"/>
          <w:sz w:val="21"/>
          <w:szCs w:val="21"/>
          <w:i w:val="1"/>
          <w:iCs w:val="1"/>
          <w:color w:val="auto"/>
        </w:rPr>
        <w:t>i.e</w:t>
      </w:r>
      <w:r>
        <w:rPr>
          <w:rFonts w:ascii="Arial" w:cs="Arial" w:eastAsia="Arial" w:hAnsi="Arial"/>
          <w:sz w:val="21"/>
          <w:szCs w:val="21"/>
          <w:color w:val="auto"/>
        </w:rPr>
        <w:t>., earliest granted option cancelled last) unless you elect in writing a different order for cancellation.</w:t>
      </w:r>
    </w:p>
    <w:p>
      <w:pPr>
        <w:spacing w:after="0" w:line="131"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The accounting firm engaged by the Company for general audit purposes as of the day prior to the effective date of the Change in Control shall perform the foregoing calculations. If the accounting firm so engaged by the Company is serving as accountant or auditor for the individual, entity or group effecting the Change in Control, the Company shall appoint a nationally recognized accounting firm to make the determinations required hereunder. The Company shall bear all expenses with respect to the determinations by such accounting firm required to be made hereunder.</w:t>
      </w:r>
    </w:p>
    <w:p>
      <w:pPr>
        <w:spacing w:after="0" w:line="93"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1"/>
          <w:szCs w:val="21"/>
          <w:color w:val="auto"/>
        </w:rPr>
        <w:t>The accounting firm engaged to make the determinations hereunder shall provide its calculations, together with detailed supporting documentation, to the Company and you within fifteen (15) calendar days after the date on which your right to a Payment is triggered (if requested at that time by the Company or you) or such other time as requested by the Company or you. If the accounting firm determines that no Excise Tax is payable with respect to a Payment, either before or after the application of the Reduced Amount, it shall furnish the Company and you with an opinion reasonably acceptable to you that no Excise Tax will be imposed with respect to such Payment. Any good faith determinations of the accounting firm made hereunder shall be final, binding and conclusive upon the Company and you.</w:t>
      </w:r>
    </w:p>
    <w:p>
      <w:pPr>
        <w:sectPr>
          <w:pgSz w:w="11900" w:h="16838" w:orient="portrait"/>
          <w:cols w:equalWidth="0" w:num="1">
            <w:col w:w="11240"/>
          </w:cols>
          <w:pgMar w:left="320" w:top="859" w:right="339" w:bottom="1440" w:gutter="0" w:footer="0" w:header="0"/>
        </w:sectPr>
      </w:pPr>
    </w:p>
    <w:bookmarkStart w:id="593" w:name="page594"/>
    <w:bookmarkEnd w:id="593"/>
    <w:p>
      <w:pPr>
        <w:jc w:val="center"/>
        <w:spacing w:after="0"/>
        <w:rPr>
          <w:sz w:val="20"/>
          <w:szCs w:val="20"/>
          <w:color w:val="auto"/>
        </w:rPr>
      </w:pPr>
      <w:r>
        <w:rPr>
          <w:rFonts w:ascii="Arial" w:cs="Arial" w:eastAsia="Arial" w:hAnsi="Arial"/>
          <w:sz w:val="18"/>
          <w:szCs w:val="18"/>
          <w:b w:val="1"/>
          <w:bCs w:val="1"/>
          <w:color w:val="595959"/>
        </w:rPr>
        <w:drawing>
          <wp:anchor simplePos="0" relativeHeight="251657728" behindDoc="1" locked="0" layoutInCell="0" allowOverlap="1">
            <wp:simplePos x="0" y="0"/>
            <wp:positionH relativeFrom="page">
              <wp:posOffset>2874010</wp:posOffset>
            </wp:positionH>
            <wp:positionV relativeFrom="page">
              <wp:posOffset>131445</wp:posOffset>
            </wp:positionV>
            <wp:extent cx="1800225" cy="3175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clrChange>
                        <a:clrFrom>
                          <a:srgbClr val="FFFFFF"/>
                        </a:clrFrom>
                        <a:clrTo>
                          <a:srgbClr val="FFFFFF">
                            <a:alpha val="0"/>
                          </a:srgbClr>
                        </a:clrTo>
                      </a:clrChange>
                      <a:extLst>
                        <a:ext uri="{28A0092B-C50C-407E-A947-70E740481C1C}"/>
                      </a:extLst>
                    </a:blip>
                    <a:srcRect/>
                    <a:stretch>
                      <a:fillRect/>
                    </a:stretch>
                  </pic:blipFill>
                  <pic:spPr bwMode="auto">
                    <a:xfrm>
                      <a:off x="0" y="0"/>
                      <a:ext cx="1800225" cy="317500"/>
                    </a:xfrm>
                    <a:prstGeom prst="rect">
                      <a:avLst/>
                    </a:prstGeom>
                    <a:noFill/>
                  </pic:spPr>
                </pic:pic>
              </a:graphicData>
            </a:graphic>
          </wp:anchor>
        </w:drawing>
        <w:t>875 Stevenson Street, 5th Floor, San Francisco, CA 94103</w:t>
      </w:r>
    </w:p>
    <w:p>
      <w:pPr>
        <w:spacing w:after="0" w:line="200" w:lineRule="exact"/>
        <w:rPr>
          <w:sz w:val="20"/>
          <w:szCs w:val="20"/>
          <w:color w:val="auto"/>
        </w:rPr>
      </w:pPr>
    </w:p>
    <w:p>
      <w:pPr>
        <w:spacing w:after="0" w:line="323"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color w:val="auto"/>
        </w:rPr>
        <w:t>5.</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As used herein, the following capitalized terms shall have their respective definitions set forth below:</w:t>
      </w:r>
    </w:p>
    <w:p>
      <w:pPr>
        <w:spacing w:after="0" w:line="160" w:lineRule="exact"/>
        <w:rPr>
          <w:sz w:val="20"/>
          <w:szCs w:val="20"/>
          <w:color w:val="auto"/>
        </w:rPr>
      </w:pPr>
    </w:p>
    <w:p>
      <w:pPr>
        <w:ind w:right="10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Base Salary</w:t>
      </w:r>
      <w:r>
        <w:rPr>
          <w:rFonts w:ascii="Arial" w:cs="Arial" w:eastAsia="Arial" w:hAnsi="Arial"/>
          <w:sz w:val="22"/>
          <w:szCs w:val="22"/>
          <w:color w:val="auto"/>
        </w:rPr>
        <w:t>” shall mean your annual base pay (excluding incentive pay, premium pay, commissions, overtime, bonuses and other forms of variable compensation).</w:t>
      </w:r>
    </w:p>
    <w:p>
      <w:pPr>
        <w:spacing w:after="0" w:line="10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Cause</w:t>
      </w:r>
      <w:r>
        <w:rPr>
          <w:rFonts w:ascii="Arial" w:cs="Arial" w:eastAsia="Arial" w:hAnsi="Arial"/>
          <w:sz w:val="22"/>
          <w:szCs w:val="22"/>
          <w:color w:val="auto"/>
        </w:rPr>
        <w:t>” shall mean any of the following: (1) conviction of any felony or any crime involving moral turpitude or dishonesty, (2) participation in a material fraud or material act of dishonesty against the Company, (3) willful and material breach of your duties that has not been cured within thirty (30) days after written notice from the Company of such breach, (4) intentional and material damage to the Company’s property, or (5) material breach of your Confidential Information and Inventions Assignment Agreement.</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in Control</w:t>
      </w:r>
      <w:r>
        <w:rPr>
          <w:rFonts w:ascii="Arial" w:cs="Arial" w:eastAsia="Arial" w:hAnsi="Arial"/>
          <w:sz w:val="22"/>
          <w:szCs w:val="22"/>
          <w:color w:val="auto"/>
        </w:rPr>
        <w:t>” means the occurrence of any of the following events:</w:t>
      </w:r>
    </w:p>
    <w:p>
      <w:pPr>
        <w:spacing w:after="0" w:line="172" w:lineRule="exact"/>
        <w:rPr>
          <w:sz w:val="20"/>
          <w:szCs w:val="20"/>
          <w:color w:val="auto"/>
        </w:rPr>
      </w:pPr>
    </w:p>
    <w:p>
      <w:pPr>
        <w:jc w:val="both"/>
        <w:ind w:firstLine="1304"/>
        <w:spacing w:after="0" w:line="263" w:lineRule="auto"/>
        <w:tabs>
          <w:tab w:leader="none" w:pos="1765" w:val="left"/>
        </w:tabs>
        <w:numPr>
          <w:ilvl w:val="1"/>
          <w:numId w:val="564"/>
        </w:numPr>
        <w:rPr>
          <w:rFonts w:ascii="Arial" w:cs="Arial" w:eastAsia="Arial" w:hAnsi="Arial"/>
          <w:sz w:val="21"/>
          <w:szCs w:val="21"/>
          <w:color w:val="auto"/>
        </w:rPr>
      </w:pPr>
      <w:r>
        <w:rPr>
          <w:rFonts w:ascii="Arial" w:cs="Arial" w:eastAsia="Arial" w:hAnsi="Arial"/>
          <w:sz w:val="21"/>
          <w:szCs w:val="21"/>
          <w:u w:val="single" w:color="auto"/>
          <w:color w:val="auto"/>
        </w:rPr>
        <w:t>Change in Ownership of the Company</w:t>
      </w:r>
      <w:r>
        <w:rPr>
          <w:rFonts w:ascii="Arial" w:cs="Arial" w:eastAsia="Arial" w:hAnsi="Arial"/>
          <w:sz w:val="21"/>
          <w:szCs w:val="21"/>
          <w:color w:val="auto"/>
        </w:rPr>
        <w:t>. A change in the ownership of the Company which occurs on the date that any one person, or more than one person acting as a group ("Person"), acquires ownership of the stock of the Company that, together with the stock held by such Person, constitutes more than 50% of the total voting power of the stock of the Company, except that any change in the ownership of the stock of the Company as a result of a private financing of the Company that is approved by the Board will not be considered a Change in Control; or</w:t>
      </w:r>
    </w:p>
    <w:p>
      <w:pPr>
        <w:spacing w:after="0" w:line="121" w:lineRule="exact"/>
        <w:rPr>
          <w:rFonts w:ascii="Arial" w:cs="Arial" w:eastAsia="Arial" w:hAnsi="Arial"/>
          <w:sz w:val="21"/>
          <w:szCs w:val="21"/>
          <w:color w:val="auto"/>
        </w:rPr>
      </w:pPr>
    </w:p>
    <w:p>
      <w:pPr>
        <w:jc w:val="both"/>
        <w:ind w:firstLine="1304"/>
        <w:spacing w:after="0" w:line="261" w:lineRule="auto"/>
        <w:tabs>
          <w:tab w:leader="none" w:pos="1777" w:val="left"/>
        </w:tabs>
        <w:numPr>
          <w:ilvl w:val="1"/>
          <w:numId w:val="564"/>
        </w:numPr>
        <w:rPr>
          <w:rFonts w:ascii="Arial" w:cs="Arial" w:eastAsia="Arial" w:hAnsi="Arial"/>
          <w:sz w:val="21"/>
          <w:szCs w:val="21"/>
          <w:color w:val="auto"/>
        </w:rPr>
      </w:pPr>
      <w:r>
        <w:rPr>
          <w:rFonts w:ascii="Arial" w:cs="Arial" w:eastAsia="Arial" w:hAnsi="Arial"/>
          <w:sz w:val="21"/>
          <w:szCs w:val="21"/>
          <w:u w:val="single" w:color="auto"/>
          <w:color w:val="auto"/>
        </w:rPr>
        <w:t>Change in Effective Control of the Company</w:t>
      </w:r>
      <w:r>
        <w:rPr>
          <w:rFonts w:ascii="Arial" w:cs="Arial" w:eastAsia="Arial" w:hAnsi="Arial"/>
          <w:sz w:val="21"/>
          <w:szCs w:val="21"/>
          <w:color w:val="auto"/>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125" w:lineRule="exact"/>
        <w:rPr>
          <w:rFonts w:ascii="Arial" w:cs="Arial" w:eastAsia="Arial" w:hAnsi="Arial"/>
          <w:sz w:val="21"/>
          <w:szCs w:val="21"/>
          <w:color w:val="auto"/>
        </w:rPr>
      </w:pPr>
    </w:p>
    <w:p>
      <w:pPr>
        <w:jc w:val="both"/>
        <w:ind w:firstLine="1304"/>
        <w:spacing w:after="0" w:line="291" w:lineRule="auto"/>
        <w:tabs>
          <w:tab w:leader="none" w:pos="1846" w:val="left"/>
        </w:tabs>
        <w:numPr>
          <w:ilvl w:val="1"/>
          <w:numId w:val="564"/>
        </w:numPr>
        <w:rPr>
          <w:rFonts w:ascii="Arial" w:cs="Arial" w:eastAsia="Arial" w:hAnsi="Arial"/>
          <w:sz w:val="19"/>
          <w:szCs w:val="19"/>
          <w:color w:val="auto"/>
        </w:rPr>
      </w:pPr>
      <w:r>
        <w:rPr>
          <w:rFonts w:ascii="Arial" w:cs="Arial" w:eastAsia="Arial" w:hAnsi="Arial"/>
          <w:sz w:val="19"/>
          <w:szCs w:val="19"/>
          <w:u w:val="single" w:color="auto"/>
          <w:color w:val="auto"/>
        </w:rPr>
        <w:t>Change in Ownership of a Substantial Portion of the Company's Assets</w:t>
      </w:r>
      <w:r>
        <w:rPr>
          <w:rFonts w:ascii="Arial" w:cs="Arial" w:eastAsia="Arial" w:hAnsi="Arial"/>
          <w:sz w:val="19"/>
          <w:szCs w:val="19"/>
          <w:color w:val="auto"/>
        </w:rPr>
        <w:t>. A change in the ownership of a substantial portion of the Company's assets which occurs on the date that any Person acquires (or has acquired during the twelve</w:t>
      </w:r>
    </w:p>
    <w:p>
      <w:pPr>
        <w:spacing w:after="0" w:line="1" w:lineRule="exact"/>
        <w:rPr>
          <w:rFonts w:ascii="Arial" w:cs="Arial" w:eastAsia="Arial" w:hAnsi="Arial"/>
          <w:sz w:val="19"/>
          <w:szCs w:val="19"/>
          <w:color w:val="auto"/>
        </w:rPr>
      </w:pPr>
    </w:p>
    <w:p>
      <w:pPr>
        <w:jc w:val="both"/>
        <w:ind w:firstLine="8"/>
        <w:spacing w:after="0" w:line="244" w:lineRule="auto"/>
        <w:tabs>
          <w:tab w:leader="none" w:pos="433" w:val="left"/>
        </w:tabs>
        <w:numPr>
          <w:ilvl w:val="0"/>
          <w:numId w:val="565"/>
        </w:numPr>
        <w:rPr>
          <w:rFonts w:ascii="Arial" w:cs="Arial" w:eastAsia="Arial" w:hAnsi="Arial"/>
          <w:sz w:val="22"/>
          <w:szCs w:val="22"/>
          <w:color w:val="auto"/>
        </w:rPr>
      </w:pPr>
      <w:r>
        <w:rPr>
          <w:rFonts w:ascii="Arial" w:cs="Arial" w:eastAsia="Arial" w:hAnsi="Arial"/>
          <w:sz w:val="22"/>
          <w:szCs w:val="22"/>
          <w:color w:val="auto"/>
        </w:rPr>
        <w:t>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For purposes of this subsection (iii), gross fair market value means the value of the assets of the Company, or the value of the assets being disposed of, determined without regard to any liabilities associated with such assets.</w:t>
      </w:r>
    </w:p>
    <w:p>
      <w:pPr>
        <w:spacing w:after="0" w:line="14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For purposes of the definition of Change in Control, persons will be considered to be acting as a group if they are owners of a corporation that enters into a merger, consolidation, purchase or acquisition of stock, or similar business transaction with the Company. Notwithstanding the foregoing, a transaction will not be deemed a Change in Control unless the transaction qualifies as a change in control event within the meaning of Code Section 409A, as it</w:t>
      </w:r>
    </w:p>
    <w:p>
      <w:pPr>
        <w:sectPr>
          <w:pgSz w:w="11900" w:h="16838" w:orient="portrait"/>
          <w:cols w:equalWidth="0" w:num="1">
            <w:col w:w="11240"/>
          </w:cols>
          <w:pgMar w:left="320" w:top="859" w:right="339" w:bottom="1440" w:gutter="0" w:footer="0" w:header="0"/>
        </w:sectPr>
      </w:pPr>
    </w:p>
    <w:bookmarkStart w:id="594" w:name="page595"/>
    <w:bookmarkEnd w:id="594"/>
    <w:p>
      <w:pPr>
        <w:jc w:val="center"/>
        <w:spacing w:after="0"/>
        <w:rPr>
          <w:sz w:val="20"/>
          <w:szCs w:val="20"/>
          <w:color w:val="auto"/>
        </w:rPr>
      </w:pPr>
      <w:r>
        <w:rPr>
          <w:rFonts w:ascii="Arial" w:cs="Arial" w:eastAsia="Arial" w:hAnsi="Arial"/>
          <w:sz w:val="18"/>
          <w:szCs w:val="18"/>
          <w:b w:val="1"/>
          <w:bCs w:val="1"/>
          <w:color w:val="595959"/>
        </w:rPr>
        <w:drawing>
          <wp:anchor simplePos="0" relativeHeight="251657728" behindDoc="1" locked="0" layoutInCell="0" allowOverlap="1">
            <wp:simplePos x="0" y="0"/>
            <wp:positionH relativeFrom="page">
              <wp:posOffset>2874010</wp:posOffset>
            </wp:positionH>
            <wp:positionV relativeFrom="page">
              <wp:posOffset>131445</wp:posOffset>
            </wp:positionV>
            <wp:extent cx="1800225" cy="3175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clrChange>
                        <a:clrFrom>
                          <a:srgbClr val="FFFFFF"/>
                        </a:clrFrom>
                        <a:clrTo>
                          <a:srgbClr val="FFFFFF">
                            <a:alpha val="0"/>
                          </a:srgbClr>
                        </a:clrTo>
                      </a:clrChange>
                      <a:extLst>
                        <a:ext uri="{28A0092B-C50C-407E-A947-70E740481C1C}"/>
                      </a:extLst>
                    </a:blip>
                    <a:srcRect/>
                    <a:stretch>
                      <a:fillRect/>
                    </a:stretch>
                  </pic:blipFill>
                  <pic:spPr bwMode="auto">
                    <a:xfrm>
                      <a:off x="0" y="0"/>
                      <a:ext cx="1800225" cy="317500"/>
                    </a:xfrm>
                    <a:prstGeom prst="rect">
                      <a:avLst/>
                    </a:prstGeom>
                    <a:noFill/>
                  </pic:spPr>
                </pic:pic>
              </a:graphicData>
            </a:graphic>
          </wp:anchor>
        </w:drawing>
        <w:t>875 Stevenson Street, 5th Floor, San Francisco, CA 94103</w:t>
      </w:r>
    </w:p>
    <w:p>
      <w:pPr>
        <w:spacing w:after="0" w:line="200" w:lineRule="exact"/>
        <w:rPr>
          <w:sz w:val="20"/>
          <w:szCs w:val="20"/>
          <w:color w:val="auto"/>
        </w:rPr>
      </w:pPr>
    </w:p>
    <w:p>
      <w:pPr>
        <w:spacing w:after="0" w:line="32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has been and may be amended from time to time, and any proposed or final Treasury Regulations and Internal Revenue Service guidance that has been promulgated or may be promulgated thereunder from time to time. Further and for the avoidance of doubt, a transaction will not constitute a Change in Control if: (i) its sole purpose is to change the jurisdiction of the Company's incorporation, or (ii) its sole purpose is to create a holding company that will be owned in substantially the same proportions by the persons who held the Company's securities immediately before such transaction.</w:t>
      </w:r>
    </w:p>
    <w:p>
      <w:pPr>
        <w:spacing w:after="0" w:line="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Good Reason</w:t>
      </w:r>
      <w:r>
        <w:rPr>
          <w:rFonts w:ascii="Arial" w:cs="Arial" w:eastAsia="Arial" w:hAnsi="Arial"/>
          <w:sz w:val="19"/>
          <w:szCs w:val="19"/>
          <w:color w:val="auto"/>
        </w:rPr>
        <w:t>” shall mean any of the following actions taken by the Company or a successor corporation or entity without your consent: (w) reduction of your base compensation by 10% or more (excluding any such reduction that is replaced with a bonus plan of comparable value); (x) material reduction in your authority, duties or responsibilities, provided, however, that a change in job position (including a change in title) shall not be deemed a “material reduction” unless your new authority, duties or responsibilities are materially reduced from the prior authority, duties or responsibilities; (y) failure or refusal of a successor to the Company to materially assume the Company’s obligations under this Agreement in the event of a Change in Control as defined below; or (z) relocation of your principal place of employment that results in an increase in your one-way driving distance by more than fifty (50) miles from your then current principal residence. In order to resign for Good Reason, you must provide written notice of the event giving rise to Good Reason to the Company within ninety (90) days after the condition arises, allow the Company thirty (30) days to cure such condition, and if the Company fails to cure the condition within such period, then your resignation from all positions you then hold with the Company must be effective not later than ninety (90) days after the end of the Company’s cure period.</w:t>
      </w:r>
    </w:p>
    <w:p>
      <w:pPr>
        <w:sectPr>
          <w:pgSz w:w="11900" w:h="16838" w:orient="portrait"/>
          <w:cols w:equalWidth="0" w:num="1">
            <w:col w:w="11240"/>
          </w:cols>
          <w:pgMar w:left="320" w:top="859" w:right="339" w:bottom="1440" w:gutter="0" w:footer="0" w:header="0"/>
        </w:sectPr>
      </w:pPr>
    </w:p>
    <w:bookmarkStart w:id="595" w:name="page596"/>
    <w:bookmarkEnd w:id="595"/>
    <w:p>
      <w:pPr>
        <w:jc w:val="center"/>
        <w:spacing w:after="0"/>
        <w:rPr>
          <w:sz w:val="20"/>
          <w:szCs w:val="20"/>
          <w:color w:val="auto"/>
        </w:rPr>
      </w:pPr>
      <w:r>
        <w:rPr>
          <w:rFonts w:ascii="Arial" w:cs="Arial" w:eastAsia="Arial" w:hAnsi="Arial"/>
          <w:sz w:val="18"/>
          <w:szCs w:val="18"/>
          <w:b w:val="1"/>
          <w:bCs w:val="1"/>
          <w:color w:val="595959"/>
        </w:rPr>
        <w:drawing>
          <wp:anchor simplePos="0" relativeHeight="251657728" behindDoc="1" locked="0" layoutInCell="0" allowOverlap="1">
            <wp:simplePos x="0" y="0"/>
            <wp:positionH relativeFrom="page">
              <wp:posOffset>2874010</wp:posOffset>
            </wp:positionH>
            <wp:positionV relativeFrom="page">
              <wp:posOffset>131445</wp:posOffset>
            </wp:positionV>
            <wp:extent cx="1800225" cy="3175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clrChange>
                        <a:clrFrom>
                          <a:srgbClr val="FFFFFF"/>
                        </a:clrFrom>
                        <a:clrTo>
                          <a:srgbClr val="FFFFFF">
                            <a:alpha val="0"/>
                          </a:srgbClr>
                        </a:clrTo>
                      </a:clrChange>
                      <a:extLst>
                        <a:ext uri="{28A0092B-C50C-407E-A947-70E740481C1C}"/>
                      </a:extLst>
                    </a:blip>
                    <a:srcRect/>
                    <a:stretch>
                      <a:fillRect/>
                    </a:stretch>
                  </pic:blipFill>
                  <pic:spPr bwMode="auto">
                    <a:xfrm>
                      <a:off x="0" y="0"/>
                      <a:ext cx="1800225" cy="317500"/>
                    </a:xfrm>
                    <a:prstGeom prst="rect">
                      <a:avLst/>
                    </a:prstGeom>
                    <a:noFill/>
                  </pic:spPr>
                </pic:pic>
              </a:graphicData>
            </a:graphic>
          </wp:anchor>
        </w:drawing>
        <w:t>875 Stevenson Street, 5th Floor, San Francisco, CA 94103</w:t>
      </w:r>
    </w:p>
    <w:p>
      <w:pPr>
        <w:spacing w:after="0" w:line="200" w:lineRule="exact"/>
        <w:rPr>
          <w:sz w:val="20"/>
          <w:szCs w:val="20"/>
          <w:color w:val="auto"/>
        </w:rPr>
      </w:pPr>
    </w:p>
    <w:p>
      <w:pPr>
        <w:spacing w:after="0" w:line="317"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Appendix B-1</w:t>
      </w:r>
    </w:p>
    <w:p>
      <w:pPr>
        <w:spacing w:after="0" w:line="166"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Form Release</w:t>
      </w:r>
    </w:p>
    <w:p>
      <w:pPr>
        <w:spacing w:after="0" w:line="166" w:lineRule="exact"/>
        <w:rPr>
          <w:sz w:val="20"/>
          <w:szCs w:val="20"/>
          <w:color w:val="auto"/>
        </w:rPr>
      </w:pPr>
    </w:p>
    <w:p>
      <w:pPr>
        <w:jc w:val="both"/>
        <w:ind w:firstLine="656"/>
        <w:spacing w:after="0" w:line="284" w:lineRule="auto"/>
        <w:tabs>
          <w:tab w:leader="none" w:pos="1179" w:val="left"/>
        </w:tabs>
        <w:numPr>
          <w:ilvl w:val="0"/>
          <w:numId w:val="566"/>
        </w:numPr>
        <w:rPr>
          <w:rFonts w:ascii="Arial" w:cs="Arial" w:eastAsia="Arial" w:hAnsi="Arial"/>
          <w:sz w:val="19"/>
          <w:szCs w:val="19"/>
          <w:b w:val="1"/>
          <w:bCs w:val="1"/>
          <w:color w:val="auto"/>
        </w:rPr>
      </w:pPr>
      <w:r>
        <w:rPr>
          <w:rFonts w:ascii="Arial" w:cs="Arial" w:eastAsia="Arial" w:hAnsi="Arial"/>
          <w:sz w:val="19"/>
          <w:szCs w:val="19"/>
          <w:b w:val="1"/>
          <w:bCs w:val="1"/>
          <w:color w:val="auto"/>
        </w:rPr>
        <w:t>Release of Claims</w:t>
      </w:r>
      <w:r>
        <w:rPr>
          <w:rFonts w:ascii="Arial" w:cs="Arial" w:eastAsia="Arial" w:hAnsi="Arial"/>
          <w:sz w:val="19"/>
          <w:szCs w:val="19"/>
          <w:color w:val="auto"/>
        </w:rPr>
        <w:t>. In exchange for separation payment, additional vesting and other consideration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to which you would not otherwise be entitled, you hereby generally and completely release the Company and its affiliated, related, parent and subsidiary corporations, and its and their present and former directors, officers, employees, shareholders, predecessors, successors, attorneys, insurers, agents and assigns (collectively, the “Released Parties”) from any and all claims, liabilities and obligations of any kind, both known and unknown, which you may now have or have ever had against any of them, that arise out of or are in any way related to events, acts, conduct, or omissions occurring at any time prior to your signing this Release Agreement (the “Released Claims”). The Released Claims include, but are not limited to: (1) all claims arising out of or in any way related to your employment with the Company or the termination of that employment; (2) all claims related to your compensation or benefits from the Company, including salary, bonuses, commissions, vacation, expense reimbursements, severance pay, fringe benefits, stock, stock options or any other ownership interest in the Company; (3) all claims for breach of contract, wrongful termination, and breach of the implied covenant of good faith and fair dealing; (4) all tort claims, including claims for fraud, defamation, emotional distress, and discharge in violation of public policy; and (5) all federal, state, and local statutory claims, including claims for discrimination, harassment, retaliation, attorneys’ fees, and other claims arising under the federal Civil Rights Act of 1964 (as amended), the federal Americans with Disabilities Act (as amended), the federal Family and Medical Leave Act of 1993 (as amended), the federal Employee Retirement Income Security Act of 1974 (as amended), the federal Age Discrimination in Employment Act of 1967 (as amended) (the “ADEA”), the Older Workers Benefit Protection Act of 1990 (as amended), the California Fair Employment and Housing Act (as amended), and the California Family Rights Act (as amended). Notwithstanding the foregoing, this Release shall not waive any rights or benefits that may not be waived pursuant to applicable law, including, without limitation, any right to indemnification pursuant to California Labor Code Section 2800 or Section 2802. Nothing in this agreement prohibits you from reporting possible violations of federal law or regulation to any governmental agency or regulatory authority, including but not limited to the Securities and Exchange Commission (the “SEC”), or from making other disclosures that are protected under the whistleblower provisions of federal law or regulation. Moreover, you understand that this Release does not prohibit you from filing a charge with the Equal Employment Opportunity Commission (the “EEOC”) or equivalent state agency or participating in an EEOC or state agency investigation. However, you hereby waive your right to monetary or other recovery should any claim be pursued with the EEOC, state agency, or any other federal, state or local administrative agency on your behalf arising out of or related to your employment or separation from employment with the Company, except to the extent, if any, such waiver is prohibited by applicable law.</w:t>
      </w:r>
    </w:p>
    <w:p>
      <w:pPr>
        <w:spacing w:after="0" w:line="365" w:lineRule="exact"/>
        <w:rPr>
          <w:rFonts w:ascii="Arial" w:cs="Arial" w:eastAsia="Arial" w:hAnsi="Arial"/>
          <w:sz w:val="19"/>
          <w:szCs w:val="19"/>
          <w:b w:val="1"/>
          <w:bCs w:val="1"/>
          <w:color w:val="auto"/>
        </w:rPr>
      </w:pPr>
    </w:p>
    <w:p>
      <w:pPr>
        <w:jc w:val="both"/>
        <w:ind w:firstLine="656"/>
        <w:spacing w:after="0" w:line="256" w:lineRule="auto"/>
        <w:tabs>
          <w:tab w:leader="none" w:pos="1084" w:val="left"/>
        </w:tabs>
        <w:numPr>
          <w:ilvl w:val="0"/>
          <w:numId w:val="566"/>
        </w:numPr>
        <w:rPr>
          <w:rFonts w:ascii="Arial" w:cs="Arial" w:eastAsia="Arial" w:hAnsi="Arial"/>
          <w:sz w:val="22"/>
          <w:szCs w:val="22"/>
          <w:b w:val="1"/>
          <w:bCs w:val="1"/>
          <w:color w:val="auto"/>
        </w:rPr>
      </w:pPr>
      <w:r>
        <w:rPr>
          <w:rFonts w:ascii="Arial" w:cs="Arial" w:eastAsia="Arial" w:hAnsi="Arial"/>
          <w:sz w:val="22"/>
          <w:szCs w:val="22"/>
          <w:b w:val="1"/>
          <w:bCs w:val="1"/>
          <w:color w:val="auto"/>
        </w:rPr>
        <w:t>ADEA Waiver and Release</w:t>
      </w:r>
      <w:r>
        <w:rPr>
          <w:rFonts w:ascii="Arial" w:cs="Arial" w:eastAsia="Arial" w:hAnsi="Arial"/>
          <w:sz w:val="22"/>
          <w:szCs w:val="22"/>
          <w:color w:val="auto"/>
        </w:rPr>
        <w:t>. You acknowledge that you are knowingly and voluntarily waiving and releasing any</w:t>
      </w:r>
      <w:r>
        <w:rPr>
          <w:rFonts w:ascii="Arial" w:cs="Arial" w:eastAsia="Arial" w:hAnsi="Arial"/>
          <w:sz w:val="22"/>
          <w:szCs w:val="22"/>
          <w:b w:val="1"/>
          <w:bCs w:val="1"/>
          <w:color w:val="auto"/>
        </w:rPr>
        <w:t xml:space="preserve"> </w:t>
      </w:r>
      <w:r>
        <w:rPr>
          <w:rFonts w:ascii="Arial" w:cs="Arial" w:eastAsia="Arial" w:hAnsi="Arial"/>
          <w:sz w:val="22"/>
          <w:szCs w:val="22"/>
          <w:color w:val="auto"/>
        </w:rPr>
        <w:t>rights you may have under the ADEA. You also acknowledge that the consideration given for the waiver and release in the preceding paragraph</w:t>
      </w:r>
    </w:p>
    <w:p>
      <w:pPr>
        <w:sectPr>
          <w:pgSz w:w="11900" w:h="16838" w:orient="portrait"/>
          <w:cols w:equalWidth="0" w:num="1">
            <w:col w:w="11240"/>
          </w:cols>
          <w:pgMar w:left="320" w:top="859" w:right="339" w:bottom="1440" w:gutter="0" w:footer="0" w:header="0"/>
        </w:sectPr>
      </w:pPr>
    </w:p>
    <w:bookmarkStart w:id="596" w:name="page597"/>
    <w:bookmarkEnd w:id="596"/>
    <w:p>
      <w:pPr>
        <w:jc w:val="center"/>
        <w:spacing w:after="0"/>
        <w:rPr>
          <w:sz w:val="20"/>
          <w:szCs w:val="20"/>
          <w:color w:val="auto"/>
        </w:rPr>
      </w:pPr>
      <w:r>
        <w:rPr>
          <w:rFonts w:ascii="Arial" w:cs="Arial" w:eastAsia="Arial" w:hAnsi="Arial"/>
          <w:sz w:val="18"/>
          <w:szCs w:val="18"/>
          <w:b w:val="1"/>
          <w:bCs w:val="1"/>
          <w:color w:val="595959"/>
        </w:rPr>
        <w:drawing>
          <wp:anchor simplePos="0" relativeHeight="251657728" behindDoc="1" locked="0" layoutInCell="0" allowOverlap="1">
            <wp:simplePos x="0" y="0"/>
            <wp:positionH relativeFrom="page">
              <wp:posOffset>2874010</wp:posOffset>
            </wp:positionH>
            <wp:positionV relativeFrom="page">
              <wp:posOffset>131445</wp:posOffset>
            </wp:positionV>
            <wp:extent cx="1800225" cy="3175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clrChange>
                        <a:clrFrom>
                          <a:srgbClr val="FFFFFF"/>
                        </a:clrFrom>
                        <a:clrTo>
                          <a:srgbClr val="FFFFFF">
                            <a:alpha val="0"/>
                          </a:srgbClr>
                        </a:clrTo>
                      </a:clrChange>
                      <a:extLst>
                        <a:ext uri="{28A0092B-C50C-407E-A947-70E740481C1C}"/>
                      </a:extLst>
                    </a:blip>
                    <a:srcRect/>
                    <a:stretch>
                      <a:fillRect/>
                    </a:stretch>
                  </pic:blipFill>
                  <pic:spPr bwMode="auto">
                    <a:xfrm>
                      <a:off x="0" y="0"/>
                      <a:ext cx="1800225" cy="317500"/>
                    </a:xfrm>
                    <a:prstGeom prst="rect">
                      <a:avLst/>
                    </a:prstGeom>
                    <a:noFill/>
                  </pic:spPr>
                </pic:pic>
              </a:graphicData>
            </a:graphic>
          </wp:anchor>
        </w:drawing>
        <w:t>875 Stevenson Street, 5th Floor, San Francisco, CA 94103</w:t>
      </w:r>
    </w:p>
    <w:p>
      <w:pPr>
        <w:spacing w:after="0" w:line="200" w:lineRule="exact"/>
        <w:rPr>
          <w:sz w:val="20"/>
          <w:szCs w:val="20"/>
          <w:color w:val="auto"/>
        </w:rPr>
      </w:pPr>
    </w:p>
    <w:p>
      <w:pPr>
        <w:spacing w:after="0" w:line="32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hereof is in addition to anything of value to which you were already entitled. You further acknowledge that you have been advised by this writing, as required by the ADEA, that: (a) your waiver and release do not apply to any rights or claims that may arise after the execution date of this Agreement; (b) you have been advised hereby that you have the right to consult with an attorney prior to executing this Agreement; (c) you have up to twenty-one (21) days after the date you receive this Agreement within which to consider this Agreement (although you may choose to voluntarily execute this Agreement earlier); (d) you have seven (7) days following the date you sign this Agreement to revoke the Agreement (the “Revocation Period”) and (e) this Agreement will not be effective until the date upon which the Revocation Period has expired, which will be the eighth day after this Agreement is signed by you, provided that the Company has also executed this Agreement by that date. If you choose to revoke this Agreement, you must deliver notice of such revocation in writing to the Company, by personal delivery or mail, to NerdWallet Inc., Attention General Counsel, 875 Stevenson Street, San Francisco, CA 94103. If mailed, the revocation must be properly addressed to the above addressee and postmarked no later than the last day of the Revocation Period.</w:t>
      </w:r>
    </w:p>
    <w:p>
      <w:pPr>
        <w:spacing w:after="0" w:line="103" w:lineRule="exact"/>
        <w:rPr>
          <w:sz w:val="20"/>
          <w:szCs w:val="20"/>
          <w:color w:val="auto"/>
        </w:rPr>
      </w:pPr>
    </w:p>
    <w:p>
      <w:pPr>
        <w:jc w:val="both"/>
        <w:ind w:firstLine="656"/>
        <w:spacing w:after="0" w:line="247" w:lineRule="auto"/>
        <w:tabs>
          <w:tab w:leader="none" w:pos="1071" w:val="left"/>
        </w:tabs>
        <w:numPr>
          <w:ilvl w:val="0"/>
          <w:numId w:val="567"/>
        </w:numPr>
        <w:rPr>
          <w:rFonts w:ascii="Arial" w:cs="Arial" w:eastAsia="Arial" w:hAnsi="Arial"/>
          <w:sz w:val="22"/>
          <w:szCs w:val="22"/>
          <w:b w:val="1"/>
          <w:bCs w:val="1"/>
          <w:color w:val="auto"/>
        </w:rPr>
      </w:pPr>
      <w:r>
        <w:rPr>
          <w:rFonts w:ascii="Arial" w:cs="Arial" w:eastAsia="Arial" w:hAnsi="Arial"/>
          <w:sz w:val="22"/>
          <w:szCs w:val="22"/>
          <w:b w:val="1"/>
          <w:bCs w:val="1"/>
          <w:color w:val="auto"/>
        </w:rPr>
        <w:t>Section 1542 Waiver</w:t>
      </w:r>
      <w:r>
        <w:rPr>
          <w:rFonts w:ascii="Arial" w:cs="Arial" w:eastAsia="Arial" w:hAnsi="Arial"/>
          <w:sz w:val="22"/>
          <w:szCs w:val="22"/>
          <w:color w:val="auto"/>
        </w:rPr>
        <w:t>. You understand that this Agreement includes a release of all known and unknown claims. In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granting this release herein, which includes claims that may be unknown to you at present, you acknowledge that you have read and understand Section 1542 of the California Civil Code which reads as follows: </w:t>
      </w:r>
      <w:r>
        <w:rPr>
          <w:rFonts w:ascii="Arial" w:cs="Arial" w:eastAsia="Arial" w:hAnsi="Arial"/>
          <w:sz w:val="22"/>
          <w:szCs w:val="22"/>
          <w:b w:val="1"/>
          <w:bCs w:val="1"/>
          <w:color w:val="auto"/>
        </w:rPr>
        <w:t>“A general release does not extend to claims</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which the creditor does not know or suspect to exist in his or her favor at the time of executing the release, which if known by him or her must have materially affected his or her settlement with the debtor.” </w:t>
      </w:r>
      <w:r>
        <w:rPr>
          <w:rFonts w:ascii="Arial" w:cs="Arial" w:eastAsia="Arial" w:hAnsi="Arial"/>
          <w:sz w:val="22"/>
          <w:szCs w:val="22"/>
          <w:color w:val="auto"/>
        </w:rPr>
        <w:t>You hereby expressly waive and</w:t>
      </w:r>
      <w:r>
        <w:rPr>
          <w:rFonts w:ascii="Arial" w:cs="Arial" w:eastAsia="Arial" w:hAnsi="Arial"/>
          <w:sz w:val="22"/>
          <w:szCs w:val="22"/>
          <w:b w:val="1"/>
          <w:bCs w:val="1"/>
          <w:color w:val="auto"/>
        </w:rPr>
        <w:t xml:space="preserve"> </w:t>
      </w:r>
      <w:r>
        <w:rPr>
          <w:rFonts w:ascii="Arial" w:cs="Arial" w:eastAsia="Arial" w:hAnsi="Arial"/>
          <w:sz w:val="22"/>
          <w:szCs w:val="22"/>
          <w:color w:val="auto"/>
        </w:rPr>
        <w:t>relinquish all rights and benefits under that section and any law or legal principle of similar effect in any jurisdiction with respect to your release granted herein, including but not limited to the release of unknown and unsuspected claims granted in this Agreement.</w:t>
      </w:r>
    </w:p>
    <w:p>
      <w:pPr>
        <w:spacing w:after="0" w:line="131" w:lineRule="exact"/>
        <w:rPr>
          <w:rFonts w:ascii="Arial" w:cs="Arial" w:eastAsia="Arial" w:hAnsi="Arial"/>
          <w:sz w:val="22"/>
          <w:szCs w:val="22"/>
          <w:b w:val="1"/>
          <w:bCs w:val="1"/>
          <w:color w:val="auto"/>
        </w:rPr>
      </w:pPr>
    </w:p>
    <w:p>
      <w:pPr>
        <w:ind w:right="20" w:firstLine="656"/>
        <w:spacing w:after="0" w:line="269" w:lineRule="auto"/>
        <w:tabs>
          <w:tab w:leader="none" w:pos="1046" w:val="left"/>
        </w:tabs>
        <w:numPr>
          <w:ilvl w:val="0"/>
          <w:numId w:val="567"/>
        </w:numPr>
        <w:rPr>
          <w:rFonts w:ascii="Arial" w:cs="Arial" w:eastAsia="Arial" w:hAnsi="Arial"/>
          <w:sz w:val="22"/>
          <w:szCs w:val="22"/>
          <w:b w:val="1"/>
          <w:bCs w:val="1"/>
          <w:color w:val="auto"/>
        </w:rPr>
      </w:pPr>
      <w:r>
        <w:rPr>
          <w:rFonts w:ascii="Arial" w:cs="Arial" w:eastAsia="Arial" w:hAnsi="Arial"/>
          <w:sz w:val="22"/>
          <w:szCs w:val="22"/>
          <w:b w:val="1"/>
          <w:bCs w:val="1"/>
          <w:color w:val="auto"/>
        </w:rPr>
        <w:t>No Pending Actions or Lawsuits</w:t>
      </w:r>
      <w:r>
        <w:rPr>
          <w:rFonts w:ascii="Arial" w:cs="Arial" w:eastAsia="Arial" w:hAnsi="Arial"/>
          <w:sz w:val="22"/>
          <w:szCs w:val="22"/>
          <w:color w:val="auto"/>
        </w:rPr>
        <w:t>. You represent that you have no lawsuits, claims or actions pending in your name,</w:t>
      </w:r>
      <w:r>
        <w:rPr>
          <w:rFonts w:ascii="Arial" w:cs="Arial" w:eastAsia="Arial" w:hAnsi="Arial"/>
          <w:sz w:val="22"/>
          <w:szCs w:val="22"/>
          <w:b w:val="1"/>
          <w:bCs w:val="1"/>
          <w:color w:val="auto"/>
        </w:rPr>
        <w:t xml:space="preserve"> </w:t>
      </w:r>
      <w:r>
        <w:rPr>
          <w:rFonts w:ascii="Arial" w:cs="Arial" w:eastAsia="Arial" w:hAnsi="Arial"/>
          <w:sz w:val="22"/>
          <w:szCs w:val="22"/>
          <w:color w:val="auto"/>
        </w:rPr>
        <w:t>or on behalf of yourself or any other person or entity, against any of the Released Parties.</w:t>
      </w:r>
    </w:p>
    <w:p>
      <w:pPr>
        <w:spacing w:after="0" w:line="107" w:lineRule="exact"/>
        <w:rPr>
          <w:rFonts w:ascii="Arial" w:cs="Arial" w:eastAsia="Arial" w:hAnsi="Arial"/>
          <w:sz w:val="22"/>
          <w:szCs w:val="22"/>
          <w:b w:val="1"/>
          <w:bCs w:val="1"/>
          <w:color w:val="auto"/>
        </w:rPr>
      </w:pPr>
    </w:p>
    <w:p>
      <w:pPr>
        <w:jc w:val="both"/>
        <w:ind w:firstLine="656"/>
        <w:spacing w:after="0" w:line="290" w:lineRule="auto"/>
        <w:tabs>
          <w:tab w:leader="none" w:pos="1276" w:val="left"/>
        </w:tabs>
        <w:numPr>
          <w:ilvl w:val="0"/>
          <w:numId w:val="56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Acknowledgments and Representations. </w:t>
      </w:r>
      <w:r>
        <w:rPr>
          <w:rFonts w:ascii="Arial" w:cs="Arial" w:eastAsia="Arial" w:hAnsi="Arial"/>
          <w:sz w:val="19"/>
          <w:szCs w:val="19"/>
          <w:color w:val="auto"/>
        </w:rPr>
        <w:t>You acknowledge and represent that you have not suffered any</w:t>
      </w:r>
      <w:r>
        <w:rPr>
          <w:rFonts w:ascii="Arial" w:cs="Arial" w:eastAsia="Arial" w:hAnsi="Arial"/>
          <w:sz w:val="19"/>
          <w:szCs w:val="19"/>
          <w:b w:val="1"/>
          <w:bCs w:val="1"/>
          <w:color w:val="auto"/>
        </w:rPr>
        <w:t xml:space="preserve"> </w:t>
      </w:r>
      <w:r>
        <w:rPr>
          <w:rFonts w:ascii="Arial" w:cs="Arial" w:eastAsia="Arial" w:hAnsi="Arial"/>
          <w:sz w:val="19"/>
          <w:szCs w:val="19"/>
          <w:color w:val="auto"/>
        </w:rPr>
        <w:t>discrimination or harassment by any of the Released Parties on account of race, gender, age, national origin, religion, marital or registered domestic partner status, sexual orientation, disability, genetic information, veteran or military status, medical condition or any other characteristic protected by applicable law. You acknowledge and represent that you have not been denied any leave, benefits or rights to which you may have been entitled under any federal, state or local law, and that you have not suffered any job-related wrongs or injuries for which you have not already filed a claim. You further acknowledge and represent that your employment relationship with the Company was at- will and that you were not promised, explicitly or implicitly, employment for any specified period of time. You represent and warrant that all of the factual representations made herein, all of which induce the Company to enter into this agreement, are true in all material respects.</w:t>
      </w:r>
    </w:p>
    <w:p>
      <w:pPr>
        <w:spacing w:after="0" w:line="94" w:lineRule="exact"/>
        <w:rPr>
          <w:rFonts w:ascii="Arial" w:cs="Arial" w:eastAsia="Arial" w:hAnsi="Arial"/>
          <w:sz w:val="19"/>
          <w:szCs w:val="19"/>
          <w:b w:val="1"/>
          <w:bCs w:val="1"/>
          <w:color w:val="auto"/>
        </w:rPr>
      </w:pPr>
    </w:p>
    <w:p>
      <w:pPr>
        <w:ind w:firstLine="656"/>
        <w:spacing w:after="0" w:line="269" w:lineRule="auto"/>
        <w:tabs>
          <w:tab w:leader="none" w:pos="1026" w:val="left"/>
        </w:tabs>
        <w:numPr>
          <w:ilvl w:val="0"/>
          <w:numId w:val="56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Nondisparagement. </w:t>
      </w:r>
      <w:r>
        <w:rPr>
          <w:rFonts w:ascii="Arial" w:cs="Arial" w:eastAsia="Arial" w:hAnsi="Arial"/>
          <w:sz w:val="22"/>
          <w:szCs w:val="22"/>
          <w:color w:val="auto"/>
        </w:rPr>
        <w:t>You agree not to disparage any of the Released Parties in any manner likely to be harmful to any</w:t>
      </w:r>
      <w:r>
        <w:rPr>
          <w:rFonts w:ascii="Arial" w:cs="Arial" w:eastAsia="Arial" w:hAnsi="Arial"/>
          <w:sz w:val="22"/>
          <w:szCs w:val="22"/>
          <w:b w:val="1"/>
          <w:bCs w:val="1"/>
          <w:color w:val="auto"/>
        </w:rPr>
        <w:t xml:space="preserve"> </w:t>
      </w:r>
      <w:r>
        <w:rPr>
          <w:rFonts w:ascii="Arial" w:cs="Arial" w:eastAsia="Arial" w:hAnsi="Arial"/>
          <w:sz w:val="22"/>
          <w:szCs w:val="22"/>
          <w:color w:val="auto"/>
        </w:rPr>
        <w:t>of them or their business, business reputation or personal</w:t>
      </w:r>
    </w:p>
    <w:p>
      <w:pPr>
        <w:sectPr>
          <w:pgSz w:w="11900" w:h="16838" w:orient="portrait"/>
          <w:cols w:equalWidth="0" w:num="1">
            <w:col w:w="11240"/>
          </w:cols>
          <w:pgMar w:left="320" w:top="859" w:right="339" w:bottom="1440" w:gutter="0" w:footer="0" w:header="0"/>
        </w:sectPr>
      </w:pPr>
    </w:p>
    <w:bookmarkStart w:id="597" w:name="page598"/>
    <w:bookmarkEnd w:id="597"/>
    <w:p>
      <w:pPr>
        <w:jc w:val="center"/>
        <w:ind w:right="-19"/>
        <w:spacing w:after="0"/>
        <w:rPr>
          <w:sz w:val="20"/>
          <w:szCs w:val="20"/>
          <w:color w:val="auto"/>
        </w:rPr>
      </w:pPr>
      <w:r>
        <w:rPr>
          <w:rFonts w:ascii="Arial" w:cs="Arial" w:eastAsia="Arial" w:hAnsi="Arial"/>
          <w:sz w:val="18"/>
          <w:szCs w:val="18"/>
          <w:b w:val="1"/>
          <w:bCs w:val="1"/>
          <w:color w:val="595959"/>
        </w:rPr>
        <w:drawing>
          <wp:anchor simplePos="0" relativeHeight="251657728" behindDoc="1" locked="0" layoutInCell="0" allowOverlap="1">
            <wp:simplePos x="0" y="0"/>
            <wp:positionH relativeFrom="page">
              <wp:posOffset>2874010</wp:posOffset>
            </wp:positionH>
            <wp:positionV relativeFrom="page">
              <wp:posOffset>131445</wp:posOffset>
            </wp:positionV>
            <wp:extent cx="1800225" cy="3175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clrChange>
                        <a:clrFrom>
                          <a:srgbClr val="FFFFFF"/>
                        </a:clrFrom>
                        <a:clrTo>
                          <a:srgbClr val="FFFFFF">
                            <a:alpha val="0"/>
                          </a:srgbClr>
                        </a:clrTo>
                      </a:clrChange>
                      <a:extLst>
                        <a:ext uri="{28A0092B-C50C-407E-A947-70E740481C1C}"/>
                      </a:extLst>
                    </a:blip>
                    <a:srcRect/>
                    <a:stretch>
                      <a:fillRect/>
                    </a:stretch>
                  </pic:blipFill>
                  <pic:spPr bwMode="auto">
                    <a:xfrm>
                      <a:off x="0" y="0"/>
                      <a:ext cx="1800225" cy="317500"/>
                    </a:xfrm>
                    <a:prstGeom prst="rect">
                      <a:avLst/>
                    </a:prstGeom>
                    <a:noFill/>
                  </pic:spPr>
                </pic:pic>
              </a:graphicData>
            </a:graphic>
          </wp:anchor>
        </w:drawing>
        <w:t>875 Stevenson Street, 5th Floor, San Francisco, CA 94103</w:t>
      </w:r>
    </w:p>
    <w:p>
      <w:pPr>
        <w:spacing w:after="0" w:line="200" w:lineRule="exact"/>
        <w:rPr>
          <w:sz w:val="20"/>
          <w:szCs w:val="20"/>
          <w:color w:val="auto"/>
        </w:rPr>
      </w:pPr>
    </w:p>
    <w:p>
      <w:pPr>
        <w:spacing w:after="0" w:line="323"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reputation, provided that you may respond accurately and fully to any question, inquiry or request for information when required by legal process. For purposes of this Agreement, “disparage” shall mean to make, publish or communicate any negative, belittling or derogatory statement, whether oral or written. You agree that the obligations under this Paragraph include (without limitation) refraining from publishing any disparaging remark on any blog, online social network or any other website, whether or not such comments are made anonymously. Notwithstanding the foregoing, this provision shall not in any way limit your right to file a charge with the EEOC or equivalent state or local agencies, to disclose any suspected violation of law to governmental entities, or to cooperate with investigations by any federal, state or local agencies or entities.</w:t>
      </w:r>
    </w:p>
    <w:p>
      <w:pPr>
        <w:sectPr>
          <w:pgSz w:w="11900" w:h="16838" w:orient="portrait"/>
          <w:cols w:equalWidth="0" w:num="1">
            <w:col w:w="11240"/>
          </w:cols>
          <w:pgMar w:left="320" w:top="859" w:right="339" w:bottom="1440" w:gutter="0" w:footer="0" w:header="0"/>
        </w:sectPr>
      </w:pPr>
    </w:p>
    <w:bookmarkStart w:id="598" w:name="page599"/>
    <w:bookmarkEnd w:id="598"/>
    <w:p>
      <w:pPr>
        <w:jc w:val="right"/>
        <w:spacing w:after="0"/>
        <w:rPr>
          <w:sz w:val="20"/>
          <w:szCs w:val="20"/>
          <w:color w:val="auto"/>
        </w:rPr>
      </w:pPr>
      <w:r>
        <w:rPr>
          <w:rFonts w:ascii="Arial" w:cs="Arial" w:eastAsia="Arial" w:hAnsi="Arial"/>
          <w:sz w:val="18"/>
          <w:szCs w:val="18"/>
          <w:b w:val="1"/>
          <w:bCs w:val="1"/>
          <w:color w:val="auto"/>
        </w:rPr>
        <w:t>Exhibit 10.18</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NerdWallet, Inc.</w:t>
      </w:r>
    </w:p>
    <w:p>
      <w:pPr>
        <w:jc w:val="center"/>
        <w:spacing w:after="0" w:line="209" w:lineRule="auto"/>
        <w:rPr>
          <w:sz w:val="20"/>
          <w:szCs w:val="20"/>
          <w:color w:val="auto"/>
        </w:rPr>
      </w:pPr>
      <w:r>
        <w:rPr>
          <w:rFonts w:ascii="Arial" w:cs="Arial" w:eastAsia="Arial" w:hAnsi="Arial"/>
          <w:sz w:val="20"/>
          <w:szCs w:val="20"/>
          <w:b w:val="1"/>
          <w:bCs w:val="1"/>
          <w:color w:val="auto"/>
        </w:rPr>
        <w:t>875 Stevenson Street, 5</w:t>
      </w:r>
      <w:r>
        <w:rPr>
          <w:rFonts w:ascii="Arial" w:cs="Arial" w:eastAsia="Arial" w:hAnsi="Arial"/>
          <w:sz w:val="25"/>
          <w:szCs w:val="25"/>
          <w:b w:val="1"/>
          <w:bCs w:val="1"/>
          <w:color w:val="auto"/>
          <w:vertAlign w:val="superscript"/>
        </w:rPr>
        <w:t>th</w:t>
      </w:r>
      <w:r>
        <w:rPr>
          <w:rFonts w:ascii="Arial" w:cs="Arial" w:eastAsia="Arial" w:hAnsi="Arial"/>
          <w:sz w:val="20"/>
          <w:szCs w:val="20"/>
          <w:b w:val="1"/>
          <w:bCs w:val="1"/>
          <w:color w:val="auto"/>
        </w:rPr>
        <w:t xml:space="preserve"> Floor</w:t>
      </w:r>
    </w:p>
    <w:p>
      <w:pPr>
        <w:jc w:val="center"/>
        <w:spacing w:after="0"/>
        <w:rPr>
          <w:sz w:val="20"/>
          <w:szCs w:val="20"/>
          <w:color w:val="auto"/>
        </w:rPr>
      </w:pPr>
      <w:r>
        <w:rPr>
          <w:rFonts w:ascii="Arial" w:cs="Arial" w:eastAsia="Arial" w:hAnsi="Arial"/>
          <w:sz w:val="20"/>
          <w:szCs w:val="20"/>
          <w:b w:val="1"/>
          <w:bCs w:val="1"/>
          <w:color w:val="auto"/>
        </w:rPr>
        <w:t>San Francisco, CA 94103</w:t>
      </w:r>
    </w:p>
    <w:p>
      <w:pPr>
        <w:spacing w:after="0"/>
        <w:rPr>
          <w:sz w:val="20"/>
          <w:szCs w:val="20"/>
          <w:color w:val="auto"/>
        </w:rPr>
      </w:pPr>
      <w:r>
        <w:rPr>
          <w:rFonts w:ascii="Arial" w:cs="Arial" w:eastAsia="Arial" w:hAnsi="Arial"/>
          <w:sz w:val="20"/>
          <w:szCs w:val="20"/>
          <w:b w:val="1"/>
          <w:bCs w:val="1"/>
          <w:color w:val="auto"/>
        </w:rPr>
        <w:t>April 2, 2020</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VIA EMAIL</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Laura Onopchenko</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Dear Laura:</w:t>
      </w:r>
    </w:p>
    <w:p>
      <w:pPr>
        <w:spacing w:after="0" w:line="162"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This letter sets forth our agreement (the “Agreement”) in connection with the termination of your employment with NerdWallet, Inc. (the “Company”).</w:t>
      </w:r>
    </w:p>
    <w:p>
      <w:pPr>
        <w:spacing w:after="0" w:line="117" w:lineRule="exact"/>
        <w:rPr>
          <w:sz w:val="20"/>
          <w:szCs w:val="20"/>
          <w:color w:val="auto"/>
        </w:rPr>
      </w:pPr>
    </w:p>
    <w:p>
      <w:pPr>
        <w:jc w:val="both"/>
        <w:ind w:firstLine="656"/>
        <w:spacing w:after="0" w:line="253" w:lineRule="auto"/>
        <w:tabs>
          <w:tab w:leader="none" w:pos="994" w:val="left"/>
        </w:tabs>
        <w:numPr>
          <w:ilvl w:val="0"/>
          <w:numId w:val="568"/>
        </w:numPr>
        <w:rPr>
          <w:rFonts w:ascii="Arial" w:cs="Arial" w:eastAsia="Arial" w:hAnsi="Arial"/>
          <w:sz w:val="20"/>
          <w:szCs w:val="20"/>
          <w:b w:val="1"/>
          <w:bCs w:val="1"/>
          <w:color w:val="auto"/>
        </w:rPr>
      </w:pPr>
      <w:r>
        <w:rPr>
          <w:rFonts w:ascii="Arial" w:cs="Arial" w:eastAsia="Arial" w:hAnsi="Arial"/>
          <w:sz w:val="20"/>
          <w:szCs w:val="20"/>
          <w:b w:val="1"/>
          <w:bCs w:val="1"/>
          <w:color w:val="auto"/>
        </w:rPr>
        <w:t>Separation Date</w:t>
      </w:r>
      <w:r>
        <w:rPr>
          <w:rFonts w:ascii="Arial" w:cs="Arial" w:eastAsia="Arial" w:hAnsi="Arial"/>
          <w:sz w:val="20"/>
          <w:szCs w:val="20"/>
          <w:color w:val="auto"/>
        </w:rPr>
        <w:t>. Your last day of work and employment with the Company will be April 1, 2020 (the “Separation Date”) unless</w:t>
      </w:r>
      <w:r>
        <w:rPr>
          <w:rFonts w:ascii="Arial" w:cs="Arial" w:eastAsia="Arial" w:hAnsi="Arial"/>
          <w:sz w:val="20"/>
          <w:szCs w:val="20"/>
          <w:b w:val="1"/>
          <w:bCs w:val="1"/>
          <w:color w:val="auto"/>
        </w:rPr>
        <w:t xml:space="preserve"> </w:t>
      </w:r>
      <w:r>
        <w:rPr>
          <w:rFonts w:ascii="Arial" w:cs="Arial" w:eastAsia="Arial" w:hAnsi="Arial"/>
          <w:sz w:val="20"/>
          <w:szCs w:val="20"/>
          <w:color w:val="auto"/>
        </w:rPr>
        <w:t>you resign your employment with the Company or the Company terminates your employment for Cause (as defined in the Stock Option Agreements) prior to that date.</w:t>
      </w:r>
    </w:p>
    <w:p>
      <w:pPr>
        <w:spacing w:after="0" w:line="123" w:lineRule="exact"/>
        <w:rPr>
          <w:rFonts w:ascii="Arial" w:cs="Arial" w:eastAsia="Arial" w:hAnsi="Arial"/>
          <w:sz w:val="20"/>
          <w:szCs w:val="20"/>
          <w:b w:val="1"/>
          <w:bCs w:val="1"/>
          <w:color w:val="auto"/>
        </w:rPr>
      </w:pPr>
    </w:p>
    <w:p>
      <w:pPr>
        <w:jc w:val="both"/>
        <w:ind w:firstLine="656"/>
        <w:spacing w:after="0" w:line="253" w:lineRule="auto"/>
        <w:tabs>
          <w:tab w:leader="none" w:pos="1071" w:val="left"/>
        </w:tabs>
        <w:numPr>
          <w:ilvl w:val="0"/>
          <w:numId w:val="568"/>
        </w:numPr>
        <w:rPr>
          <w:rFonts w:ascii="Arial" w:cs="Arial" w:eastAsia="Arial" w:hAnsi="Arial"/>
          <w:sz w:val="20"/>
          <w:szCs w:val="20"/>
          <w:b w:val="1"/>
          <w:bCs w:val="1"/>
          <w:color w:val="auto"/>
        </w:rPr>
      </w:pPr>
      <w:r>
        <w:rPr>
          <w:rFonts w:ascii="Arial" w:cs="Arial" w:eastAsia="Arial" w:hAnsi="Arial"/>
          <w:sz w:val="20"/>
          <w:szCs w:val="20"/>
          <w:b w:val="1"/>
          <w:bCs w:val="1"/>
          <w:color w:val="auto"/>
        </w:rPr>
        <w:t>Payment of Earned Compensation</w:t>
      </w:r>
      <w:r>
        <w:rPr>
          <w:rFonts w:ascii="Arial" w:cs="Arial" w:eastAsia="Arial" w:hAnsi="Arial"/>
          <w:sz w:val="20"/>
          <w:szCs w:val="20"/>
          <w:color w:val="auto"/>
        </w:rPr>
        <w:t>. On the Separation Date, the Company will pay you all compensation and benefits due</w:t>
      </w:r>
      <w:r>
        <w:rPr>
          <w:rFonts w:ascii="Arial" w:cs="Arial" w:eastAsia="Arial" w:hAnsi="Arial"/>
          <w:sz w:val="20"/>
          <w:szCs w:val="20"/>
          <w:b w:val="1"/>
          <w:bCs w:val="1"/>
          <w:color w:val="auto"/>
        </w:rPr>
        <w:t xml:space="preserve"> </w:t>
      </w:r>
      <w:r>
        <w:rPr>
          <w:rFonts w:ascii="Arial" w:cs="Arial" w:eastAsia="Arial" w:hAnsi="Arial"/>
          <w:sz w:val="20"/>
          <w:szCs w:val="20"/>
          <w:color w:val="auto"/>
        </w:rPr>
        <w:t>through the Separation Date as a result of services performed for the Company, subject to standard payroll deductions and withholdings. You are entitled to this payment regardless of whether or not you sign this Agreement.</w:t>
      </w:r>
    </w:p>
    <w:p>
      <w:pPr>
        <w:spacing w:after="0" w:line="123" w:lineRule="exact"/>
        <w:rPr>
          <w:rFonts w:ascii="Arial" w:cs="Arial" w:eastAsia="Arial" w:hAnsi="Arial"/>
          <w:sz w:val="20"/>
          <w:szCs w:val="20"/>
          <w:b w:val="1"/>
          <w:bCs w:val="1"/>
          <w:color w:val="auto"/>
        </w:rPr>
      </w:pPr>
    </w:p>
    <w:p>
      <w:pPr>
        <w:jc w:val="both"/>
        <w:ind w:firstLine="656"/>
        <w:spacing w:after="0" w:line="246" w:lineRule="auto"/>
        <w:tabs>
          <w:tab w:leader="none" w:pos="991" w:val="left"/>
        </w:tabs>
        <w:numPr>
          <w:ilvl w:val="0"/>
          <w:numId w:val="568"/>
        </w:numPr>
        <w:rPr>
          <w:rFonts w:ascii="Arial" w:cs="Arial" w:eastAsia="Arial" w:hAnsi="Arial"/>
          <w:sz w:val="20"/>
          <w:szCs w:val="20"/>
          <w:b w:val="1"/>
          <w:bCs w:val="1"/>
          <w:color w:val="auto"/>
        </w:rPr>
      </w:pPr>
      <w:r>
        <w:rPr>
          <w:rFonts w:ascii="Arial" w:cs="Arial" w:eastAsia="Arial" w:hAnsi="Arial"/>
          <w:sz w:val="20"/>
          <w:szCs w:val="20"/>
          <w:b w:val="1"/>
          <w:bCs w:val="1"/>
          <w:color w:val="auto"/>
        </w:rPr>
        <w:t>Transition Period</w:t>
      </w:r>
      <w:r>
        <w:rPr>
          <w:rFonts w:ascii="Arial" w:cs="Arial" w:eastAsia="Arial" w:hAnsi="Arial"/>
          <w:sz w:val="20"/>
          <w:szCs w:val="20"/>
          <w:color w:val="auto"/>
        </w:rPr>
        <w:t>. You acknowledge that your last day in the office was March 13, 2020. You acknowledge that between March</w:t>
      </w:r>
      <w:r>
        <w:rPr>
          <w:rFonts w:ascii="Arial" w:cs="Arial" w:eastAsia="Arial" w:hAnsi="Arial"/>
          <w:sz w:val="20"/>
          <w:szCs w:val="20"/>
          <w:b w:val="1"/>
          <w:bCs w:val="1"/>
          <w:color w:val="auto"/>
        </w:rPr>
        <w:t xml:space="preserve"> </w:t>
      </w:r>
      <w:r>
        <w:rPr>
          <w:rFonts w:ascii="Arial" w:cs="Arial" w:eastAsia="Arial" w:hAnsi="Arial"/>
          <w:sz w:val="20"/>
          <w:szCs w:val="20"/>
          <w:color w:val="auto"/>
        </w:rPr>
        <w:t>13, 2020 and the Separation Date (the “Transition Period”) the Company continued to pay you your current base salary, less standard payroll deductions and withholdings and your employee benefits continued through the Transition Period. You agree that during the Transition Period you did not represent or purport to represent the Company in any manner whatsoever to any third party and you did not enter into any contract or commitment on behalf of the Company.</w:t>
      </w:r>
    </w:p>
    <w:p>
      <w:pPr>
        <w:spacing w:after="0" w:line="130" w:lineRule="exact"/>
        <w:rPr>
          <w:rFonts w:ascii="Arial" w:cs="Arial" w:eastAsia="Arial" w:hAnsi="Arial"/>
          <w:sz w:val="20"/>
          <w:szCs w:val="20"/>
          <w:b w:val="1"/>
          <w:bCs w:val="1"/>
          <w:color w:val="auto"/>
        </w:rPr>
      </w:pPr>
    </w:p>
    <w:p>
      <w:pPr>
        <w:jc w:val="both"/>
        <w:ind w:firstLine="656"/>
        <w:spacing w:after="0" w:line="255" w:lineRule="auto"/>
        <w:tabs>
          <w:tab w:leader="none" w:pos="1021" w:val="left"/>
        </w:tabs>
        <w:numPr>
          <w:ilvl w:val="0"/>
          <w:numId w:val="56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Separation Payment. </w:t>
      </w:r>
      <w:r>
        <w:rPr>
          <w:rFonts w:ascii="Arial" w:cs="Arial" w:eastAsia="Arial" w:hAnsi="Arial"/>
          <w:sz w:val="19"/>
          <w:szCs w:val="19"/>
          <w:color w:val="auto"/>
        </w:rPr>
        <w:t>The Company will pay you, as separation pay, the following amount: two hundred fifty thousand dollars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($250,000.00), which is equal to twenty-six (26) week’s salary, subject to standard payroll deductions and withholdings (the “Separation Payment”). To be eligible to receive the Separation Payment, on or within twenty-one (21) days after your receipt of this Agreement you must sign and return the Agreement to the Company, and you must allow the Agreement to become effective as described in Paragraph 13 below, and on or within twenty-one (21) days after the Separation Date, you must sign and return to the Company the Separation Date Release attached here 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you must allow the Separation Date Release to become effective as described in </w:t>
      </w:r>
      <w:r>
        <w:rPr>
          <w:rFonts w:ascii="Arial" w:cs="Arial" w:eastAsia="Arial" w:hAnsi="Arial"/>
          <w:sz w:val="19"/>
          <w:szCs w:val="19"/>
          <w:u w:val="single" w:color="auto"/>
          <w:color w:val="auto"/>
        </w:rPr>
        <w:t>Exhibit A</w:t>
      </w:r>
      <w:r>
        <w:rPr>
          <w:rFonts w:ascii="Arial" w:cs="Arial" w:eastAsia="Arial" w:hAnsi="Arial"/>
          <w:sz w:val="19"/>
          <w:szCs w:val="19"/>
          <w:color w:val="auto"/>
        </w:rPr>
        <w:t>. The Company will pay you the Separation Payment in thirteen (13) equal installments on the Company’s regular payroll dates, beginning with the first payroll date that is at least 5 business days after the effective date of the Separation Date Release, provided that you have returned all Company property as specified in Paragraph 10 below and that you continue to comply with all of your other obligations under this Agreement. If you resign your employment any time before the Separation Date for any reason or you are terminated for Cause, you will not be entitled to receive any compensation or benefits under this Agreement after the Separation Date. In addition, in the event that you are rehired by the Company during the period that you are receiving Separation Payment installments under the terms of this Agreement, as of the date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21" w:right="339" w:bottom="1440" w:gutter="0" w:footer="0" w:header="0"/>
        </w:sectPr>
      </w:pPr>
    </w:p>
    <w:bookmarkStart w:id="599" w:name="page600"/>
    <w:bookmarkEnd w:id="599"/>
    <w:p>
      <w:pPr>
        <w:jc w:val="both"/>
        <w:spacing w:after="0" w:line="250" w:lineRule="auto"/>
        <w:rPr>
          <w:sz w:val="20"/>
          <w:szCs w:val="20"/>
          <w:color w:val="auto"/>
        </w:rPr>
      </w:pPr>
      <w:r>
        <w:rPr>
          <w:rFonts w:ascii="Arial" w:cs="Arial" w:eastAsia="Arial" w:hAnsi="Arial"/>
          <w:sz w:val="20"/>
          <w:szCs w:val="20"/>
          <w:color w:val="auto"/>
        </w:rPr>
        <w:t>you resume employment with the Company, you will no longer be entitled to receive Separation Payment installments under this Agreement and the Company shall cease making such payments to you. In addition, you may complete the executive coaching sessions already paid for by the Company, without costs to you.</w:t>
      </w:r>
    </w:p>
    <w:p>
      <w:pPr>
        <w:spacing w:after="0" w:line="126" w:lineRule="exact"/>
        <w:rPr>
          <w:sz w:val="20"/>
          <w:szCs w:val="20"/>
          <w:color w:val="auto"/>
        </w:rPr>
      </w:pPr>
    </w:p>
    <w:p>
      <w:pPr>
        <w:jc w:val="both"/>
        <w:ind w:firstLine="656"/>
        <w:spacing w:after="0" w:line="270" w:lineRule="auto"/>
        <w:tabs>
          <w:tab w:leader="none" w:pos="1109" w:val="left"/>
        </w:tabs>
        <w:numPr>
          <w:ilvl w:val="0"/>
          <w:numId w:val="5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NerdWallet New Hire Equity. </w:t>
      </w:r>
      <w:r>
        <w:rPr>
          <w:rFonts w:ascii="Arial" w:cs="Arial" w:eastAsia="Arial" w:hAnsi="Arial"/>
          <w:sz w:val="18"/>
          <w:szCs w:val="18"/>
          <w:color w:val="auto"/>
        </w:rPr>
        <w:t>Pursuant to the Company’s 2012 Equity Incentive Plan (the “Plan”) and the Stock Option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Agreements between you and the Company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“Stock Option Agreements”), all vesting in NerdWallet equity will cease on the Separation Date. Pursuant to the Stock Option Agreements, the Company granted you the stock options to purchase shares of the Company’s Class A Common Stock (taking your participation in the 2020 Secondary into account) set forth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sets forth the number stock options that will have vested as of the Separation Date, subject to the other terms and conditions of the Stock Option Agreement. Other than the 585,713 vested and unexercised stock options set forth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(the “Vested Options”) and the 183,190 options described in Section 6 below, all other options will lapse on the Separation Date. Your options are subject to the terms of the Plan and the Stock Option Agreements. You are entitled to the Vested Options regardless of whether you sign this Separation Agreement. Provided that on or within twenty-one (21) days after your receipt of this Agreement you sign it and return it to the Company, and you allow the Agreement to become effective as described in Paragraph 13 below, and on or within twenty-one (21) days after the Separation Date, you sign and return to the Company the Separation Date Release attached here 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you allow the Separation Date Release to become effective as described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period of time following the Separation Date during which you may exercise all vested stock options will be modified upon execution of the Amendment to Stock Option Agreement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You agree that you have no other stock options or equity holdings in the Company other than as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and in Section 6 below.</w:t>
      </w:r>
    </w:p>
    <w:p>
      <w:pPr>
        <w:spacing w:after="0" w:line="115" w:lineRule="exact"/>
        <w:rPr>
          <w:rFonts w:ascii="Arial" w:cs="Arial" w:eastAsia="Arial" w:hAnsi="Arial"/>
          <w:sz w:val="18"/>
          <w:szCs w:val="18"/>
          <w:b w:val="1"/>
          <w:bCs w:val="1"/>
          <w:color w:val="auto"/>
        </w:rPr>
      </w:pPr>
    </w:p>
    <w:p>
      <w:pPr>
        <w:jc w:val="both"/>
        <w:ind w:firstLine="656"/>
        <w:spacing w:after="0" w:line="255" w:lineRule="auto"/>
        <w:tabs>
          <w:tab w:leader="none" w:pos="1030" w:val="left"/>
        </w:tabs>
        <w:numPr>
          <w:ilvl w:val="0"/>
          <w:numId w:val="569"/>
        </w:numPr>
        <w:rPr>
          <w:rFonts w:ascii="Arial" w:cs="Arial" w:eastAsia="Arial" w:hAnsi="Arial"/>
          <w:sz w:val="19"/>
          <w:szCs w:val="19"/>
          <w:b w:val="1"/>
          <w:bCs w:val="1"/>
          <w:color w:val="auto"/>
        </w:rPr>
      </w:pPr>
      <w:r>
        <w:rPr>
          <w:rFonts w:ascii="Arial" w:cs="Arial" w:eastAsia="Arial" w:hAnsi="Arial"/>
          <w:sz w:val="19"/>
          <w:szCs w:val="19"/>
          <w:b w:val="1"/>
          <w:bCs w:val="1"/>
          <w:color w:val="auto"/>
        </w:rPr>
        <w:t>MTL Incentive Plan</w:t>
      </w:r>
      <w:r>
        <w:rPr>
          <w:rFonts w:ascii="Arial" w:cs="Arial" w:eastAsia="Arial" w:hAnsi="Arial"/>
          <w:sz w:val="19"/>
          <w:szCs w:val="19"/>
          <w:color w:val="auto"/>
        </w:rPr>
        <w:t>. You are a participant in the Company’s MTL Incentive Plan. While the MTL Incentive Plan has not yet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vested, the Company will, subject to Board approval which condition is satisfied, partially accelerate your vesting under the MTL Incentive Plan such that you will receive two hundred thousand dollars ($200,000.00) under the MTL Cash Incentive Plan and an option award to purchase one hundred eighty three thousand and one hundred ninety (183,190) shares of the Company’s Class A Common Stock under the MTL Equity Incentive Plan (the “MTL Options”), provided that on or within twenty-one (21) days after your receipt of this Agreement you sign it and return it to the Company, and you allow the Agreement to become effective as described in Paragraph 13 below, and on or within twenty-one (21) days after the Separation Date, you sign and return to the Company the Separation Date Release attached here to as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A</w:t>
      </w:r>
      <w:r>
        <w:rPr>
          <w:rFonts w:ascii="Arial" w:cs="Arial" w:eastAsia="Arial" w:hAnsi="Arial"/>
          <w:sz w:val="19"/>
          <w:szCs w:val="19"/>
          <w:color w:val="auto"/>
        </w:rPr>
        <w:t xml:space="preserve"> and you allow the Separation Date Release to become effective as described in </w:t>
      </w:r>
      <w:r>
        <w:rPr>
          <w:rFonts w:ascii="Arial" w:cs="Arial" w:eastAsia="Arial" w:hAnsi="Arial"/>
          <w:sz w:val="19"/>
          <w:szCs w:val="19"/>
          <w:u w:val="single" w:color="auto"/>
          <w:color w:val="auto"/>
        </w:rPr>
        <w:t>Exhibit A</w:t>
      </w:r>
      <w:r>
        <w:rPr>
          <w:rFonts w:ascii="Arial" w:cs="Arial" w:eastAsia="Arial" w:hAnsi="Arial"/>
          <w:sz w:val="19"/>
          <w:szCs w:val="19"/>
          <w:color w:val="auto"/>
        </w:rPr>
        <w:t>. The foregoing cash amount will be paid in thirteen (13) equal installments over the same period of time as the Separation Payment in Section 4 above. Following the vesting of your MTL Options, the Company will enter into an Option Cancellation Agreement in the form attached as Exhibit E. No other stock options or cash bonuses under the MTL Incentive Compensation Program will vest and all other stock options shall lapse and no other cash bonus payments shall be made.</w:t>
      </w:r>
    </w:p>
    <w:p>
      <w:pPr>
        <w:spacing w:after="0" w:line="130" w:lineRule="exact"/>
        <w:rPr>
          <w:rFonts w:ascii="Arial" w:cs="Arial" w:eastAsia="Arial" w:hAnsi="Arial"/>
          <w:sz w:val="19"/>
          <w:szCs w:val="19"/>
          <w:b w:val="1"/>
          <w:bCs w:val="1"/>
          <w:color w:val="auto"/>
        </w:rPr>
      </w:pPr>
    </w:p>
    <w:p>
      <w:pPr>
        <w:jc w:val="both"/>
        <w:ind w:firstLine="656"/>
        <w:spacing w:after="0" w:line="258" w:lineRule="auto"/>
        <w:tabs>
          <w:tab w:leader="none" w:pos="1021" w:val="left"/>
        </w:tabs>
        <w:numPr>
          <w:ilvl w:val="0"/>
          <w:numId w:val="56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Health Insurance. </w:t>
      </w:r>
      <w:r>
        <w:rPr>
          <w:rFonts w:ascii="Arial" w:cs="Arial" w:eastAsia="Arial" w:hAnsi="Arial"/>
          <w:sz w:val="19"/>
          <w:szCs w:val="19"/>
          <w:color w:val="auto"/>
        </w:rPr>
        <w:t>Your health insurance benefits will continue through the last day of the month in which the Separation Date</w:t>
      </w:r>
      <w:r>
        <w:rPr>
          <w:rFonts w:ascii="Arial" w:cs="Arial" w:eastAsia="Arial" w:hAnsi="Arial"/>
          <w:sz w:val="19"/>
          <w:szCs w:val="19"/>
          <w:b w:val="1"/>
          <w:bCs w:val="1"/>
          <w:color w:val="auto"/>
        </w:rPr>
        <w:t xml:space="preserve"> </w:t>
      </w:r>
      <w:r>
        <w:rPr>
          <w:rFonts w:ascii="Arial" w:cs="Arial" w:eastAsia="Arial" w:hAnsi="Arial"/>
          <w:sz w:val="19"/>
          <w:szCs w:val="19"/>
          <w:color w:val="auto"/>
        </w:rPr>
        <w:t>occurs, provided that you remain eligible under the terms and conditions of the applicable plans. After your NerdWallet health insurance benefits end, to the extent provided by the federal COBRA law or, if applicable, state insurance laws, and by the Company’s current group health insurance policies, you will be eligible to continue your group health insurance benefits at your own expense. Later, you may be able to convert to an individual policy through the provider of the Company’s health insurance, if you wish. You may also be eligible for health insurance through one of the state marketplaces implementing the federal Patient Protection and Affordable Care Act (the “Affordable Care Act”) (in California, this is through Covered California). Soon after the Separation Date, a separate notice of your COBRA rights will be mailed to your home address on file with the Company. These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932" w:right="339" w:bottom="1440" w:gutter="0" w:footer="0" w:header="0"/>
        </w:sectPr>
      </w:pPr>
    </w:p>
    <w:bookmarkStart w:id="600" w:name="page601"/>
    <w:bookmarkEnd w:id="600"/>
    <w:p>
      <w:pPr>
        <w:jc w:val="both"/>
        <w:spacing w:after="0" w:line="282" w:lineRule="auto"/>
        <w:rPr>
          <w:sz w:val="20"/>
          <w:szCs w:val="20"/>
          <w:color w:val="auto"/>
        </w:rPr>
      </w:pPr>
      <w:r>
        <w:rPr>
          <w:rFonts w:ascii="Arial" w:cs="Arial" w:eastAsia="Arial" w:hAnsi="Arial"/>
          <w:sz w:val="18"/>
          <w:szCs w:val="18"/>
          <w:color w:val="auto"/>
        </w:rPr>
        <w:t>materials will also contain information about your options under the Affordable Care Act. The materials will inform you of the time limits for you to waive or elect coverage under both options. Provided you enter into and comply with this Agreement and you timely elect coverage under COBRA or the Affordable Care Act, the Company will pay the monthly cost of your COBRA premiums or up to an equivalent amount for premiums for health insurance coverage under the Affordable Care Act through October 31, 2020 (the “Health Insurance Assistance”).</w:t>
      </w:r>
    </w:p>
    <w:p>
      <w:pPr>
        <w:spacing w:after="0" w:line="101" w:lineRule="exact"/>
        <w:rPr>
          <w:sz w:val="20"/>
          <w:szCs w:val="20"/>
          <w:color w:val="auto"/>
        </w:rPr>
      </w:pPr>
    </w:p>
    <w:p>
      <w:pPr>
        <w:ind w:right="320" w:firstLine="656"/>
        <w:spacing w:after="0" w:line="294" w:lineRule="auto"/>
        <w:tabs>
          <w:tab w:leader="none" w:pos="994" w:val="left"/>
        </w:tabs>
        <w:numPr>
          <w:ilvl w:val="0"/>
          <w:numId w:val="5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Compensation or Benefits. </w:t>
      </w:r>
      <w:r>
        <w:rPr>
          <w:rFonts w:ascii="Arial" w:cs="Arial" w:eastAsia="Arial" w:hAnsi="Arial"/>
          <w:sz w:val="18"/>
          <w:szCs w:val="18"/>
          <w:color w:val="auto"/>
        </w:rPr>
        <w:t>You acknowledge that, except as expressly provided in this Agreement, you will not have</w:t>
      </w:r>
      <w:r>
        <w:rPr>
          <w:rFonts w:ascii="Arial" w:cs="Arial" w:eastAsia="Arial" w:hAnsi="Arial"/>
          <w:sz w:val="18"/>
          <w:szCs w:val="18"/>
          <w:b w:val="1"/>
          <w:bCs w:val="1"/>
          <w:color w:val="auto"/>
        </w:rPr>
        <w:t xml:space="preserve"> </w:t>
      </w:r>
      <w:r>
        <w:rPr>
          <w:rFonts w:ascii="Arial" w:cs="Arial" w:eastAsia="Arial" w:hAnsi="Arial"/>
          <w:sz w:val="18"/>
          <w:szCs w:val="18"/>
          <w:color w:val="auto"/>
        </w:rPr>
        <w:t>earned and will not receive any additional compensation, separation pay, or benefits after the Separation Date, with the exception of any vested right you may have under the express terms of a written ERISA-qualified benefit plan (e.g., 401(k) account).</w:t>
      </w:r>
    </w:p>
    <w:p>
      <w:pPr>
        <w:spacing w:after="0" w:line="89" w:lineRule="exact"/>
        <w:rPr>
          <w:rFonts w:ascii="Arial" w:cs="Arial" w:eastAsia="Arial" w:hAnsi="Arial"/>
          <w:sz w:val="18"/>
          <w:szCs w:val="18"/>
          <w:b w:val="1"/>
          <w:bCs w:val="1"/>
          <w:color w:val="auto"/>
        </w:rPr>
      </w:pPr>
    </w:p>
    <w:p>
      <w:pPr>
        <w:jc w:val="both"/>
        <w:ind w:firstLine="656"/>
        <w:spacing w:after="0" w:line="272" w:lineRule="auto"/>
        <w:tabs>
          <w:tab w:leader="none" w:pos="1129" w:val="left"/>
        </w:tabs>
        <w:numPr>
          <w:ilvl w:val="0"/>
          <w:numId w:val="57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Expense Reimbursements. </w:t>
      </w:r>
      <w:r>
        <w:rPr>
          <w:rFonts w:ascii="Arial" w:cs="Arial" w:eastAsia="Arial" w:hAnsi="Arial"/>
          <w:sz w:val="19"/>
          <w:szCs w:val="19"/>
          <w:color w:val="auto"/>
        </w:rPr>
        <w:t>You agree that, within thirty (30) days after the Separation Date, you will submit your final</w:t>
      </w:r>
      <w:r>
        <w:rPr>
          <w:rFonts w:ascii="Arial" w:cs="Arial" w:eastAsia="Arial" w:hAnsi="Arial"/>
          <w:sz w:val="19"/>
          <w:szCs w:val="19"/>
          <w:b w:val="1"/>
          <w:bCs w:val="1"/>
          <w:color w:val="auto"/>
        </w:rPr>
        <w:t xml:space="preserve"> </w:t>
      </w:r>
      <w:r>
        <w:rPr>
          <w:rFonts w:ascii="Arial" w:cs="Arial" w:eastAsia="Arial" w:hAnsi="Arial"/>
          <w:sz w:val="19"/>
          <w:szCs w:val="19"/>
          <w:color w:val="auto"/>
        </w:rPr>
        <w:t>documented expense reimbursement statement reflecting all business expenses you incurred through the Separation Date, if any, for which you seek reimbursement. The Company will reimburse you for these expenses pursuant to its regular business practice.</w:t>
      </w:r>
    </w:p>
    <w:p>
      <w:pPr>
        <w:spacing w:after="0" w:line="107" w:lineRule="exact"/>
        <w:rPr>
          <w:rFonts w:ascii="Arial" w:cs="Arial" w:eastAsia="Arial" w:hAnsi="Arial"/>
          <w:sz w:val="19"/>
          <w:szCs w:val="19"/>
          <w:b w:val="1"/>
          <w:bCs w:val="1"/>
          <w:color w:val="auto"/>
        </w:rPr>
      </w:pPr>
    </w:p>
    <w:p>
      <w:pPr>
        <w:jc w:val="both"/>
        <w:ind w:firstLine="656"/>
        <w:spacing w:after="0" w:line="269" w:lineRule="auto"/>
        <w:tabs>
          <w:tab w:leader="none" w:pos="1124" w:val="left"/>
        </w:tabs>
        <w:numPr>
          <w:ilvl w:val="0"/>
          <w:numId w:val="570"/>
        </w:numPr>
        <w:rPr>
          <w:rFonts w:ascii="Arial" w:cs="Arial" w:eastAsia="Arial" w:hAnsi="Arial"/>
          <w:sz w:val="18"/>
          <w:szCs w:val="18"/>
          <w:b w:val="1"/>
          <w:bCs w:val="1"/>
          <w:color w:val="auto"/>
        </w:rPr>
      </w:pPr>
      <w:r>
        <w:rPr>
          <w:rFonts w:ascii="Arial" w:cs="Arial" w:eastAsia="Arial" w:hAnsi="Arial"/>
          <w:sz w:val="18"/>
          <w:szCs w:val="18"/>
          <w:b w:val="1"/>
          <w:bCs w:val="1"/>
          <w:color w:val="auto"/>
        </w:rPr>
        <w:t>Return Of Company Property</w:t>
      </w:r>
      <w:r>
        <w:rPr>
          <w:rFonts w:ascii="Arial" w:cs="Arial" w:eastAsia="Arial" w:hAnsi="Arial"/>
          <w:sz w:val="18"/>
          <w:szCs w:val="18"/>
          <w:color w:val="auto"/>
        </w:rPr>
        <w:t>. You must immediately upon the Company’s request, and no later than your Separation Date,</w:t>
      </w:r>
      <w:r>
        <w:rPr>
          <w:rFonts w:ascii="Arial" w:cs="Arial" w:eastAsia="Arial" w:hAnsi="Arial"/>
          <w:sz w:val="18"/>
          <w:szCs w:val="18"/>
          <w:b w:val="1"/>
          <w:bCs w:val="1"/>
          <w:color w:val="auto"/>
        </w:rPr>
        <w:t xml:space="preserve"> </w:t>
      </w:r>
      <w:r>
        <w:rPr>
          <w:rFonts w:ascii="Arial" w:cs="Arial" w:eastAsia="Arial" w:hAnsi="Arial"/>
          <w:sz w:val="18"/>
          <w:szCs w:val="18"/>
          <w:color w:val="auto"/>
        </w:rPr>
        <w:t>return to the Company all Company documents (and all copies thereof) and other Company property in your possession or control that can be located upon a reasonable and diligent search, including, but not limited to: Company files, notes, memoranda, correspondence, agreements, draft documents, notebooks, logs, drawings, records, plans, proposals, reports, forecasts, financial information, sales and marketing information, research and development information, personnel information, specifications, code, software, databases, computer-recorded information, tangible property and equipment (including, but not limited to, computers, mobile phones, smartphones, PDAs, flash drives, external hard drives, and discs), credit cards, entry cards, identification badges and keys, and any materials of any kind that contain or embody any proprietary or confidential information of the Company (and all reproductions thereof in whole or in part). You represent that you have made a diligent search to locate any such documents, property and information. In addition, if you have used any non-Company computer, server, or e-mail system to receive, store, review, prepare or transmit any Company confidential or proprietary data, materials or information, you have provided the Company with a computer-useable copy of such information and permanently deleted and expunged such Company confidential or proprietary information from those systems. You agree to provide the Company access to such systems as requested to verify that the necessary copying and/or deletion is completed. You agree that, after the Separation Date, you will neither use nor possess Company property. You may retain a copies of your contacts, PST file, all compensation records, and such other documents you are allowed to retained under law, provided you do not use any trade secrets of the Company in the process. Your compliance with the terms of this Paragraph is a condition precedent to your eligibility to receive the Separation Payment described above.</w:t>
      </w:r>
    </w:p>
    <w:p>
      <w:pPr>
        <w:spacing w:after="0" w:line="122" w:lineRule="exact"/>
        <w:rPr>
          <w:rFonts w:ascii="Arial" w:cs="Arial" w:eastAsia="Arial" w:hAnsi="Arial"/>
          <w:sz w:val="18"/>
          <w:szCs w:val="18"/>
          <w:b w:val="1"/>
          <w:bCs w:val="1"/>
          <w:color w:val="auto"/>
        </w:rPr>
      </w:pPr>
    </w:p>
    <w:p>
      <w:pPr>
        <w:jc w:val="both"/>
        <w:ind w:firstLine="656"/>
        <w:spacing w:after="0" w:line="257" w:lineRule="auto"/>
        <w:tabs>
          <w:tab w:leader="none" w:pos="1118" w:val="left"/>
        </w:tabs>
        <w:numPr>
          <w:ilvl w:val="0"/>
          <w:numId w:val="570"/>
        </w:numPr>
        <w:rPr>
          <w:rFonts w:ascii="Arial" w:cs="Arial" w:eastAsia="Arial" w:hAnsi="Arial"/>
          <w:sz w:val="19"/>
          <w:szCs w:val="19"/>
          <w:b w:val="1"/>
          <w:bCs w:val="1"/>
          <w:color w:val="auto"/>
        </w:rPr>
      </w:pPr>
      <w:r>
        <w:rPr>
          <w:rFonts w:ascii="Arial" w:cs="Arial" w:eastAsia="Arial" w:hAnsi="Arial"/>
          <w:sz w:val="19"/>
          <w:szCs w:val="19"/>
          <w:b w:val="1"/>
          <w:bCs w:val="1"/>
          <w:color w:val="auto"/>
        </w:rPr>
        <w:t>Proprietary Information Obligations</w:t>
      </w:r>
      <w:r>
        <w:rPr>
          <w:rFonts w:ascii="Arial" w:cs="Arial" w:eastAsia="Arial" w:hAnsi="Arial"/>
          <w:sz w:val="19"/>
          <w:szCs w:val="19"/>
          <w:color w:val="auto"/>
        </w:rPr>
        <w:t>. You acknowledge and reaffirm your obligations under your Confidential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Invention Assignment, and Arbitration Agreement (a copy of which is attached hereto as </w:t>
      </w:r>
      <w:r>
        <w:rPr>
          <w:rFonts w:ascii="Arial" w:cs="Arial" w:eastAsia="Arial" w:hAnsi="Arial"/>
          <w:sz w:val="19"/>
          <w:szCs w:val="19"/>
          <w:u w:val="single" w:color="auto"/>
          <w:color w:val="auto"/>
        </w:rPr>
        <w:t>Exhibit D</w:t>
      </w:r>
      <w:r>
        <w:rPr>
          <w:rFonts w:ascii="Arial" w:cs="Arial" w:eastAsia="Arial" w:hAnsi="Arial"/>
          <w:sz w:val="19"/>
          <w:szCs w:val="19"/>
          <w:color w:val="auto"/>
        </w:rPr>
        <w:t>), which obligations shall continue during the Transition Period and after the Separation Date. Such obligations include, without limitation, the following: (1) you will refrain from any unauthorized use or disclosure of the Company’s Confidential Information or materials, unless otherwise permitted by applicable law; and (2) for a period of twelve (12) months after the Separation Date, you will not use unlawful means, including the use of Confidential Information, to directly or indirectly solicit any of the Company’s employees to leave their employment with the Company. Nothing in this Agreement or the Confidential Information, Invention Assignment, and Arbitration Agreement is intended to interfere with or discourage a good faith disclosure to any governmental entity related to a suspected violation of the law. You cannot and will not be held criminally or civilly liable under any federal or state trade secret law for disclosing</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932" w:right="339" w:bottom="1440" w:gutter="0" w:footer="0" w:header="0"/>
        </w:sectPr>
      </w:pPr>
    </w:p>
    <w:bookmarkStart w:id="601" w:name="page602"/>
    <w:bookmarkEnd w:id="601"/>
    <w:p>
      <w:pPr>
        <w:jc w:val="both"/>
        <w:spacing w:after="0" w:line="246" w:lineRule="auto"/>
        <w:rPr>
          <w:sz w:val="20"/>
          <w:szCs w:val="20"/>
          <w:color w:val="auto"/>
        </w:rPr>
      </w:pPr>
      <w:r>
        <w:rPr>
          <w:rFonts w:ascii="Arial" w:cs="Arial" w:eastAsia="Arial" w:hAnsi="Arial"/>
          <w:sz w:val="20"/>
          <w:szCs w:val="20"/>
          <w:color w:val="auto"/>
        </w:rPr>
        <w:t>otherwise protected trade secrets and/or confidential or proprietary information as long as the disclosure is made in (i) confidence to a federal, state, or local government official, directly or indirectly, or to an attorney and solely for the purpose of reporting or investigating a suspected violation of law; or (ii) a complaint or other document filed in a lawsuit or other proceeding, as long as such filing is made under seal.</w:t>
      </w:r>
    </w:p>
    <w:p>
      <w:pPr>
        <w:spacing w:after="0" w:line="131" w:lineRule="exact"/>
        <w:rPr>
          <w:sz w:val="20"/>
          <w:szCs w:val="20"/>
          <w:color w:val="auto"/>
        </w:rPr>
      </w:pPr>
    </w:p>
    <w:p>
      <w:pPr>
        <w:jc w:val="both"/>
        <w:ind w:firstLine="656"/>
        <w:spacing w:after="0" w:line="305" w:lineRule="auto"/>
        <w:tabs>
          <w:tab w:leader="none" w:pos="1327" w:val="left"/>
        </w:tabs>
        <w:numPr>
          <w:ilvl w:val="0"/>
          <w:numId w:val="571"/>
        </w:numPr>
        <w:rPr>
          <w:rFonts w:ascii="Arial" w:cs="Arial" w:eastAsia="Arial" w:hAnsi="Arial"/>
          <w:sz w:val="16"/>
          <w:szCs w:val="16"/>
          <w:b w:val="1"/>
          <w:bCs w:val="1"/>
          <w:color w:val="auto"/>
        </w:rPr>
      </w:pPr>
      <w:r>
        <w:rPr>
          <w:rFonts w:ascii="Arial" w:cs="Arial" w:eastAsia="Arial" w:hAnsi="Arial"/>
          <w:sz w:val="16"/>
          <w:szCs w:val="16"/>
          <w:b w:val="1"/>
          <w:bCs w:val="1"/>
          <w:color w:val="auto"/>
        </w:rPr>
        <w:t>Release of Claims</w:t>
      </w:r>
      <w:r>
        <w:rPr>
          <w:rFonts w:ascii="Arial" w:cs="Arial" w:eastAsia="Arial" w:hAnsi="Arial"/>
          <w:sz w:val="16"/>
          <w:szCs w:val="16"/>
          <w:color w:val="auto"/>
        </w:rPr>
        <w:t>. In exchange for Transition Period, Separation Payment, Health Insurance Assistance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under this Agreement to which you would not otherwise be entitled, you hereby generally and completely release the Company and its affiliated, related, parent and subsidiary corporations, and its and their present and former directors, officers, employees, shareholders, predecessors, successors, attorneys, insurers, agents and assigns (collectively, the “Released Parties”) from any and all claims, liabilities and obligations of any kind, both known and unknown, which you may now have or have ever had against any of them, that arise out of or are in any way related to events, acts, conduct, or omissions occurring at any time prior to your signing this Release Agreement (the “Released Claims”). The Released Claims include, but are not limited to: (1) all claims arising out of or in any way related to your employment with the Company or the termination of that employment; (2) all claims related to your compensation or benefits from the Company, including salary, bonuses, commissions, vacation, expense reimbursements, severance pay, fringe benefits, stock, stock options or any other ownership interest in the Company; (3) all claims for breach of contract, wrongful termination, and breach of the implied covenant of good faith and fair dealing; (4) all tort claims, including claims for fraud, defamation, emotional distress, and discharge in violation of public policy; and (5) all federal, state, and local statutory claims, including claims for discrimination, harassment, retaliation, attorneys’ fees, and other claims arising under the federal Civil Rights Act of 1964 (as amended), the federal Americans with Disabilities Act (as amended), the federal Family and Medical Leave Act of 1993 (as amended), the federal Employee Retirement Income Security Act of 1974 (as amended), the federal Age Discrimination in Employment Act of 1967 (as amended) (the “ADEA”), the Older Workers Benefit Protection Act of 1990 (as amended), the California Fair Employment and Housing Act (as amended), and the California Family Rights Act (as amended).</w:t>
      </w:r>
    </w:p>
    <w:p>
      <w:pPr>
        <w:spacing w:after="0" w:line="326" w:lineRule="exact"/>
        <w:rPr>
          <w:rFonts w:ascii="Arial" w:cs="Arial" w:eastAsia="Arial" w:hAnsi="Arial"/>
          <w:sz w:val="16"/>
          <w:szCs w:val="16"/>
          <w:b w:val="1"/>
          <w:bCs w:val="1"/>
          <w:color w:val="auto"/>
        </w:rPr>
      </w:pPr>
    </w:p>
    <w:p>
      <w:pPr>
        <w:jc w:val="both"/>
        <w:ind w:firstLine="656"/>
        <w:spacing w:after="0" w:line="255" w:lineRule="auto"/>
        <w:tabs>
          <w:tab w:leader="none" w:pos="1129" w:val="left"/>
        </w:tabs>
        <w:numPr>
          <w:ilvl w:val="0"/>
          <w:numId w:val="571"/>
        </w:numPr>
        <w:rPr>
          <w:rFonts w:ascii="Arial" w:cs="Arial" w:eastAsia="Arial" w:hAnsi="Arial"/>
          <w:sz w:val="19"/>
          <w:szCs w:val="19"/>
          <w:b w:val="1"/>
          <w:bCs w:val="1"/>
          <w:color w:val="auto"/>
        </w:rPr>
      </w:pPr>
      <w:r>
        <w:rPr>
          <w:rFonts w:ascii="Arial" w:cs="Arial" w:eastAsia="Arial" w:hAnsi="Arial"/>
          <w:sz w:val="19"/>
          <w:szCs w:val="19"/>
          <w:b w:val="1"/>
          <w:bCs w:val="1"/>
          <w:color w:val="auto"/>
        </w:rPr>
        <w:t>ADEA Waiver and Release</w:t>
      </w:r>
      <w:r>
        <w:rPr>
          <w:rFonts w:ascii="Arial" w:cs="Arial" w:eastAsia="Arial" w:hAnsi="Arial"/>
          <w:sz w:val="19"/>
          <w:szCs w:val="19"/>
          <w:color w:val="auto"/>
        </w:rPr>
        <w:t>. You acknowledge that you are knowingly and voluntarily waiving and releasing any rights you</w:t>
      </w:r>
      <w:r>
        <w:rPr>
          <w:rFonts w:ascii="Arial" w:cs="Arial" w:eastAsia="Arial" w:hAnsi="Arial"/>
          <w:sz w:val="19"/>
          <w:szCs w:val="19"/>
          <w:b w:val="1"/>
          <w:bCs w:val="1"/>
          <w:color w:val="auto"/>
        </w:rPr>
        <w:t xml:space="preserve"> </w:t>
      </w:r>
      <w:r>
        <w:rPr>
          <w:rFonts w:ascii="Arial" w:cs="Arial" w:eastAsia="Arial" w:hAnsi="Arial"/>
          <w:sz w:val="19"/>
          <w:szCs w:val="19"/>
          <w:color w:val="auto"/>
        </w:rPr>
        <w:t>may have under the ADEA. You also acknowledge that the consideration given for the waiver and release in the preceding paragraph hereof is in addition to anything of value to which you were already entitled. You further acknowledge that you have been advised by this writing, as required by the ADEA, that: (a) your waiver and release do not apply to any rights or claims that may arise after the execution date of this Agreement; (b) you have been advised hereby that you have the right to consult with an attorney prior to executing this Agreement; (c) you have up to twenty-one (21) days after the Separation Date to consider this Agreement; (d) you have seven (7) days following the date you sign this Agreement to revoke the Agreement (the “Revocation Period”) and (e) this Agreement will not be effective until the date upon which the Revocation Period has expired, which will be the eighth day after this Agreement is signed by you, provided that the Company has also executed this Agreement by that date. If you choose to revoke this Agreement, you must deliver notice of such revocation in writing to the Company, by personal delivery or mail, to NerdWallet Inc., Attention General Counsel, 875 Stevenson Street, San Francisco, CA 94103. If mailed, the revocation must be properly addressed to the above addressee and postmarked no later than the last day of the Revocation Period.</w:t>
      </w:r>
    </w:p>
    <w:p>
      <w:pPr>
        <w:spacing w:after="0" w:line="130" w:lineRule="exact"/>
        <w:rPr>
          <w:rFonts w:ascii="Arial" w:cs="Arial" w:eastAsia="Arial" w:hAnsi="Arial"/>
          <w:sz w:val="19"/>
          <w:szCs w:val="19"/>
          <w:b w:val="1"/>
          <w:bCs w:val="1"/>
          <w:color w:val="auto"/>
        </w:rPr>
      </w:pPr>
    </w:p>
    <w:p>
      <w:pPr>
        <w:jc w:val="both"/>
        <w:ind w:firstLine="656"/>
        <w:spacing w:after="0" w:line="275" w:lineRule="auto"/>
        <w:tabs>
          <w:tab w:leader="none" w:pos="1147" w:val="left"/>
        </w:tabs>
        <w:numPr>
          <w:ilvl w:val="0"/>
          <w:numId w:val="571"/>
        </w:numPr>
        <w:rPr>
          <w:rFonts w:ascii="Arial" w:cs="Arial" w:eastAsia="Arial" w:hAnsi="Arial"/>
          <w:sz w:val="18"/>
          <w:szCs w:val="18"/>
          <w:b w:val="1"/>
          <w:bCs w:val="1"/>
          <w:color w:val="auto"/>
        </w:rPr>
      </w:pPr>
      <w:r>
        <w:rPr>
          <w:rFonts w:ascii="Arial" w:cs="Arial" w:eastAsia="Arial" w:hAnsi="Arial"/>
          <w:sz w:val="18"/>
          <w:szCs w:val="18"/>
          <w:b w:val="1"/>
          <w:bCs w:val="1"/>
          <w:color w:val="auto"/>
        </w:rPr>
        <w:t>Section 1542 Waiver</w:t>
      </w:r>
      <w:r>
        <w:rPr>
          <w:rFonts w:ascii="Arial" w:cs="Arial" w:eastAsia="Arial" w:hAnsi="Arial"/>
          <w:sz w:val="18"/>
          <w:szCs w:val="18"/>
          <w:color w:val="auto"/>
        </w:rPr>
        <w:t>. You understand that this Agreement includes a release of all known and unknown claims. In granting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this release herein, which includes claims that may be unknown to you at present, you acknowledge that you have read and understand Section 1542 of the California Civil Code which reads as follows: </w:t>
      </w:r>
      <w:r>
        <w:rPr>
          <w:rFonts w:ascii="Arial" w:cs="Arial" w:eastAsia="Arial" w:hAnsi="Arial"/>
          <w:sz w:val="18"/>
          <w:szCs w:val="18"/>
          <w:b w:val="1"/>
          <w:bCs w:val="1"/>
          <w:color w:val="auto"/>
        </w:rPr>
        <w:t>“A general release does not extend to claims which the creditor or</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releasing party does not know or suspect to exist in his or her favor at the time of executing the release and that, if known by him or her would have materially affected his or her settlement with the debtor or released party.” </w:t>
      </w:r>
      <w:r>
        <w:rPr>
          <w:rFonts w:ascii="Arial" w:cs="Arial" w:eastAsia="Arial" w:hAnsi="Arial"/>
          <w:sz w:val="18"/>
          <w:szCs w:val="18"/>
          <w:color w:val="auto"/>
        </w:rPr>
        <w:t>You hereby expressly waive and relinquish</w:t>
      </w:r>
      <w:r>
        <w:rPr>
          <w:rFonts w:ascii="Arial" w:cs="Arial" w:eastAsia="Arial" w:hAnsi="Arial"/>
          <w:sz w:val="18"/>
          <w:szCs w:val="18"/>
          <w:b w:val="1"/>
          <w:bCs w:val="1"/>
          <w:color w:val="auto"/>
        </w:rPr>
        <w:t xml:space="preserve"> </w:t>
      </w:r>
      <w:r>
        <w:rPr>
          <w:rFonts w:ascii="Arial" w:cs="Arial" w:eastAsia="Arial" w:hAnsi="Arial"/>
          <w:sz w:val="18"/>
          <w:szCs w:val="18"/>
          <w:color w:val="auto"/>
        </w:rPr>
        <w:t>all rights and benefits under that section and any law or legal principle of similar effect in any jurisdiction with respect to your release granted herein, including but not limited to the release of unknown and unsuspected claims granted in this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932" w:right="339" w:bottom="1440" w:gutter="0" w:footer="0" w:header="0"/>
        </w:sectPr>
      </w:pPr>
    </w:p>
    <w:bookmarkStart w:id="602" w:name="page603"/>
    <w:bookmarkEnd w:id="602"/>
    <w:p>
      <w:pPr>
        <w:jc w:val="both"/>
        <w:spacing w:after="0" w:line="256" w:lineRule="auto"/>
        <w:rPr>
          <w:sz w:val="20"/>
          <w:szCs w:val="20"/>
          <w:color w:val="auto"/>
        </w:rPr>
      </w:pPr>
      <w:r>
        <w:rPr>
          <w:rFonts w:ascii="Arial" w:cs="Arial" w:eastAsia="Arial" w:hAnsi="Arial"/>
          <w:sz w:val="19"/>
          <w:szCs w:val="19"/>
          <w:color w:val="auto"/>
        </w:rPr>
        <w:t>Agreement. Notwithstanding anything to the contrary in this Agreement, the following are not included in the Released Claims (the “Excluded Claims”): (i) any rights or claims for indemnification you may have pursuant to any written indemnification agreement with the Company or its affiliates to which you are a party or third party beneficiary, the charter, bylaws, or operating agreements of the Company or its affiliates, or under applicable law; (ii) any rights under the Company’s director and officer insurance policy, and any other Company insurance policy; (iii) any rights or claims which are not waivable as a matter of law, including without limitation claims under the California Fair Employment and Housing Act, to the extent such claims are not waivable as a matter of law with this release; (iv) any rights you have to file or pursue a claim for workers’ compensation or unemployment insurance; and (v) any claims for breach of this Agreement. Company hereby warrants and represents that it does not know or suspect of any misconduct by you that would or could allow it to argue it may not have to perform as contemplated under this Agreement.</w:t>
      </w:r>
    </w:p>
    <w:p>
      <w:pPr>
        <w:spacing w:after="0" w:line="124" w:lineRule="exact"/>
        <w:rPr>
          <w:sz w:val="20"/>
          <w:szCs w:val="20"/>
          <w:color w:val="auto"/>
        </w:rPr>
      </w:pPr>
    </w:p>
    <w:p>
      <w:pPr>
        <w:jc w:val="both"/>
        <w:ind w:firstLine="656"/>
        <w:spacing w:after="0" w:line="248" w:lineRule="auto"/>
        <w:tabs>
          <w:tab w:leader="none" w:pos="1219" w:val="left"/>
        </w:tabs>
        <w:numPr>
          <w:ilvl w:val="1"/>
          <w:numId w:val="572"/>
        </w:numPr>
        <w:rPr>
          <w:rFonts w:ascii="Arial" w:cs="Arial" w:eastAsia="Arial" w:hAnsi="Arial"/>
          <w:sz w:val="20"/>
          <w:szCs w:val="20"/>
          <w:b w:val="1"/>
          <w:bCs w:val="1"/>
          <w:color w:val="auto"/>
        </w:rPr>
      </w:pPr>
      <w:r>
        <w:rPr>
          <w:rFonts w:ascii="Arial" w:cs="Arial" w:eastAsia="Arial" w:hAnsi="Arial"/>
          <w:sz w:val="20"/>
          <w:szCs w:val="20"/>
          <w:b w:val="1"/>
          <w:bCs w:val="1"/>
          <w:color w:val="auto"/>
        </w:rPr>
        <w:t>Separation Date Release</w:t>
      </w:r>
      <w:r>
        <w:rPr>
          <w:rFonts w:ascii="Arial" w:cs="Arial" w:eastAsia="Arial" w:hAnsi="Arial"/>
          <w:sz w:val="20"/>
          <w:szCs w:val="20"/>
          <w:color w:val="auto"/>
        </w:rPr>
        <w:t>. In exchange for the Transition Period, Separation Payment and other consideration under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to which you would not otherwise be entitled, you must sign and return to the Company the Separation Date Release attached hereto as Exhibit A on or within twenty-one (21) days after the Separation Date and you must allow the Separation Date Release to become effective as described in Exhibit A.</w:t>
      </w:r>
    </w:p>
    <w:p>
      <w:pPr>
        <w:spacing w:after="0" w:line="129" w:lineRule="exact"/>
        <w:rPr>
          <w:rFonts w:ascii="Arial" w:cs="Arial" w:eastAsia="Arial" w:hAnsi="Arial"/>
          <w:sz w:val="20"/>
          <w:szCs w:val="20"/>
          <w:b w:val="1"/>
          <w:bCs w:val="1"/>
          <w:color w:val="auto"/>
        </w:rPr>
      </w:pPr>
    </w:p>
    <w:p>
      <w:pPr>
        <w:jc w:val="both"/>
        <w:ind w:right="20" w:firstLine="656"/>
        <w:spacing w:after="0" w:line="278" w:lineRule="auto"/>
        <w:tabs>
          <w:tab w:leader="none" w:pos="1209" w:val="left"/>
        </w:tabs>
        <w:numPr>
          <w:ilvl w:val="1"/>
          <w:numId w:val="572"/>
        </w:numPr>
        <w:rPr>
          <w:rFonts w:ascii="Arial" w:cs="Arial" w:eastAsia="Arial" w:hAnsi="Arial"/>
          <w:sz w:val="18"/>
          <w:szCs w:val="18"/>
          <w:b w:val="1"/>
          <w:bCs w:val="1"/>
          <w:color w:val="auto"/>
        </w:rPr>
      </w:pPr>
      <w:r>
        <w:rPr>
          <w:rFonts w:ascii="Arial" w:cs="Arial" w:eastAsia="Arial" w:hAnsi="Arial"/>
          <w:sz w:val="18"/>
          <w:szCs w:val="18"/>
          <w:b w:val="1"/>
          <w:bCs w:val="1"/>
          <w:color w:val="auto"/>
        </w:rPr>
        <w:t>No Interference with Rights</w:t>
      </w:r>
      <w:r>
        <w:rPr>
          <w:rFonts w:ascii="Arial" w:cs="Arial" w:eastAsia="Arial" w:hAnsi="Arial"/>
          <w:sz w:val="18"/>
          <w:szCs w:val="18"/>
          <w:color w:val="auto"/>
        </w:rPr>
        <w:t>. Nothing in this Agreement is intended to waive claims (i) for unemployment or workers’</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benefits, (ii) for vested rights under ERISA-covered employee benefit plans as applicable on the date you sign this Agreement,</w:t>
      </w:r>
    </w:p>
    <w:p>
      <w:pPr>
        <w:spacing w:after="0" w:line="1" w:lineRule="exact"/>
        <w:rPr>
          <w:rFonts w:ascii="Arial" w:cs="Arial" w:eastAsia="Arial" w:hAnsi="Arial"/>
          <w:sz w:val="18"/>
          <w:szCs w:val="18"/>
          <w:b w:val="1"/>
          <w:bCs w:val="1"/>
          <w:color w:val="auto"/>
        </w:rPr>
      </w:pPr>
    </w:p>
    <w:p>
      <w:pPr>
        <w:jc w:val="both"/>
        <w:ind w:firstLine="8"/>
        <w:spacing w:after="0" w:line="253" w:lineRule="auto"/>
        <w:tabs>
          <w:tab w:leader="none" w:pos="352" w:val="left"/>
        </w:tabs>
        <w:numPr>
          <w:ilvl w:val="0"/>
          <w:numId w:val="573"/>
        </w:numPr>
        <w:rPr>
          <w:rFonts w:ascii="Arial" w:cs="Arial" w:eastAsia="Arial" w:hAnsi="Arial"/>
          <w:sz w:val="19"/>
          <w:szCs w:val="19"/>
          <w:color w:val="auto"/>
        </w:rPr>
      </w:pPr>
      <w:r>
        <w:rPr>
          <w:rFonts w:ascii="Arial" w:cs="Arial" w:eastAsia="Arial" w:hAnsi="Arial"/>
          <w:sz w:val="19"/>
          <w:szCs w:val="19"/>
          <w:color w:val="auto"/>
        </w:rPr>
        <w:t>that may arise after you sign this Agreement, (iv) for reimbursement of expenses under the Company’s expense reimbursement policies, or (v) which cannot be released by private agreement. In addition, nothing in this Agreement including but not limited to the acknowledgments, release of claims, proprietary information obligations, non- disparagement, and confidentiality provisions, waives your right to testify in an administrative, legislative, or judicial proceeding concerning alleged criminal conduct or alleged sexual harassment on the part of the Company, or on the part of the agents or employees of the Company, when you have been required or requested to attend such a proceeding pursuant to a court order, subpoena, or written request from an administrative agency or the legislature, prevents you from communicating with, filing a charge or complaint with or from participating in an investigation or proceeding conducted by the Equal Employment Opportunity Commission, National Labor Relations Board, the Securities and Exchange Commission, or any other any federal, state or local agency charged with the enforcement of any laws, including providing documents or any other information, or limits you from exercising rights under Section 7 of the NLRA to engage in protected, concerted activity with other employees, although by signing this Agreement you are waiving rights to individual relief (including backpay, frontpay, reinstatement or other legal or equitable relief) in any charge, complaint, or lawsuit or other proceeding brought by you or on your behalf by any third party, except for any right you may have to receive a payment or award from a government agency (and not the Company) for information provided to the government agency or otherwise where prohibited.</w:t>
      </w:r>
    </w:p>
    <w:p>
      <w:pPr>
        <w:spacing w:after="0" w:line="128" w:lineRule="exact"/>
        <w:rPr>
          <w:rFonts w:ascii="Arial" w:cs="Arial" w:eastAsia="Arial" w:hAnsi="Arial"/>
          <w:sz w:val="19"/>
          <w:szCs w:val="19"/>
          <w:color w:val="auto"/>
        </w:rPr>
      </w:pPr>
    </w:p>
    <w:p>
      <w:pPr>
        <w:ind w:firstLine="656"/>
        <w:spacing w:after="0" w:line="267" w:lineRule="auto"/>
        <w:tabs>
          <w:tab w:leader="none" w:pos="1161" w:val="left"/>
        </w:tabs>
        <w:numPr>
          <w:ilvl w:val="1"/>
          <w:numId w:val="573"/>
        </w:numPr>
        <w:rPr>
          <w:rFonts w:ascii="Arial" w:cs="Arial" w:eastAsia="Arial" w:hAnsi="Arial"/>
          <w:sz w:val="20"/>
          <w:szCs w:val="20"/>
          <w:b w:val="1"/>
          <w:bCs w:val="1"/>
          <w:color w:val="auto"/>
        </w:rPr>
      </w:pPr>
      <w:r>
        <w:rPr>
          <w:rFonts w:ascii="Arial" w:cs="Arial" w:eastAsia="Arial" w:hAnsi="Arial"/>
          <w:sz w:val="20"/>
          <w:szCs w:val="20"/>
          <w:b w:val="1"/>
          <w:bCs w:val="1"/>
          <w:color w:val="auto"/>
        </w:rPr>
        <w:t>No Pending Actions or Lawsuits</w:t>
      </w:r>
      <w:r>
        <w:rPr>
          <w:rFonts w:ascii="Arial" w:cs="Arial" w:eastAsia="Arial" w:hAnsi="Arial"/>
          <w:sz w:val="20"/>
          <w:szCs w:val="20"/>
          <w:color w:val="auto"/>
        </w:rPr>
        <w:t>. You represent that you have no lawsuits, claims or actions pending in your name, or on</w:t>
      </w:r>
      <w:r>
        <w:rPr>
          <w:rFonts w:ascii="Arial" w:cs="Arial" w:eastAsia="Arial" w:hAnsi="Arial"/>
          <w:sz w:val="20"/>
          <w:szCs w:val="20"/>
          <w:b w:val="1"/>
          <w:bCs w:val="1"/>
          <w:color w:val="auto"/>
        </w:rPr>
        <w:t xml:space="preserve"> </w:t>
      </w:r>
      <w:r>
        <w:rPr>
          <w:rFonts w:ascii="Arial" w:cs="Arial" w:eastAsia="Arial" w:hAnsi="Arial"/>
          <w:sz w:val="20"/>
          <w:szCs w:val="20"/>
          <w:color w:val="auto"/>
        </w:rPr>
        <w:t>behalf of yourself or any other person or entity, against any of the Released Parties.</w:t>
      </w:r>
    </w:p>
    <w:p>
      <w:pPr>
        <w:spacing w:after="0" w:line="109" w:lineRule="exact"/>
        <w:rPr>
          <w:rFonts w:ascii="Arial" w:cs="Arial" w:eastAsia="Arial" w:hAnsi="Arial"/>
          <w:sz w:val="20"/>
          <w:szCs w:val="20"/>
          <w:b w:val="1"/>
          <w:bCs w:val="1"/>
          <w:color w:val="auto"/>
        </w:rPr>
      </w:pPr>
    </w:p>
    <w:p>
      <w:pPr>
        <w:jc w:val="both"/>
        <w:ind w:firstLine="656"/>
        <w:spacing w:after="0" w:line="275" w:lineRule="auto"/>
        <w:tabs>
          <w:tab w:leader="none" w:pos="1152" w:val="left"/>
        </w:tabs>
        <w:numPr>
          <w:ilvl w:val="1"/>
          <w:numId w:val="5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Acknowledgments and Representations. </w:t>
      </w:r>
      <w:r>
        <w:rPr>
          <w:rFonts w:ascii="Arial" w:cs="Arial" w:eastAsia="Arial" w:hAnsi="Arial"/>
          <w:sz w:val="18"/>
          <w:szCs w:val="18"/>
          <w:color w:val="auto"/>
        </w:rPr>
        <w:t>You acknowledge and represent that you have not suffered any discrimination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harassment by any of the Released Parties on account of race, gender, age, national origin, religion, marital or registered domestic partner status, sexual orientation, disability, genetic information, veteran or military status, medical condition or any other characteristic protected by applicable law. You acknowledge and represent that you have not been denied any leave, benefits or rights to which you may have been entitled under any federal, state or local law, and that you have not suffered any job-related wrongs or injuries for which you have not already reported to the Company. You have not raised a claim of sexual harassment or abuse with the Company. You have had the opportunity to provide the Company with written notice of any and all concerns regarding suspected ethical and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932" w:right="339" w:bottom="1440" w:gutter="0" w:footer="0" w:header="0"/>
        </w:sectPr>
      </w:pPr>
    </w:p>
    <w:bookmarkStart w:id="603" w:name="page604"/>
    <w:bookmarkEnd w:id="603"/>
    <w:p>
      <w:pPr>
        <w:jc w:val="both"/>
        <w:spacing w:after="0" w:line="246" w:lineRule="auto"/>
        <w:rPr>
          <w:sz w:val="20"/>
          <w:szCs w:val="20"/>
          <w:color w:val="auto"/>
        </w:rPr>
      </w:pPr>
      <w:r>
        <w:rPr>
          <w:rFonts w:ascii="Arial" w:cs="Arial" w:eastAsia="Arial" w:hAnsi="Arial"/>
          <w:sz w:val="20"/>
          <w:szCs w:val="20"/>
          <w:color w:val="auto"/>
        </w:rPr>
        <w:t>compliance issues or violations on the part of the Company. You further acknowledge and represent that your employment relationship with the Company was at-will and that you were not promised, explicitly or implicitly, employment for any specified period of time. You represent and warrant that all of the factual representations made herein, all of which induce the Company to enter into this agreement, are true in all material respects.</w:t>
      </w:r>
    </w:p>
    <w:p>
      <w:pPr>
        <w:spacing w:after="0" w:line="131" w:lineRule="exact"/>
        <w:rPr>
          <w:sz w:val="20"/>
          <w:szCs w:val="20"/>
          <w:color w:val="auto"/>
        </w:rPr>
      </w:pPr>
    </w:p>
    <w:p>
      <w:pPr>
        <w:jc w:val="both"/>
        <w:ind w:firstLine="656"/>
        <w:spacing w:after="0" w:line="270" w:lineRule="auto"/>
        <w:tabs>
          <w:tab w:leader="none" w:pos="1120" w:val="left"/>
        </w:tabs>
        <w:numPr>
          <w:ilvl w:val="0"/>
          <w:numId w:val="574"/>
        </w:numPr>
        <w:rPr>
          <w:rFonts w:ascii="Arial" w:cs="Arial" w:eastAsia="Arial" w:hAnsi="Arial"/>
          <w:sz w:val="18"/>
          <w:szCs w:val="18"/>
          <w:b w:val="1"/>
          <w:bCs w:val="1"/>
          <w:color w:val="auto"/>
        </w:rPr>
      </w:pPr>
      <w:r>
        <w:rPr>
          <w:rFonts w:ascii="Arial" w:cs="Arial" w:eastAsia="Arial" w:hAnsi="Arial"/>
          <w:sz w:val="18"/>
          <w:szCs w:val="18"/>
          <w:b w:val="1"/>
          <w:bCs w:val="1"/>
          <w:color w:val="auto"/>
        </w:rPr>
        <w:t>Nondisparagement</w:t>
      </w:r>
      <w:r>
        <w:rPr>
          <w:rFonts w:ascii="Arial" w:cs="Arial" w:eastAsia="Arial" w:hAnsi="Arial"/>
          <w:sz w:val="18"/>
          <w:szCs w:val="18"/>
          <w:color w:val="auto"/>
        </w:rPr>
        <w:t>. You agree not to disparage, defame, libel or slander the Company or its C-level executives or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Released Parties in any manner likely to be harmful to any of them or their business, business reputation or personal reputation, provided that you may respond accurately and fully to any question, inquiry or request for information when required by legal process. For purposes of this Agreement, “disparage” shall mean to make, publish or communicate any negative, belittling or derogatory statement, whether oral or written. You agree that the obligations under this Paragraph include (without limitation) refraining from publishing any disparaging remark on any blog, online social network or any other website, whether or not such comments are made anonymously. Notwithstanding the foregoing, this provision shall not in any way limit your right to file a charge with the EEOC or equivalent state or local agencies, to disclose any suspected violation of law to governmental entities, or to cooperate with investigations by any federal, state or local agencies or entities. Nothing in this Non-Disparagement paragraph or this Agreement in general shall be construed to prevent the disclosure of factual information related to any acts of sexual assault, sexual harassment, workplace harassment or discrimination based on sex, failure to prevent an act of workplace harassment or discrimination based on sex, or act of retaliation against a person for reporting harassment or discrimination based on sex or impose any restraint or limit beyond what is allowed under California Business and Professions Code Section 16600. The Company agrees that its C-level executives and Robert Lattuga will not, during the period of time while they are employees of Company, disparage, defame, libel or slander you.</w:t>
      </w:r>
    </w:p>
    <w:p>
      <w:pPr>
        <w:spacing w:after="0" w:line="115" w:lineRule="exact"/>
        <w:rPr>
          <w:rFonts w:ascii="Arial" w:cs="Arial" w:eastAsia="Arial" w:hAnsi="Arial"/>
          <w:sz w:val="18"/>
          <w:szCs w:val="18"/>
          <w:b w:val="1"/>
          <w:bCs w:val="1"/>
          <w:color w:val="auto"/>
        </w:rPr>
      </w:pPr>
    </w:p>
    <w:p>
      <w:pPr>
        <w:ind w:firstLine="656"/>
        <w:spacing w:after="0" w:line="323" w:lineRule="auto"/>
        <w:tabs>
          <w:tab w:leader="none" w:pos="1188" w:val="left"/>
        </w:tabs>
        <w:numPr>
          <w:ilvl w:val="0"/>
          <w:numId w:val="574"/>
        </w:numPr>
        <w:rPr>
          <w:rFonts w:ascii="Arial" w:cs="Arial" w:eastAsia="Arial" w:hAnsi="Arial"/>
          <w:sz w:val="18"/>
          <w:szCs w:val="18"/>
          <w:b w:val="1"/>
          <w:bCs w:val="1"/>
          <w:color w:val="auto"/>
        </w:rPr>
      </w:pPr>
      <w:r>
        <w:rPr>
          <w:rFonts w:ascii="Arial" w:cs="Arial" w:eastAsia="Arial" w:hAnsi="Arial"/>
          <w:sz w:val="18"/>
          <w:szCs w:val="18"/>
          <w:b w:val="1"/>
          <w:bCs w:val="1"/>
          <w:color w:val="auto"/>
        </w:rPr>
        <w:t>Non-Admission</w:t>
      </w:r>
      <w:r>
        <w:rPr>
          <w:rFonts w:ascii="Arial" w:cs="Arial" w:eastAsia="Arial" w:hAnsi="Arial"/>
          <w:sz w:val="18"/>
          <w:szCs w:val="18"/>
          <w:color w:val="auto"/>
        </w:rPr>
        <w:t>. This Agreement shall not be construed as an admission by any Released Party of any liability or acts of</w:t>
      </w:r>
      <w:r>
        <w:rPr>
          <w:rFonts w:ascii="Arial" w:cs="Arial" w:eastAsia="Arial" w:hAnsi="Arial"/>
          <w:sz w:val="18"/>
          <w:szCs w:val="18"/>
          <w:b w:val="1"/>
          <w:bCs w:val="1"/>
          <w:color w:val="auto"/>
        </w:rPr>
        <w:t xml:space="preserve"> </w:t>
      </w:r>
      <w:r>
        <w:rPr>
          <w:rFonts w:ascii="Arial" w:cs="Arial" w:eastAsia="Arial" w:hAnsi="Arial"/>
          <w:sz w:val="18"/>
          <w:szCs w:val="18"/>
          <w:color w:val="auto"/>
        </w:rPr>
        <w:t>wrongdoing or unlawful discrimination, nor shall it be considered to be evidence of such liability, wrongdoing, or unlawful discrimination.</w:t>
      </w:r>
    </w:p>
    <w:p>
      <w:pPr>
        <w:spacing w:after="0" w:line="63" w:lineRule="exact"/>
        <w:rPr>
          <w:rFonts w:ascii="Arial" w:cs="Arial" w:eastAsia="Arial" w:hAnsi="Arial"/>
          <w:sz w:val="18"/>
          <w:szCs w:val="18"/>
          <w:b w:val="1"/>
          <w:bCs w:val="1"/>
          <w:color w:val="auto"/>
        </w:rPr>
      </w:pPr>
    </w:p>
    <w:p>
      <w:pPr>
        <w:jc w:val="both"/>
        <w:ind w:firstLine="656"/>
        <w:spacing w:after="0" w:line="294" w:lineRule="auto"/>
        <w:tabs>
          <w:tab w:leader="none" w:pos="1115" w:val="left"/>
        </w:tabs>
        <w:numPr>
          <w:ilvl w:val="0"/>
          <w:numId w:val="574"/>
        </w:numPr>
        <w:rPr>
          <w:rFonts w:ascii="Arial" w:cs="Arial" w:eastAsia="Arial" w:hAnsi="Arial"/>
          <w:sz w:val="18"/>
          <w:szCs w:val="18"/>
          <w:b w:val="1"/>
          <w:bCs w:val="1"/>
          <w:color w:val="auto"/>
        </w:rPr>
      </w:pPr>
      <w:r>
        <w:rPr>
          <w:rFonts w:ascii="Arial" w:cs="Arial" w:eastAsia="Arial" w:hAnsi="Arial"/>
          <w:sz w:val="18"/>
          <w:szCs w:val="18"/>
          <w:b w:val="1"/>
          <w:bCs w:val="1"/>
          <w:color w:val="auto"/>
        </w:rPr>
        <w:t>Job References</w:t>
      </w:r>
      <w:r>
        <w:rPr>
          <w:rFonts w:ascii="Arial" w:cs="Arial" w:eastAsia="Arial" w:hAnsi="Arial"/>
          <w:sz w:val="18"/>
          <w:szCs w:val="18"/>
          <w:color w:val="auto"/>
        </w:rPr>
        <w:t>. You should direct any job reference inquiries to the Company at voe@nerdwallet.com. Pursuant to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policy, in response to any such inquiries, the Company will disclose only the position you held and the dates of employment. The Company will confirm your salary in response to any such inquiry only if you submit a signed request to the Company to disclose such information.</w:t>
      </w:r>
    </w:p>
    <w:p>
      <w:pPr>
        <w:spacing w:after="0" w:line="89" w:lineRule="exact"/>
        <w:rPr>
          <w:rFonts w:ascii="Arial" w:cs="Arial" w:eastAsia="Arial" w:hAnsi="Arial"/>
          <w:sz w:val="18"/>
          <w:szCs w:val="18"/>
          <w:b w:val="1"/>
          <w:bCs w:val="1"/>
          <w:color w:val="auto"/>
        </w:rPr>
      </w:pPr>
    </w:p>
    <w:p>
      <w:pPr>
        <w:ind w:right="20" w:firstLine="656"/>
        <w:spacing w:after="0" w:line="267" w:lineRule="auto"/>
        <w:tabs>
          <w:tab w:leader="none" w:pos="1201" w:val="left"/>
        </w:tabs>
        <w:numPr>
          <w:ilvl w:val="0"/>
          <w:numId w:val="57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Unemployment Benefits. </w:t>
      </w:r>
      <w:r>
        <w:rPr>
          <w:rFonts w:ascii="Arial" w:cs="Arial" w:eastAsia="Arial" w:hAnsi="Arial"/>
          <w:sz w:val="20"/>
          <w:szCs w:val="20"/>
          <w:color w:val="auto"/>
        </w:rPr>
        <w:t>You may be eligible to receive unemployment benefits after the Separation Date. Whether you</w:t>
      </w:r>
      <w:r>
        <w:rPr>
          <w:rFonts w:ascii="Arial" w:cs="Arial" w:eastAsia="Arial" w:hAnsi="Arial"/>
          <w:sz w:val="20"/>
          <w:szCs w:val="20"/>
          <w:b w:val="1"/>
          <w:bCs w:val="1"/>
          <w:color w:val="auto"/>
        </w:rPr>
        <w:t xml:space="preserve"> </w:t>
      </w:r>
      <w:r>
        <w:rPr>
          <w:rFonts w:ascii="Arial" w:cs="Arial" w:eastAsia="Arial" w:hAnsi="Arial"/>
          <w:sz w:val="20"/>
          <w:szCs w:val="20"/>
          <w:color w:val="auto"/>
        </w:rPr>
        <w:t>receive benefits will be determined by the State.</w:t>
      </w:r>
    </w:p>
    <w:p>
      <w:pPr>
        <w:spacing w:after="0" w:line="109" w:lineRule="exact"/>
        <w:rPr>
          <w:rFonts w:ascii="Arial" w:cs="Arial" w:eastAsia="Arial" w:hAnsi="Arial"/>
          <w:sz w:val="20"/>
          <w:szCs w:val="20"/>
          <w:b w:val="1"/>
          <w:bCs w:val="1"/>
          <w:color w:val="auto"/>
        </w:rPr>
      </w:pPr>
    </w:p>
    <w:p>
      <w:pPr>
        <w:jc w:val="both"/>
        <w:ind w:firstLine="656"/>
        <w:spacing w:after="0" w:line="271" w:lineRule="auto"/>
        <w:tabs>
          <w:tab w:leader="none" w:pos="1188" w:val="left"/>
        </w:tabs>
        <w:numPr>
          <w:ilvl w:val="0"/>
          <w:numId w:val="574"/>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r>
        <w:rPr>
          <w:rFonts w:ascii="Arial" w:cs="Arial" w:eastAsia="Arial" w:hAnsi="Arial"/>
          <w:sz w:val="18"/>
          <w:szCs w:val="18"/>
          <w:color w:val="auto"/>
        </w:rPr>
        <w:t>. The provisions of this Agreement will be held confidential by you;</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b w:val="1"/>
          <w:bCs w:val="1"/>
          <w:color w:val="auto"/>
        </w:rPr>
        <w:t xml:space="preserve"> </w:t>
      </w:r>
      <w:r>
        <w:rPr>
          <w:rFonts w:ascii="Arial" w:cs="Arial" w:eastAsia="Arial" w:hAnsi="Arial"/>
          <w:sz w:val="18"/>
          <w:szCs w:val="18"/>
          <w:color w:val="auto"/>
        </w:rPr>
        <w:t>that: (a) you may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disclose this Agreement to your immediate family; (b) you may disclose this Agreement in confidence to your attorneys, accountants, auditors, tax preparers, and financial advisors; and (c) you may disclose this Agreement insofar as such disclosure may be necessary to enforce its terms or as otherwise required by law. In particular, and without limitation, you agree not to disclose the terms of this Agreement to any current or former Company employee, consultant, or independent contractor. Nothing in this Confidentiality paragraph or this Agreement in general shall be construed to prevent the disclosure of factual information related to any acts of sexual assault, sexual harassment, workplace harassment or discrimination based on sex, failure to prevent an act of workplace harassment or discrimination based on sex, or act of retaliation against a person for reporting harassment or discrimination based on sex. The provisions of this Agreement will be held confidential by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Company may disclose this Agreement: (a) to legal counsel, auditors, accountants and advisors; (b) to accountants, banks, and financing sources and their advisors for the purposes of a financial transaction; (c) in connection with the enforcement of this Agreement or rights under this Agreement; (d) in connection with an actual or proposed merger, acquisition, or similar transaction for use in the due diligence investigation in connection with such transaction; (e) to</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932" w:right="339" w:bottom="1440" w:gutter="0" w:footer="0" w:header="0"/>
        </w:sectPr>
      </w:pPr>
    </w:p>
    <w:bookmarkStart w:id="604" w:name="page605"/>
    <w:bookmarkEnd w:id="604"/>
    <w:p>
      <w:pPr>
        <w:spacing w:after="0" w:line="260" w:lineRule="auto"/>
        <w:rPr>
          <w:sz w:val="20"/>
          <w:szCs w:val="20"/>
          <w:color w:val="auto"/>
        </w:rPr>
      </w:pPr>
      <w:r>
        <w:rPr>
          <w:rFonts w:ascii="Arial" w:cs="Arial" w:eastAsia="Arial" w:hAnsi="Arial"/>
          <w:sz w:val="20"/>
          <w:szCs w:val="20"/>
          <w:color w:val="auto"/>
        </w:rPr>
        <w:t>government agencies, as required by law as determined by Company counsel, including without limitation public filings to the Securities and Exchange Commission (SEC).</w:t>
      </w:r>
    </w:p>
    <w:p>
      <w:pPr>
        <w:spacing w:after="0" w:line="117" w:lineRule="exact"/>
        <w:rPr>
          <w:sz w:val="20"/>
          <w:szCs w:val="20"/>
          <w:color w:val="auto"/>
        </w:rPr>
      </w:pPr>
    </w:p>
    <w:p>
      <w:pPr>
        <w:jc w:val="both"/>
        <w:ind w:firstLine="656"/>
        <w:spacing w:after="0" w:line="270" w:lineRule="auto"/>
        <w:tabs>
          <w:tab w:leader="none" w:pos="1103" w:val="left"/>
        </w:tabs>
        <w:numPr>
          <w:ilvl w:val="0"/>
          <w:numId w:val="575"/>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Law and General Provisions</w:t>
      </w:r>
      <w:r>
        <w:rPr>
          <w:rFonts w:ascii="Arial" w:cs="Arial" w:eastAsia="Arial" w:hAnsi="Arial"/>
          <w:sz w:val="18"/>
          <w:szCs w:val="18"/>
          <w:color w:val="auto"/>
        </w:rPr>
        <w:t>. This Agreement, including Exhibit A and Exhibit B, constitutes the complete, final</w:t>
      </w:r>
      <w:r>
        <w:rPr>
          <w:rFonts w:ascii="Arial" w:cs="Arial" w:eastAsia="Arial" w:hAnsi="Arial"/>
          <w:sz w:val="18"/>
          <w:szCs w:val="18"/>
          <w:b w:val="1"/>
          <w:bCs w:val="1"/>
          <w:color w:val="auto"/>
        </w:rPr>
        <w:t xml:space="preserve"> </w:t>
      </w:r>
      <w:r>
        <w:rPr>
          <w:rFonts w:ascii="Arial" w:cs="Arial" w:eastAsia="Arial" w:hAnsi="Arial"/>
          <w:sz w:val="18"/>
          <w:szCs w:val="18"/>
          <w:color w:val="auto"/>
        </w:rPr>
        <w:t>and exclusive embodiment of the entire agreement between you and the Company with regard to its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and your and its heirs, successors and assigns. Any waiver of a breach of this Agreement shall be in writing and shall not be deemed to be a waiver of any successive breach. For purposes of construing this Agreement, any ambiguities shall not be construed against either party as the drafter. If any provision of this Agreement is determined to be invalid or unenforceable, in whole or in part, this determination will not affect any other provision of this Agreement and the provision in question will be modified so as to be rendered enforceable in a manner consistent with the intent of the parties insofar as possible. This Agreement will be deemed to have been entered into and will be construed and enforced in accordance with the laws of the State of California as applied to contracts made and to be performed entirely within California. This agreement may be executed in counterparts which shall be deemed to be part of one original, and facsimile signatures shall be equivalent to original signatures.</w:t>
      </w:r>
    </w:p>
    <w:p>
      <w:pPr>
        <w:spacing w:after="0" w:line="12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you wish to accept the offer set forth in this Agreement you must sign and return this Agreement to the Company on or within twenty-one days after the date you receive the Agreement and allow it to become effective, as described in Paragraph 13 above, and you must sign and return the Separation Date Release attached as Exhibit A to the Company on or within twenty-one (21) days after the Separation Date and allow the Separation Date Release to become effective, as described in Exhibit A.</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932" w:right="339" w:bottom="1440" w:gutter="0" w:footer="0" w:header="0"/>
        </w:sectPr>
      </w:pPr>
    </w:p>
    <w:bookmarkStart w:id="605" w:name="page606"/>
    <w:bookmarkEnd w:id="605"/>
    <w:p>
      <w:pPr>
        <w:ind w:right="4360"/>
        <w:spacing w:after="0" w:line="406" w:lineRule="auto"/>
        <w:rPr>
          <w:sz w:val="20"/>
          <w:szCs w:val="20"/>
          <w:color w:val="auto"/>
        </w:rPr>
      </w:pPr>
      <w:r>
        <w:rPr>
          <w:rFonts w:ascii="Arial" w:cs="Arial" w:eastAsia="Arial" w:hAnsi="Arial"/>
          <w:sz w:val="20"/>
          <w:szCs w:val="20"/>
          <w:color w:val="auto"/>
        </w:rPr>
        <w:t>If this Agreement is acceptable to you, please sign below and return the original to me. Laura, we wish you the best in your future endeavors. Sincerely,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w:t>
      </w:r>
      <w:r>
        <w:rPr>
          <w:rFonts w:ascii="Arial" w:cs="Arial" w:eastAsia="Arial" w:hAnsi="Arial"/>
          <w:sz w:val="16"/>
          <w:szCs w:val="16"/>
          <w:b w:val="1"/>
          <w:bCs w:val="1"/>
          <w:color w:val="auto"/>
        </w:rPr>
        <w:t>ERD</w:t>
      </w:r>
      <w:r>
        <w:rPr>
          <w:rFonts w:ascii="Arial" w:cs="Arial" w:eastAsia="Arial" w:hAnsi="Arial"/>
          <w:sz w:val="20"/>
          <w:szCs w:val="20"/>
          <w:b w:val="1"/>
          <w:bCs w:val="1"/>
          <w:color w:val="auto"/>
        </w:rPr>
        <w:t>W</w:t>
      </w:r>
      <w:r>
        <w:rPr>
          <w:rFonts w:ascii="Arial" w:cs="Arial" w:eastAsia="Arial" w:hAnsi="Arial"/>
          <w:sz w:val="16"/>
          <w:szCs w:val="16"/>
          <w:b w:val="1"/>
          <w:bCs w:val="1"/>
          <w:color w:val="auto"/>
        </w:rPr>
        <w:t>ALLET</w:t>
      </w:r>
      <w:r>
        <w:rPr>
          <w:rFonts w:ascii="Arial" w:cs="Arial" w:eastAsia="Arial" w:hAnsi="Arial"/>
          <w:sz w:val="20"/>
          <w:szCs w:val="20"/>
          <w:b w:val="1"/>
          <w:bCs w:val="1"/>
          <w:color w:val="auto"/>
        </w:rPr>
        <w:t>, I</w:t>
      </w:r>
      <w:r>
        <w:rPr>
          <w:rFonts w:ascii="Arial" w:cs="Arial" w:eastAsia="Arial" w:hAnsi="Arial"/>
          <w:sz w:val="16"/>
          <w:szCs w:val="16"/>
          <w:b w:val="1"/>
          <w:bCs w:val="1"/>
          <w:color w:val="auto"/>
        </w:rPr>
        <w:t>NC</w:t>
      </w:r>
      <w:r>
        <w:rPr>
          <w:rFonts w:ascii="Arial" w:cs="Arial" w:eastAsia="Arial" w:hAnsi="Arial"/>
          <w:sz w:val="20"/>
          <w:szCs w:val="20"/>
          <w:b w:val="1"/>
          <w:bCs w:val="1"/>
          <w:color w:val="auto"/>
        </w:rPr>
        <w:t>.</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20"/>
          <w:szCs w:val="20"/>
          <w:color w:val="auto"/>
        </w:rPr>
        <w:t>By: /s/Tim Chen</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Tim Chen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CEO</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Exhibit A </w:t>
      </w:r>
      <w:r>
        <w:rPr>
          <w:rFonts w:ascii="Arial" w:cs="Arial" w:eastAsia="Arial" w:hAnsi="Arial"/>
          <w:sz w:val="20"/>
          <w:szCs w:val="20"/>
          <w:color w:val="auto"/>
        </w:rPr>
        <w:t>– Separation Date Release</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Exhibit B </w:t>
      </w:r>
      <w:r>
        <w:rPr>
          <w:rFonts w:ascii="Arial" w:cs="Arial" w:eastAsia="Arial" w:hAnsi="Arial"/>
          <w:sz w:val="20"/>
          <w:szCs w:val="20"/>
          <w:color w:val="auto"/>
        </w:rPr>
        <w:t>– Stock Option Agreements</w:t>
      </w:r>
    </w:p>
    <w:p>
      <w:pPr>
        <w:spacing w:after="0"/>
        <w:rPr>
          <w:sz w:val="20"/>
          <w:szCs w:val="20"/>
          <w:color w:val="auto"/>
        </w:rPr>
      </w:pPr>
      <w:r>
        <w:rPr>
          <w:rFonts w:ascii="Arial" w:cs="Arial" w:eastAsia="Arial" w:hAnsi="Arial"/>
          <w:sz w:val="20"/>
          <w:szCs w:val="20"/>
          <w:b w:val="1"/>
          <w:bCs w:val="1"/>
          <w:color w:val="auto"/>
        </w:rPr>
        <w:t xml:space="preserve">Exhibit C </w:t>
      </w:r>
      <w:r>
        <w:rPr>
          <w:rFonts w:ascii="Arial" w:cs="Arial" w:eastAsia="Arial" w:hAnsi="Arial"/>
          <w:sz w:val="20"/>
          <w:szCs w:val="20"/>
          <w:color w:val="auto"/>
        </w:rPr>
        <w:t>– Equity Information</w:t>
      </w:r>
    </w:p>
    <w:p>
      <w:pPr>
        <w:spacing w:after="0"/>
        <w:rPr>
          <w:sz w:val="20"/>
          <w:szCs w:val="20"/>
          <w:color w:val="auto"/>
        </w:rPr>
      </w:pPr>
      <w:r>
        <w:rPr>
          <w:rFonts w:ascii="Arial" w:cs="Arial" w:eastAsia="Arial" w:hAnsi="Arial"/>
          <w:sz w:val="20"/>
          <w:szCs w:val="20"/>
          <w:b w:val="1"/>
          <w:bCs w:val="1"/>
          <w:color w:val="auto"/>
        </w:rPr>
        <w:t xml:space="preserve">Exhibit D </w:t>
      </w:r>
      <w:r>
        <w:rPr>
          <w:rFonts w:ascii="Arial" w:cs="Arial" w:eastAsia="Arial" w:hAnsi="Arial"/>
          <w:sz w:val="20"/>
          <w:szCs w:val="20"/>
          <w:color w:val="auto"/>
        </w:rPr>
        <w:t>– Stock Option Agreement Amendment</w:t>
      </w:r>
    </w:p>
    <w:p>
      <w:pPr>
        <w:spacing w:after="0"/>
        <w:rPr>
          <w:sz w:val="20"/>
          <w:szCs w:val="20"/>
          <w:color w:val="auto"/>
        </w:rPr>
      </w:pPr>
      <w:r>
        <w:rPr>
          <w:rFonts w:ascii="Arial" w:cs="Arial" w:eastAsia="Arial" w:hAnsi="Arial"/>
          <w:sz w:val="20"/>
          <w:szCs w:val="20"/>
          <w:b w:val="1"/>
          <w:bCs w:val="1"/>
          <w:color w:val="auto"/>
        </w:rPr>
        <w:t xml:space="preserve">Exhibit E </w:t>
      </w:r>
      <w:r>
        <w:rPr>
          <w:rFonts w:ascii="Arial" w:cs="Arial" w:eastAsia="Arial" w:hAnsi="Arial"/>
          <w:sz w:val="20"/>
          <w:szCs w:val="20"/>
          <w:color w:val="auto"/>
        </w:rPr>
        <w:t>– Option Cancellation Agreement</w:t>
      </w:r>
    </w:p>
    <w:p>
      <w:pPr>
        <w:spacing w:after="0"/>
        <w:rPr>
          <w:sz w:val="20"/>
          <w:szCs w:val="20"/>
          <w:color w:val="auto"/>
        </w:rPr>
      </w:pPr>
      <w:r>
        <w:rPr>
          <w:rFonts w:ascii="Arial" w:cs="Arial" w:eastAsia="Arial" w:hAnsi="Arial"/>
          <w:sz w:val="20"/>
          <w:szCs w:val="20"/>
          <w:b w:val="1"/>
          <w:bCs w:val="1"/>
          <w:color w:val="auto"/>
        </w:rPr>
        <w:t xml:space="preserve">Exhibit F </w:t>
      </w:r>
      <w:r>
        <w:rPr>
          <w:rFonts w:ascii="Arial" w:cs="Arial" w:eastAsia="Arial" w:hAnsi="Arial"/>
          <w:sz w:val="20"/>
          <w:szCs w:val="20"/>
          <w:color w:val="auto"/>
        </w:rPr>
        <w:t>– Confidential Information Invention Assignment and Arbitration Agreement</w:t>
      </w:r>
    </w:p>
    <w:p>
      <w:pPr>
        <w:spacing w:after="0" w:line="14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exchange for the Separation Payment and other consideration under this Agreement to which I would not otherwise be entitled, I am entering into this Agreement voluntarily, deliberately, and with all information needed to make an informed decision to enter this Agreement, and have been given the opportunity to ask any questions regarding this Agreement and given notice of and an opportunity to retain an attorney or am already represented by an attorney.</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20"/>
          <w:szCs w:val="20"/>
          <w:color w:val="auto"/>
        </w:rPr>
        <w:t>DocuSigned by:</w:t>
      </w:r>
    </w:p>
    <w:p>
      <w:pPr>
        <w:spacing w:after="0" w:line="304" w:lineRule="exact"/>
        <w:rPr>
          <w:sz w:val="20"/>
          <w:szCs w:val="20"/>
          <w:color w:val="auto"/>
        </w:rPr>
      </w:pPr>
    </w:p>
    <w:p>
      <w:pPr>
        <w:ind w:left="20"/>
        <w:spacing w:after="0"/>
        <w:tabs>
          <w:tab w:leader="none" w:pos="6560" w:val="left"/>
          <w:tab w:leader="none" w:pos="7560" w:val="left"/>
        </w:tabs>
        <w:rPr>
          <w:sz w:val="20"/>
          <w:szCs w:val="20"/>
          <w:color w:val="auto"/>
        </w:rPr>
      </w:pPr>
      <w:r>
        <w:rPr>
          <w:rFonts w:ascii="Arial" w:cs="Arial" w:eastAsia="Arial" w:hAnsi="Arial"/>
          <w:sz w:val="20"/>
          <w:szCs w:val="20"/>
          <w:color w:val="auto"/>
        </w:rPr>
        <w:t>/s/ Laura Onopchenko</w:t>
      </w:r>
      <w:r>
        <w:rPr>
          <w:sz w:val="20"/>
          <w:szCs w:val="20"/>
          <w:color w:val="auto"/>
        </w:rPr>
        <w:tab/>
      </w:r>
      <w:r>
        <w:rPr>
          <w:rFonts w:ascii="Arial" w:cs="Arial" w:eastAsia="Arial" w:hAnsi="Arial"/>
          <w:sz w:val="20"/>
          <w:szCs w:val="20"/>
          <w:b w:val="1"/>
          <w:bCs w:val="1"/>
          <w:color w:val="auto"/>
        </w:rPr>
        <w:t>DATE:</w:t>
      </w:r>
      <w:r>
        <w:rPr>
          <w:sz w:val="20"/>
          <w:szCs w:val="20"/>
          <w:color w:val="auto"/>
        </w:rPr>
        <w:tab/>
      </w:r>
      <w:r>
        <w:rPr>
          <w:rFonts w:ascii="Arial" w:cs="Arial" w:eastAsia="Arial" w:hAnsi="Arial"/>
          <w:sz w:val="16"/>
          <w:szCs w:val="16"/>
          <w:color w:val="auto"/>
        </w:rPr>
        <w:t>4/3/2020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666940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669405" cy="825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Laura Onopchenko</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932" w:right="339" w:bottom="1440" w:gutter="0" w:footer="0" w:header="0"/>
        </w:sectPr>
      </w:pPr>
    </w:p>
    <w:bookmarkStart w:id="606" w:name="page607"/>
    <w:bookmarkEnd w:id="606"/>
    <w:p>
      <w:pPr>
        <w:jc w:val="center"/>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6"/>
          <w:szCs w:val="16"/>
          <w:b w:val="1"/>
          <w:bCs w:val="1"/>
          <w:color w:val="auto"/>
        </w:rPr>
        <w:t>XHIBIT</w:t>
      </w:r>
      <w:r>
        <w:rPr>
          <w:rFonts w:ascii="Arial" w:cs="Arial" w:eastAsia="Arial" w:hAnsi="Arial"/>
          <w:sz w:val="20"/>
          <w:szCs w:val="20"/>
          <w:b w:val="1"/>
          <w:bCs w:val="1"/>
          <w:color w:val="auto"/>
        </w:rPr>
        <w:t xml:space="preserve"> 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6"/>
          <w:szCs w:val="16"/>
          <w:b w:val="1"/>
          <w:bCs w:val="1"/>
          <w:color w:val="auto"/>
        </w:rPr>
        <w:t>MENDMENT TO</w:t>
      </w:r>
      <w:r>
        <w:rPr>
          <w:rFonts w:ascii="Arial" w:cs="Arial" w:eastAsia="Arial" w:hAnsi="Arial"/>
          <w:sz w:val="20"/>
          <w:szCs w:val="20"/>
          <w:b w:val="1"/>
          <w:bCs w:val="1"/>
          <w:color w:val="auto"/>
        </w:rPr>
        <w:t xml:space="preserve"> S</w:t>
      </w:r>
      <w:r>
        <w:rPr>
          <w:rFonts w:ascii="Arial" w:cs="Arial" w:eastAsia="Arial" w:hAnsi="Arial"/>
          <w:sz w:val="16"/>
          <w:szCs w:val="16"/>
          <w:b w:val="1"/>
          <w:bCs w:val="1"/>
          <w:color w:val="auto"/>
        </w:rPr>
        <w:t>TOCK</w:t>
      </w:r>
      <w:r>
        <w:rPr>
          <w:rFonts w:ascii="Arial" w:cs="Arial" w:eastAsia="Arial" w:hAnsi="Arial"/>
          <w:sz w:val="20"/>
          <w:szCs w:val="20"/>
          <w:b w:val="1"/>
          <w:bCs w:val="1"/>
          <w:color w:val="auto"/>
        </w:rPr>
        <w:t xml:space="preserve"> O</w:t>
      </w:r>
      <w:r>
        <w:rPr>
          <w:rFonts w:ascii="Arial" w:cs="Arial" w:eastAsia="Arial" w:hAnsi="Arial"/>
          <w:sz w:val="16"/>
          <w:szCs w:val="16"/>
          <w:b w:val="1"/>
          <w:bCs w:val="1"/>
          <w:color w:val="auto"/>
        </w:rPr>
        <w:t>PTION</w:t>
      </w:r>
      <w:r>
        <w:rPr>
          <w:rFonts w:ascii="Arial" w:cs="Arial" w:eastAsia="Arial" w:hAnsi="Arial"/>
          <w:sz w:val="20"/>
          <w:szCs w:val="20"/>
          <w:b w:val="1"/>
          <w:bCs w:val="1"/>
          <w:color w:val="auto"/>
        </w:rPr>
        <w:t xml:space="preserve"> A</w:t>
      </w:r>
      <w:r>
        <w:rPr>
          <w:rFonts w:ascii="Arial" w:cs="Arial" w:eastAsia="Arial" w:hAnsi="Arial"/>
          <w:sz w:val="16"/>
          <w:szCs w:val="16"/>
          <w:b w:val="1"/>
          <w:bCs w:val="1"/>
          <w:color w:val="auto"/>
        </w:rPr>
        <w:t>GREEMENT</w:t>
      </w:r>
    </w:p>
    <w:p>
      <w:pPr>
        <w:spacing w:after="0" w:line="16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This Amendment to Stock Option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is made and entered into between NerdWallet,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Laura Onopchenko (the “</w:t>
      </w:r>
      <w:r>
        <w:rPr>
          <w:rFonts w:ascii="Arial" w:cs="Arial" w:eastAsia="Arial" w:hAnsi="Arial"/>
          <w:sz w:val="18"/>
          <w:szCs w:val="18"/>
          <w:u w:val="single" w:color="auto"/>
          <w:color w:val="auto"/>
        </w:rPr>
        <w:t>Participant</w:t>
      </w:r>
      <w:r>
        <w:rPr>
          <w:rFonts w:ascii="Arial" w:cs="Arial" w:eastAsia="Arial" w:hAnsi="Arial"/>
          <w:sz w:val="18"/>
          <w:szCs w:val="18"/>
          <w:color w:val="auto"/>
        </w:rPr>
        <w:t>”). Capitalized terms used in this Amendment but not otherwise defined in this Amendment shall the meanings ascribed to such terms in the respective Award Agreements (as defined below).</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w:t>
      </w:r>
      <w:r>
        <w:rPr>
          <w:rFonts w:ascii="Arial" w:cs="Arial" w:eastAsia="Arial" w:hAnsi="Arial"/>
          <w:sz w:val="16"/>
          <w:szCs w:val="16"/>
          <w:color w:val="auto"/>
        </w:rPr>
        <w:t>HEREAS</w:t>
      </w:r>
      <w:r>
        <w:rPr>
          <w:rFonts w:ascii="Arial" w:cs="Arial" w:eastAsia="Arial" w:hAnsi="Arial"/>
          <w:sz w:val="20"/>
          <w:szCs w:val="20"/>
          <w:color w:val="auto"/>
        </w:rPr>
        <w:t>, Company and Participant are parties to those certain Stock Option Agreements under the NerdWallet, Inc. 2012 Equity Incentive Plan (together, the “</w:t>
      </w:r>
      <w:r>
        <w:rPr>
          <w:rFonts w:ascii="Arial" w:cs="Arial" w:eastAsia="Arial" w:hAnsi="Arial"/>
          <w:sz w:val="20"/>
          <w:szCs w:val="20"/>
          <w:u w:val="single" w:color="auto"/>
          <w:color w:val="auto"/>
        </w:rPr>
        <w:t>Award Agreements</w:t>
      </w:r>
      <w:r>
        <w:rPr>
          <w:rFonts w:ascii="Arial" w:cs="Arial" w:eastAsia="Arial" w:hAnsi="Arial"/>
          <w:sz w:val="20"/>
          <w:szCs w:val="20"/>
          <w:color w:val="auto"/>
        </w:rPr>
        <w:t>”), pursuant to which the Company has granted the Participant the non-qualified stock options (“</w:t>
      </w:r>
      <w:r>
        <w:rPr>
          <w:rFonts w:ascii="Arial" w:cs="Arial" w:eastAsia="Arial" w:hAnsi="Arial"/>
          <w:sz w:val="20"/>
          <w:szCs w:val="20"/>
          <w:u w:val="single" w:color="auto"/>
          <w:color w:val="auto"/>
        </w:rPr>
        <w:t>NQSOs</w:t>
      </w:r>
      <w:r>
        <w:rPr>
          <w:rFonts w:ascii="Arial" w:cs="Arial" w:eastAsia="Arial" w:hAnsi="Arial"/>
          <w:sz w:val="20"/>
          <w:szCs w:val="20"/>
          <w:color w:val="auto"/>
        </w:rPr>
        <w:t>”) and incentive stock options (“</w:t>
      </w:r>
      <w:r>
        <w:rPr>
          <w:rFonts w:ascii="Arial" w:cs="Arial" w:eastAsia="Arial" w:hAnsi="Arial"/>
          <w:sz w:val="20"/>
          <w:szCs w:val="20"/>
          <w:u w:val="single" w:color="auto"/>
          <w:color w:val="auto"/>
        </w:rPr>
        <w:t>ISOs</w:t>
      </w:r>
      <w:r>
        <w:rPr>
          <w:rFonts w:ascii="Arial" w:cs="Arial" w:eastAsia="Arial" w:hAnsi="Arial"/>
          <w:sz w:val="20"/>
          <w:szCs w:val="20"/>
          <w:color w:val="auto"/>
        </w:rPr>
        <w:t xml:space="preserve">”) respectively set forth on </w:t>
      </w:r>
      <w:r>
        <w:rPr>
          <w:rFonts w:ascii="Arial" w:cs="Arial" w:eastAsia="Arial" w:hAnsi="Arial"/>
          <w:sz w:val="20"/>
          <w:szCs w:val="20"/>
          <w:u w:val="single" w:color="auto"/>
          <w:color w:val="auto"/>
        </w:rPr>
        <w:t>Appendix A</w:t>
      </w:r>
      <w:r>
        <w:rPr>
          <w:rFonts w:ascii="Arial" w:cs="Arial" w:eastAsia="Arial" w:hAnsi="Arial"/>
          <w:sz w:val="20"/>
          <w:szCs w:val="20"/>
          <w:color w:val="auto"/>
        </w:rPr>
        <w:t xml:space="preserve"> hereto;</w:t>
      </w:r>
    </w:p>
    <w:p>
      <w:pPr>
        <w:spacing w:after="0" w:line="132" w:lineRule="exact"/>
        <w:rPr>
          <w:sz w:val="20"/>
          <w:szCs w:val="20"/>
          <w:color w:val="auto"/>
        </w:rPr>
      </w:pPr>
    </w:p>
    <w:p>
      <w:pPr>
        <w:ind w:right="780" w:firstLine="648"/>
        <w:spacing w:after="0" w:line="260" w:lineRule="auto"/>
        <w:rPr>
          <w:sz w:val="20"/>
          <w:szCs w:val="20"/>
          <w:color w:val="auto"/>
        </w:rPr>
      </w:pPr>
      <w:r>
        <w:rPr>
          <w:rFonts w:ascii="Arial" w:cs="Arial" w:eastAsia="Arial" w:hAnsi="Arial"/>
          <w:sz w:val="20"/>
          <w:szCs w:val="20"/>
          <w:color w:val="auto"/>
        </w:rPr>
        <w:t>W</w:t>
      </w:r>
      <w:r>
        <w:rPr>
          <w:rFonts w:ascii="Arial" w:cs="Arial" w:eastAsia="Arial" w:hAnsi="Arial"/>
          <w:sz w:val="16"/>
          <w:szCs w:val="16"/>
          <w:color w:val="auto"/>
        </w:rPr>
        <w:t>HEREAS</w:t>
      </w:r>
      <w:r>
        <w:rPr>
          <w:rFonts w:ascii="Arial" w:cs="Arial" w:eastAsia="Arial" w:hAnsi="Arial"/>
          <w:sz w:val="20"/>
          <w:szCs w:val="20"/>
          <w:color w:val="auto"/>
        </w:rPr>
        <w:t xml:space="preserve">, Participant’s options ceased vesting on April 1, 2020 and as shown on </w:t>
      </w:r>
      <w:r>
        <w:rPr>
          <w:rFonts w:ascii="Arial" w:cs="Arial" w:eastAsia="Arial" w:hAnsi="Arial"/>
          <w:sz w:val="20"/>
          <w:szCs w:val="20"/>
          <w:u w:val="single" w:color="auto"/>
          <w:color w:val="auto"/>
        </w:rPr>
        <w:t>Appendix A</w:t>
      </w:r>
      <w:r>
        <w:rPr>
          <w:rFonts w:ascii="Arial" w:cs="Arial" w:eastAsia="Arial" w:hAnsi="Arial"/>
          <w:sz w:val="20"/>
          <w:szCs w:val="20"/>
          <w:color w:val="auto"/>
        </w:rPr>
        <w:t>, Participant holds vested and unexercised stock options as of April 1, 2020 (the “</w:t>
      </w:r>
      <w:r>
        <w:rPr>
          <w:rFonts w:ascii="Arial" w:cs="Arial" w:eastAsia="Arial" w:hAnsi="Arial"/>
          <w:sz w:val="20"/>
          <w:szCs w:val="20"/>
          <w:u w:val="single" w:color="auto"/>
          <w:color w:val="auto"/>
        </w:rPr>
        <w:t>Vested Options</w:t>
      </w:r>
      <w:r>
        <w:rPr>
          <w:rFonts w:ascii="Arial" w:cs="Arial" w:eastAsia="Arial" w:hAnsi="Arial"/>
          <w:sz w:val="20"/>
          <w:szCs w:val="20"/>
          <w:color w:val="auto"/>
        </w:rPr>
        <w:t>”); and</w:t>
      </w:r>
    </w:p>
    <w:p>
      <w:pPr>
        <w:spacing w:after="0" w:line="123"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W</w:t>
      </w:r>
      <w:r>
        <w:rPr>
          <w:rFonts w:ascii="Arial" w:cs="Arial" w:eastAsia="Arial" w:hAnsi="Arial"/>
          <w:sz w:val="15"/>
          <w:szCs w:val="15"/>
          <w:color w:val="auto"/>
        </w:rPr>
        <w:t>HEREAS</w:t>
      </w:r>
      <w:r>
        <w:rPr>
          <w:rFonts w:ascii="Arial" w:cs="Arial" w:eastAsia="Arial" w:hAnsi="Arial"/>
          <w:sz w:val="19"/>
          <w:szCs w:val="19"/>
          <w:color w:val="auto"/>
        </w:rPr>
        <w:t>, in connection with the Separation Agreement to which this Amendment is attached (the “</w:t>
      </w:r>
      <w:r>
        <w:rPr>
          <w:rFonts w:ascii="Arial" w:cs="Arial" w:eastAsia="Arial" w:hAnsi="Arial"/>
          <w:sz w:val="19"/>
          <w:szCs w:val="19"/>
          <w:u w:val="single" w:color="auto"/>
          <w:color w:val="auto"/>
        </w:rPr>
        <w:t>Separation Agreement</w:t>
      </w:r>
      <w:r>
        <w:rPr>
          <w:rFonts w:ascii="Arial" w:cs="Arial" w:eastAsia="Arial" w:hAnsi="Arial"/>
          <w:sz w:val="19"/>
          <w:szCs w:val="19"/>
          <w:color w:val="auto"/>
        </w:rPr>
        <w:t>”), the Company and Participant desire to modify the post-termination exercise period of the Vested Options as set forth herein.</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w:t>
      </w:r>
      <w:r>
        <w:rPr>
          <w:rFonts w:ascii="Arial" w:cs="Arial" w:eastAsia="Arial" w:hAnsi="Arial"/>
          <w:sz w:val="16"/>
          <w:szCs w:val="16"/>
          <w:color w:val="auto"/>
        </w:rPr>
        <w:t>OW</w:t>
      </w:r>
      <w:r>
        <w:rPr>
          <w:rFonts w:ascii="Arial" w:cs="Arial" w:eastAsia="Arial" w:hAnsi="Arial"/>
          <w:sz w:val="20"/>
          <w:szCs w:val="20"/>
          <w:color w:val="auto"/>
        </w:rPr>
        <w:t>, T</w:t>
      </w:r>
      <w:r>
        <w:rPr>
          <w:rFonts w:ascii="Arial" w:cs="Arial" w:eastAsia="Arial" w:hAnsi="Arial"/>
          <w:sz w:val="16"/>
          <w:szCs w:val="16"/>
          <w:color w:val="auto"/>
        </w:rPr>
        <w:t>HEREFORE</w:t>
      </w:r>
      <w:r>
        <w:rPr>
          <w:rFonts w:ascii="Arial" w:cs="Arial" w:eastAsia="Arial" w:hAnsi="Arial"/>
          <w:sz w:val="20"/>
          <w:szCs w:val="20"/>
          <w:color w:val="auto"/>
        </w:rPr>
        <w:t>, the parties hereto hereby agree to amend each respective Award Agreement as follows:</w:t>
      </w:r>
    </w:p>
    <w:p>
      <w:pPr>
        <w:spacing w:after="0" w:line="162" w:lineRule="exact"/>
        <w:rPr>
          <w:sz w:val="20"/>
          <w:szCs w:val="20"/>
          <w:color w:val="auto"/>
        </w:rPr>
      </w:pPr>
    </w:p>
    <w:p>
      <w:pPr>
        <w:ind w:left="360" w:hanging="352"/>
        <w:spacing w:after="0"/>
        <w:tabs>
          <w:tab w:leader="none" w:pos="360" w:val="left"/>
        </w:tabs>
        <w:numPr>
          <w:ilvl w:val="0"/>
          <w:numId w:val="576"/>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firstLine="1304"/>
        <w:spacing w:after="0" w:line="260" w:lineRule="auto"/>
        <w:tabs>
          <w:tab w:leader="none" w:pos="1730" w:val="left"/>
        </w:tabs>
        <w:numPr>
          <w:ilvl w:val="1"/>
          <w:numId w:val="576"/>
        </w:numPr>
        <w:rPr>
          <w:rFonts w:ascii="Arial" w:cs="Arial" w:eastAsia="Arial" w:hAnsi="Arial"/>
          <w:sz w:val="20"/>
          <w:szCs w:val="20"/>
          <w:color w:val="auto"/>
        </w:rPr>
      </w:pPr>
      <w:r>
        <w:rPr>
          <w:rFonts w:ascii="Arial" w:cs="Arial" w:eastAsia="Arial" w:hAnsi="Arial"/>
          <w:sz w:val="20"/>
          <w:szCs w:val="20"/>
          <w:color w:val="auto"/>
        </w:rPr>
        <w:t>The section of the Award Agreements for the Vested Options titled “Termination Period” shall be deleted in its entirety and replaced with the following:</w:t>
      </w:r>
    </w:p>
    <w:p>
      <w:pPr>
        <w:spacing w:after="0" w:line="123" w:lineRule="exact"/>
        <w:rPr>
          <w:sz w:val="20"/>
          <w:szCs w:val="20"/>
          <w:color w:val="auto"/>
        </w:rPr>
      </w:pPr>
    </w:p>
    <w:p>
      <w:pPr>
        <w:ind w:left="660" w:right="660"/>
        <w:spacing w:after="0" w:line="260" w:lineRule="auto"/>
        <w:rPr>
          <w:sz w:val="20"/>
          <w:szCs w:val="20"/>
          <w:color w:val="auto"/>
        </w:rPr>
      </w:pPr>
      <w:r>
        <w:rPr>
          <w:rFonts w:ascii="Arial" w:cs="Arial" w:eastAsia="Arial" w:hAnsi="Arial"/>
          <w:sz w:val="20"/>
          <w:szCs w:val="20"/>
          <w:color w:val="auto"/>
        </w:rPr>
        <w:t>“This Option shall be exercisable until the earlier of (i) April 1, 2022 or (ii) the term of the Option set forth above; provided that this Option may be subject to earlier termination as provided in Section 13 of the Plan.”</w:t>
      </w:r>
    </w:p>
    <w:p>
      <w:pPr>
        <w:spacing w:after="0" w:line="123" w:lineRule="exact"/>
        <w:rPr>
          <w:sz w:val="20"/>
          <w:szCs w:val="20"/>
          <w:color w:val="auto"/>
        </w:rPr>
      </w:pPr>
    </w:p>
    <w:p>
      <w:pPr>
        <w:ind w:left="360" w:hanging="352"/>
        <w:spacing w:after="0"/>
        <w:tabs>
          <w:tab w:leader="none" w:pos="360" w:val="left"/>
        </w:tabs>
        <w:numPr>
          <w:ilvl w:val="0"/>
          <w:numId w:val="577"/>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1304"/>
        <w:spacing w:after="0" w:line="250" w:lineRule="auto"/>
        <w:tabs>
          <w:tab w:leader="none" w:pos="1784" w:val="left"/>
        </w:tabs>
        <w:numPr>
          <w:ilvl w:val="1"/>
          <w:numId w:val="577"/>
        </w:numPr>
        <w:rPr>
          <w:rFonts w:ascii="Arial" w:cs="Arial" w:eastAsia="Arial" w:hAnsi="Arial"/>
          <w:sz w:val="20"/>
          <w:szCs w:val="20"/>
          <w:color w:val="auto"/>
        </w:rPr>
      </w:pPr>
      <w:r>
        <w:rPr>
          <w:rFonts w:ascii="Arial" w:cs="Arial" w:eastAsia="Arial" w:hAnsi="Arial"/>
          <w:sz w:val="20"/>
          <w:szCs w:val="20"/>
          <w:color w:val="auto"/>
        </w:rPr>
        <w:t>This Amendment shall go into effect upon execution by both the Company and the Participant. This Amendment is made a part of, and is incorporated into the Award Agreements and is subject to all provisions therein (as amended hereby), including the amendments, waivers, notices, governing law and entire agreement provisions thereof.</w:t>
      </w:r>
    </w:p>
    <w:p>
      <w:pPr>
        <w:spacing w:after="0" w:line="131" w:lineRule="exact"/>
        <w:rPr>
          <w:rFonts w:ascii="Arial" w:cs="Arial" w:eastAsia="Arial" w:hAnsi="Arial"/>
          <w:sz w:val="20"/>
          <w:szCs w:val="20"/>
          <w:color w:val="auto"/>
        </w:rPr>
      </w:pPr>
    </w:p>
    <w:p>
      <w:pPr>
        <w:jc w:val="both"/>
        <w:ind w:firstLine="1304"/>
        <w:spacing w:after="0" w:line="269" w:lineRule="auto"/>
        <w:tabs>
          <w:tab w:leader="none" w:pos="1728" w:val="left"/>
        </w:tabs>
        <w:numPr>
          <w:ilvl w:val="1"/>
          <w:numId w:val="577"/>
        </w:numPr>
        <w:rPr>
          <w:rFonts w:ascii="Arial" w:cs="Arial" w:eastAsia="Arial" w:hAnsi="Arial"/>
          <w:sz w:val="19"/>
          <w:szCs w:val="19"/>
          <w:color w:val="auto"/>
        </w:rPr>
      </w:pPr>
      <w:r>
        <w:rPr>
          <w:rFonts w:ascii="Arial" w:cs="Arial" w:eastAsia="Arial" w:hAnsi="Arial"/>
          <w:sz w:val="19"/>
          <w:szCs w:val="19"/>
          <w:color w:val="auto"/>
        </w:rPr>
        <w:t>Facsimile transmission of any signed original document and/or retransmission of any signed facsimile transmission will be deemed the same as delivery of an original. This Amendment may be signed in any number of counterparts, each of which shall be an original, with the same effect as if the signatures thereto and hereto were upon the same instrument.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Company and the Participant have executed and delivered this Amendment as of the date set forth</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below.</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Date: __________________</w:t>
      </w:r>
    </w:p>
    <w:p>
      <w:pPr>
        <w:sectPr>
          <w:pgSz w:w="11900" w:h="16838" w:orient="portrait"/>
          <w:cols w:equalWidth="0" w:num="1">
            <w:col w:w="11240"/>
          </w:cols>
          <w:pgMar w:left="320" w:top="926" w:right="339" w:bottom="1440" w:gutter="0" w:footer="0" w:header="0"/>
        </w:sectPr>
      </w:pPr>
    </w:p>
    <w:bookmarkStart w:id="607" w:name="page608"/>
    <w:bookmarkEnd w:id="607"/>
    <w:p>
      <w:pPr>
        <w:ind w:left="2580"/>
        <w:spacing w:after="0"/>
        <w:rPr>
          <w:sz w:val="20"/>
          <w:szCs w:val="20"/>
          <w:color w:val="auto"/>
        </w:rPr>
      </w:pPr>
      <w:r>
        <w:rPr>
          <w:rFonts w:ascii="Arial" w:cs="Arial" w:eastAsia="Arial" w:hAnsi="Arial"/>
          <w:sz w:val="20"/>
          <w:szCs w:val="20"/>
          <w:b w:val="1"/>
          <w:bCs w:val="1"/>
          <w:color w:val="auto"/>
        </w:rPr>
        <w:t>NERDWALLET,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1625600</wp:posOffset>
            </wp:positionH>
            <wp:positionV relativeFrom="paragraph">
              <wp:posOffset>374015</wp:posOffset>
            </wp:positionV>
            <wp:extent cx="17227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2580"/>
        <w:spacing w:after="0"/>
        <w:rPr>
          <w:sz w:val="20"/>
          <w:szCs w:val="20"/>
          <w:color w:val="auto"/>
        </w:rPr>
      </w:pPr>
      <w:r>
        <w:rPr>
          <w:rFonts w:ascii="Arial" w:cs="Arial" w:eastAsia="Arial" w:hAnsi="Arial"/>
          <w:sz w:val="20"/>
          <w:szCs w:val="20"/>
          <w:color w:val="auto"/>
        </w:rPr>
        <w:t>By: Tim Chen</w:t>
      </w:r>
    </w:p>
    <w:p>
      <w:pPr>
        <w:spacing w:after="0" w:line="54" w:lineRule="exact"/>
        <w:rPr>
          <w:sz w:val="20"/>
          <w:szCs w:val="20"/>
          <w:color w:val="auto"/>
        </w:rPr>
      </w:pPr>
    </w:p>
    <w:p>
      <w:pPr>
        <w:ind w:left="2960"/>
        <w:spacing w:after="0"/>
        <w:rPr>
          <w:sz w:val="20"/>
          <w:szCs w:val="20"/>
          <w:color w:val="auto"/>
        </w:rPr>
      </w:pPr>
      <w:r>
        <w:rPr>
          <w:rFonts w:ascii="Arial" w:cs="Arial" w:eastAsia="Arial" w:hAnsi="Arial"/>
          <w:sz w:val="20"/>
          <w:szCs w:val="20"/>
          <w:color w:val="auto"/>
        </w:rPr>
        <w:t>President &amp; CEO</w:t>
      </w:r>
    </w:p>
    <w:p>
      <w:pPr>
        <w:spacing w:after="0" w:line="318"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1625600</wp:posOffset>
            </wp:positionH>
            <wp:positionV relativeFrom="paragraph">
              <wp:posOffset>374015</wp:posOffset>
            </wp:positionV>
            <wp:extent cx="17227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By: Laura Onopchenko</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019"/>
          </w:cols>
          <w:pgMar w:left="1440" w:top="1061" w:right="1440" w:bottom="1440" w:gutter="0" w:footer="0" w:header="0"/>
        </w:sectPr>
      </w:pPr>
    </w:p>
    <w:bookmarkStart w:id="608" w:name="page609"/>
    <w:bookmarkEnd w:id="608"/>
    <w:p>
      <w:pPr>
        <w:jc w:val="right"/>
        <w:spacing w:after="0"/>
        <w:rPr>
          <w:sz w:val="20"/>
          <w:szCs w:val="20"/>
          <w:color w:val="auto"/>
        </w:rPr>
      </w:pPr>
      <w:r>
        <w:rPr>
          <w:rFonts w:ascii="Arial" w:cs="Arial" w:eastAsia="Arial" w:hAnsi="Arial"/>
          <w:sz w:val="18"/>
          <w:szCs w:val="18"/>
          <w:b w:val="1"/>
          <w:bCs w:val="1"/>
          <w:color w:val="auto"/>
        </w:rPr>
        <w:t>Exhibit 10.19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285875" cy="6343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8587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color w:val="auto"/>
        </w:rPr>
        <w:t>November 26, 2020</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iGlobe Platinum Fund II Pte. Ltd.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iGlobe Platinum Fund III Limited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iGlobe Treasury Management Pte. Ltd.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 Letter Agreement re: 2020 Class A Common Stock Purchase</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16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This Letter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by and among NerdWallet,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on the one hand, and iGlobe Platinum Fund II Pte. Ltd., iGlobe Platinum Fund III Limited, and iGlobe Treasury Management Pte. Ltd., (each a “</w:t>
      </w:r>
      <w:r>
        <w:rPr>
          <w:rFonts w:ascii="Arial" w:cs="Arial" w:eastAsia="Arial" w:hAnsi="Arial"/>
          <w:sz w:val="18"/>
          <w:szCs w:val="18"/>
          <w:b w:val="1"/>
          <w:bCs w:val="1"/>
          <w:i w:val="1"/>
          <w:iCs w:val="1"/>
          <w:color w:val="auto"/>
        </w:rPr>
        <w:t>Buyer</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Buyers</w:t>
      </w:r>
      <w:r>
        <w:rPr>
          <w:rFonts w:ascii="Arial" w:cs="Arial" w:eastAsia="Arial" w:hAnsi="Arial"/>
          <w:sz w:val="18"/>
          <w:szCs w:val="18"/>
          <w:color w:val="auto"/>
        </w:rPr>
        <w:t>”) on the other hand, in connection with the Buyers’ purchase of 1,471,428 shares of the Company’s Class A Common Stock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pursuant to that certain Class A Common Stock Purchase Agreement between the Buyer and the Company, among others, dated as of November 17, 2020 (the “</w:t>
      </w:r>
      <w:r>
        <w:rPr>
          <w:rFonts w:ascii="Arial" w:cs="Arial" w:eastAsia="Arial" w:hAnsi="Arial"/>
          <w:sz w:val="18"/>
          <w:szCs w:val="18"/>
          <w:b w:val="1"/>
          <w:bCs w:val="1"/>
          <w:i w:val="1"/>
          <w:iCs w:val="1"/>
          <w:color w:val="auto"/>
        </w:rPr>
        <w:t>Purchase Agreement</w:t>
      </w:r>
      <w:r>
        <w:rPr>
          <w:rFonts w:ascii="Arial" w:cs="Arial" w:eastAsia="Arial" w:hAnsi="Arial"/>
          <w:sz w:val="18"/>
          <w:szCs w:val="18"/>
          <w:color w:val="auto"/>
        </w:rPr>
        <w:t>”), according to the following allocation:</w:t>
      </w:r>
    </w:p>
    <w:p>
      <w:pPr>
        <w:spacing w:after="0" w:line="135" w:lineRule="exact"/>
        <w:rPr>
          <w:sz w:val="20"/>
          <w:szCs w:val="20"/>
          <w:color w:val="auto"/>
        </w:rPr>
      </w:pPr>
    </w:p>
    <w:tbl>
      <w:tblPr>
        <w:tblLayout w:type="fixed"/>
        <w:tblInd w:w="1410" w:type="dxa"/>
        <w:tblCellMar>
          <w:top w:w="0" w:type="dxa"/>
          <w:left w:w="0" w:type="dxa"/>
          <w:bottom w:w="0" w:type="dxa"/>
          <w:right w:w="0" w:type="dxa"/>
        </w:tblCellMar>
      </w:tblPr>
      <w:tr>
        <w:trPr>
          <w:trHeight w:val="283"/>
        </w:trPr>
        <w:tc>
          <w:tcPr>
            <w:tcW w:w="290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22"/>
                <w:szCs w:val="22"/>
                <w:b w:val="1"/>
                <w:bCs w:val="1"/>
                <w:color w:val="212121"/>
              </w:rPr>
              <w:t>Entity</w:t>
            </w:r>
          </w:p>
        </w:tc>
        <w:tc>
          <w:tcPr>
            <w:tcW w:w="28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2"/>
                <w:szCs w:val="22"/>
                <w:b w:val="1"/>
                <w:bCs w:val="1"/>
                <w:color w:val="212121"/>
              </w:rPr>
              <w:t>Amount Paid</w:t>
            </w:r>
          </w:p>
        </w:tc>
        <w:tc>
          <w:tcPr>
            <w:tcW w:w="27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2"/>
                <w:szCs w:val="22"/>
                <w:b w:val="1"/>
                <w:bCs w:val="1"/>
                <w:color w:val="212121"/>
              </w:rPr>
              <w:t>Shares of Class A</w:t>
            </w:r>
          </w:p>
        </w:tc>
      </w:tr>
      <w:tr>
        <w:trPr>
          <w:trHeight w:val="291"/>
        </w:trPr>
        <w:tc>
          <w:tcPr>
            <w:tcW w:w="2900" w:type="dxa"/>
            <w:vAlign w:val="bottom"/>
            <w:tcBorders>
              <w:left w:val="single" w:sz="8" w:color="auto"/>
              <w:bottom w:val="single" w:sz="8" w:color="auto"/>
              <w:right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b w:val="1"/>
                <w:bCs w:val="1"/>
                <w:color w:val="212121"/>
              </w:rPr>
              <w:t>Common Stock</w:t>
            </w:r>
          </w:p>
        </w:tc>
      </w:tr>
      <w:tr>
        <w:trPr>
          <w:trHeight w:val="262"/>
        </w:trPr>
        <w:tc>
          <w:tcPr>
            <w:tcW w:w="29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212121"/>
              </w:rPr>
              <w:t>iGlobe Platinum Fund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212121"/>
              </w:rPr>
              <w:t>$2,500,001</w:t>
            </w:r>
          </w:p>
        </w:tc>
        <w:tc>
          <w:tcPr>
            <w:tcW w:w="27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212121"/>
              </w:rPr>
              <w:t>357,143</w:t>
            </w:r>
          </w:p>
        </w:tc>
      </w:tr>
      <w:tr>
        <w:trPr>
          <w:trHeight w:val="276"/>
        </w:trPr>
        <w:tc>
          <w:tcPr>
            <w:tcW w:w="29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212121"/>
              </w:rPr>
              <w:t>II Pte. Ltd.</w:t>
            </w:r>
          </w:p>
        </w:tc>
        <w:tc>
          <w:tcPr>
            <w:tcW w:w="2840" w:type="dxa"/>
            <w:vAlign w:val="bottom"/>
            <w:tcBorders>
              <w:bottom w:val="single" w:sz="8" w:color="auto"/>
              <w:right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spacing w:after="0"/>
              <w:rPr>
                <w:sz w:val="24"/>
                <w:szCs w:val="24"/>
                <w:color w:val="auto"/>
              </w:rPr>
            </w:pPr>
          </w:p>
        </w:tc>
      </w:tr>
      <w:tr>
        <w:trPr>
          <w:trHeight w:val="230"/>
        </w:trPr>
        <w:tc>
          <w:tcPr>
            <w:tcW w:w="2900" w:type="dxa"/>
            <w:vAlign w:val="bottom"/>
            <w:tcBorders>
              <w:left w:val="single" w:sz="8" w:color="auto"/>
              <w:right w:val="single" w:sz="8" w:color="auto"/>
            </w:tcBorders>
          </w:tcPr>
          <w:p>
            <w:pPr>
              <w:ind w:left="100"/>
              <w:spacing w:after="0" w:line="230" w:lineRule="exact"/>
              <w:rPr>
                <w:sz w:val="20"/>
                <w:szCs w:val="20"/>
                <w:color w:val="auto"/>
              </w:rPr>
            </w:pPr>
            <w:r>
              <w:rPr>
                <w:rFonts w:ascii="Arial" w:cs="Arial" w:eastAsia="Arial" w:hAnsi="Arial"/>
                <w:sz w:val="22"/>
                <w:szCs w:val="22"/>
                <w:color w:val="212121"/>
              </w:rPr>
              <w:t>iGlobe Platinum Fund</w:t>
            </w:r>
          </w:p>
        </w:tc>
        <w:tc>
          <w:tcPr>
            <w:tcW w:w="2840" w:type="dxa"/>
            <w:vAlign w:val="bottom"/>
            <w:tcBorders>
              <w:right w:val="single" w:sz="8" w:color="auto"/>
            </w:tcBorders>
          </w:tcPr>
          <w:p>
            <w:pPr>
              <w:ind w:left="100"/>
              <w:spacing w:after="0" w:line="230" w:lineRule="exact"/>
              <w:rPr>
                <w:sz w:val="20"/>
                <w:szCs w:val="20"/>
                <w:color w:val="auto"/>
              </w:rPr>
            </w:pPr>
            <w:r>
              <w:rPr>
                <w:rFonts w:ascii="Arial" w:cs="Arial" w:eastAsia="Arial" w:hAnsi="Arial"/>
                <w:sz w:val="22"/>
                <w:szCs w:val="22"/>
                <w:color w:val="212121"/>
              </w:rPr>
              <w:t>$5,000,002</w:t>
            </w:r>
          </w:p>
        </w:tc>
        <w:tc>
          <w:tcPr>
            <w:tcW w:w="2740" w:type="dxa"/>
            <w:vAlign w:val="bottom"/>
            <w:tcBorders>
              <w:right w:val="single" w:sz="8" w:color="auto"/>
            </w:tcBorders>
          </w:tcPr>
          <w:p>
            <w:pPr>
              <w:ind w:left="100"/>
              <w:spacing w:after="0" w:line="230" w:lineRule="exact"/>
              <w:rPr>
                <w:sz w:val="20"/>
                <w:szCs w:val="20"/>
                <w:color w:val="auto"/>
              </w:rPr>
            </w:pPr>
            <w:r>
              <w:rPr>
                <w:rFonts w:ascii="Arial" w:cs="Arial" w:eastAsia="Arial" w:hAnsi="Arial"/>
                <w:sz w:val="22"/>
                <w:szCs w:val="22"/>
                <w:color w:val="212121"/>
              </w:rPr>
              <w:t>714,286</w:t>
            </w:r>
          </w:p>
        </w:tc>
      </w:tr>
      <w:tr>
        <w:trPr>
          <w:trHeight w:val="276"/>
        </w:trPr>
        <w:tc>
          <w:tcPr>
            <w:tcW w:w="29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212121"/>
              </w:rPr>
              <w:t>III Limited</w:t>
            </w:r>
          </w:p>
        </w:tc>
        <w:tc>
          <w:tcPr>
            <w:tcW w:w="2840" w:type="dxa"/>
            <w:vAlign w:val="bottom"/>
            <w:tcBorders>
              <w:bottom w:val="single" w:sz="8" w:color="auto"/>
              <w:right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spacing w:after="0"/>
              <w:rPr>
                <w:sz w:val="24"/>
                <w:szCs w:val="24"/>
                <w:color w:val="auto"/>
              </w:rPr>
            </w:pPr>
          </w:p>
        </w:tc>
      </w:tr>
      <w:tr>
        <w:trPr>
          <w:trHeight w:val="257"/>
        </w:trPr>
        <w:tc>
          <w:tcPr>
            <w:tcW w:w="29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212121"/>
              </w:rPr>
              <w:t>iGlobe Treasury</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212121"/>
              </w:rPr>
              <w:t>$2,799,993</w:t>
            </w:r>
          </w:p>
        </w:tc>
        <w:tc>
          <w:tcPr>
            <w:tcW w:w="27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212121"/>
              </w:rPr>
              <w:t>399,999</w:t>
            </w:r>
          </w:p>
        </w:tc>
      </w:tr>
      <w:tr>
        <w:trPr>
          <w:trHeight w:val="276"/>
        </w:trPr>
        <w:tc>
          <w:tcPr>
            <w:tcW w:w="29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212121"/>
              </w:rPr>
              <w:t>Management Pte. Ltd.</w:t>
            </w:r>
          </w:p>
        </w:tc>
        <w:tc>
          <w:tcPr>
            <w:tcW w:w="2840" w:type="dxa"/>
            <w:vAlign w:val="bottom"/>
            <w:tcBorders>
              <w:bottom w:val="single" w:sz="8" w:color="auto"/>
              <w:right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609" w:name="page610"/>
    <w:bookmarkEnd w:id="609"/>
    <w:p>
      <w:pPr>
        <w:spacing w:after="0" w:line="3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and each Buyer agree as follows.</w:t>
      </w:r>
    </w:p>
    <w:p>
      <w:pPr>
        <w:spacing w:after="0" w:line="162" w:lineRule="exact"/>
        <w:rPr>
          <w:sz w:val="20"/>
          <w:szCs w:val="20"/>
          <w:color w:val="auto"/>
        </w:rPr>
      </w:pPr>
    </w:p>
    <w:p>
      <w:pPr>
        <w:ind w:right="60" w:firstLine="656"/>
        <w:spacing w:after="0" w:line="257" w:lineRule="auto"/>
        <w:tabs>
          <w:tab w:leader="none" w:pos="994" w:val="left"/>
        </w:tabs>
        <w:numPr>
          <w:ilvl w:val="0"/>
          <w:numId w:val="578"/>
        </w:numPr>
        <w:rPr>
          <w:rFonts w:ascii="Arial" w:cs="Arial" w:eastAsia="Arial" w:hAnsi="Arial"/>
          <w:sz w:val="19"/>
          <w:szCs w:val="19"/>
          <w:color w:val="auto"/>
        </w:rPr>
      </w:pPr>
      <w:r>
        <w:rPr>
          <w:rFonts w:ascii="Arial" w:cs="Arial" w:eastAsia="Arial" w:hAnsi="Arial"/>
          <w:sz w:val="19"/>
          <w:szCs w:val="19"/>
          <w:u w:val="single" w:color="auto"/>
          <w:color w:val="auto"/>
        </w:rPr>
        <w:t>Piggy-back Registration Rights</w:t>
      </w:r>
      <w:r>
        <w:rPr>
          <w:rFonts w:ascii="Arial" w:cs="Arial" w:eastAsia="Arial" w:hAnsi="Arial"/>
          <w:sz w:val="19"/>
          <w:szCs w:val="19"/>
          <w:color w:val="auto"/>
        </w:rPr>
        <w:t>. For so long as Buyer holds any Shares, such Buyer shall be afforded the rights, and subject to the terms, conditions and limitations, set forth in Section 2.2 of the Investors’ Rights Agreement between the Company and certain of its stockholders dated as of January 30, 2015, as the same may be amended from time to time (the “</w:t>
      </w:r>
      <w:r>
        <w:rPr>
          <w:rFonts w:ascii="Arial" w:cs="Arial" w:eastAsia="Arial" w:hAnsi="Arial"/>
          <w:sz w:val="19"/>
          <w:szCs w:val="19"/>
          <w:b w:val="1"/>
          <w:bCs w:val="1"/>
          <w:i w:val="1"/>
          <w:iCs w:val="1"/>
          <w:color w:val="auto"/>
        </w:rPr>
        <w:t>Rights Agreement</w:t>
      </w:r>
      <w:r>
        <w:rPr>
          <w:rFonts w:ascii="Arial" w:cs="Arial" w:eastAsia="Arial" w:hAnsi="Arial"/>
          <w:sz w:val="19"/>
          <w:szCs w:val="19"/>
          <w:color w:val="auto"/>
        </w:rPr>
        <w:t>”), such that Buyer shall be provided with notice and an opportunity to participate in a Company registration (including, for this purpose, a registration effected by the Company for stockholders other than the Holders (as defined therein)), subject to the terms, conditions and limitations set forth in the Rights Agreement, and Buyer shall be considered an “Investor” and a “Holder”, and such Buyer’s Shares (and any other shares of capital stock of the Company held by the Buyer) shall be considered “Registrable Securities” (as defined in the Rights Agreement) for purposes of Section 2.2 of the Rights Agreement (and any other sections related thereto).</w:t>
      </w:r>
    </w:p>
    <w:p>
      <w:pPr>
        <w:spacing w:after="0" w:line="126" w:lineRule="exact"/>
        <w:rPr>
          <w:rFonts w:ascii="Arial" w:cs="Arial" w:eastAsia="Arial" w:hAnsi="Arial"/>
          <w:sz w:val="19"/>
          <w:szCs w:val="19"/>
          <w:color w:val="auto"/>
        </w:rPr>
      </w:pPr>
    </w:p>
    <w:p>
      <w:pPr>
        <w:ind w:left="1000" w:hanging="344"/>
        <w:spacing w:after="0"/>
        <w:tabs>
          <w:tab w:leader="none" w:pos="1000" w:val="left"/>
        </w:tabs>
        <w:numPr>
          <w:ilvl w:val="0"/>
          <w:numId w:val="578"/>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1304"/>
        <w:spacing w:after="0" w:line="256" w:lineRule="auto"/>
        <w:tabs>
          <w:tab w:leader="none" w:pos="1740" w:val="left"/>
        </w:tabs>
        <w:numPr>
          <w:ilvl w:val="1"/>
          <w:numId w:val="578"/>
        </w:numPr>
        <w:rPr>
          <w:rFonts w:ascii="Arial" w:cs="Arial" w:eastAsia="Arial" w:hAnsi="Arial"/>
          <w:sz w:val="19"/>
          <w:szCs w:val="19"/>
          <w:color w:val="auto"/>
        </w:rPr>
      </w:pPr>
      <w:r>
        <w:rPr>
          <w:rFonts w:ascii="Arial" w:cs="Arial" w:eastAsia="Arial" w:hAnsi="Arial"/>
          <w:sz w:val="19"/>
          <w:szCs w:val="19"/>
          <w:u w:val="single" w:color="auto"/>
          <w:color w:val="auto"/>
        </w:rPr>
        <w:t>Authority.</w:t>
      </w:r>
      <w:r>
        <w:rPr>
          <w:rFonts w:ascii="Arial" w:cs="Arial" w:eastAsia="Arial" w:hAnsi="Arial"/>
          <w:sz w:val="19"/>
          <w:szCs w:val="19"/>
          <w:color w:val="auto"/>
        </w:rPr>
        <w:t xml:space="preserve"> Each of the Company and each Buyer hereby represent that it has full power and authority to enter into this Agreement and that this Agreement, when executed and delivered by such party, will constitute valid and legally binding obligation of such party, enforceable in accordance with its terms, except as limited by applicable bankruptcy, insolvency, reorganization, moratorium, fraudulent conveyance, and any other laws of general application affecting enforcement of creditors’ rights generally, and as limited by laws relating to the availability of a specific performance, injunctive relief, or other equitable remedies. The execution and delivery of this Agreement by the Company and each Buyer and the performance of the obligations of such party herein does not and will not conflict with or constitute a default under any provision of any agreement or instrument to which such party is bound, any law or regulation to which such party is subject, the organizational documents of such party, or any lien, order, judgment, decree or regulation or any other restriction of any kind by which such party is bound.</w:t>
      </w:r>
    </w:p>
    <w:p>
      <w:pPr>
        <w:spacing w:after="0" w:line="130" w:lineRule="exact"/>
        <w:rPr>
          <w:rFonts w:ascii="Arial" w:cs="Arial" w:eastAsia="Arial" w:hAnsi="Arial"/>
          <w:sz w:val="19"/>
          <w:szCs w:val="19"/>
          <w:color w:val="auto"/>
        </w:rPr>
      </w:pPr>
    </w:p>
    <w:p>
      <w:pPr>
        <w:jc w:val="both"/>
        <w:ind w:firstLine="1304"/>
        <w:spacing w:after="0" w:line="278" w:lineRule="auto"/>
        <w:tabs>
          <w:tab w:leader="none" w:pos="1751" w:val="left"/>
        </w:tabs>
        <w:numPr>
          <w:ilvl w:val="1"/>
          <w:numId w:val="578"/>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The terms and conditions of this Agreement shall inure to the benefit of and be binding upon the respective successors and assigns of the parties, provided that the Buyers’ rights hereunder are not transferable without the prior written consent of the Company, other than to Affiliates (as defined in the Rights Agreement) of the Buyer to whom Shares are transferred.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10" w:lineRule="exact"/>
        <w:rPr>
          <w:rFonts w:ascii="Arial" w:cs="Arial" w:eastAsia="Arial" w:hAnsi="Arial"/>
          <w:sz w:val="18"/>
          <w:szCs w:val="18"/>
          <w:color w:val="auto"/>
        </w:rPr>
      </w:pPr>
    </w:p>
    <w:p>
      <w:pPr>
        <w:ind w:right="20" w:firstLine="1304"/>
        <w:spacing w:after="0" w:line="260" w:lineRule="auto"/>
        <w:tabs>
          <w:tab w:leader="none" w:pos="1713" w:val="left"/>
        </w:tabs>
        <w:numPr>
          <w:ilvl w:val="1"/>
          <w:numId w:val="578"/>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xml:space="preserve"> This Agreement shall be governed by and construed under the laws of the State of Delaware as applied to agreements among Delaware residents entered into and to be performed entirely within Delaware.</w:t>
      </w:r>
    </w:p>
    <w:p>
      <w:pPr>
        <w:spacing w:after="0" w:line="122" w:lineRule="exact"/>
        <w:rPr>
          <w:rFonts w:ascii="Arial" w:cs="Arial" w:eastAsia="Arial" w:hAnsi="Arial"/>
          <w:sz w:val="20"/>
          <w:szCs w:val="20"/>
          <w:color w:val="auto"/>
        </w:rPr>
      </w:pPr>
    </w:p>
    <w:p>
      <w:pPr>
        <w:jc w:val="both"/>
        <w:ind w:firstLine="1304"/>
        <w:spacing w:after="0" w:line="246" w:lineRule="auto"/>
        <w:tabs>
          <w:tab w:leader="none" w:pos="1792" w:val="left"/>
        </w:tabs>
        <w:numPr>
          <w:ilvl w:val="1"/>
          <w:numId w:val="578"/>
        </w:numPr>
        <w:rPr>
          <w:rFonts w:ascii="Arial" w:cs="Arial" w:eastAsia="Arial" w:hAnsi="Arial"/>
          <w:sz w:val="20"/>
          <w:szCs w:val="20"/>
          <w:color w:val="auto"/>
        </w:rPr>
      </w:pPr>
      <w:r>
        <w:rPr>
          <w:rFonts w:ascii="Arial" w:cs="Arial" w:eastAsia="Arial" w:hAnsi="Arial"/>
          <w:sz w:val="20"/>
          <w:szCs w:val="20"/>
          <w:u w:val="single" w:color="auto"/>
          <w:color w:val="auto"/>
        </w:rPr>
        <w:t>Further Assurances.</w:t>
      </w:r>
      <w:r>
        <w:rPr>
          <w:rFonts w:ascii="Arial" w:cs="Arial" w:eastAsia="Arial" w:hAnsi="Arial"/>
          <w:sz w:val="20"/>
          <w:szCs w:val="20"/>
          <w:color w:val="auto"/>
        </w:rPr>
        <w:t xml:space="preserve"> At any time or from time to time after the date hereof, the parties agree to cooperate with each other, and at the request of any other party, to execute and deliver any further instruments or documents and to take all such further action as the other party may reasonably request in order to evidence or effectuate the consummation of the transactions contemplated hereby and to otherwise carry out the intent of the parties hereunder.</w:t>
      </w:r>
    </w:p>
    <w:p>
      <w:pPr>
        <w:spacing w:after="0" w:line="137" w:lineRule="exact"/>
        <w:rPr>
          <w:rFonts w:ascii="Arial" w:cs="Arial" w:eastAsia="Arial" w:hAnsi="Arial"/>
          <w:sz w:val="20"/>
          <w:szCs w:val="20"/>
          <w:color w:val="auto"/>
        </w:rPr>
      </w:pPr>
    </w:p>
    <w:p>
      <w:pPr>
        <w:jc w:val="both"/>
        <w:ind w:firstLine="1304"/>
        <w:spacing w:after="0" w:line="250" w:lineRule="auto"/>
        <w:tabs>
          <w:tab w:leader="none" w:pos="1794" w:val="left"/>
        </w:tabs>
        <w:numPr>
          <w:ilvl w:val="1"/>
          <w:numId w:val="578"/>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xml:space="preserve"> This Agreement and the documents referred to herein constitute the entire agreement among the parties and no party shall be liable or bound to any other party in any manner by any warranties, representations, or covenants except as specifically set forth herein or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610" w:name="page611"/>
    <w:bookmarkEnd w:id="610"/>
    <w:p>
      <w:pPr>
        <w:spacing w:after="0" w:line="385" w:lineRule="exact"/>
        <w:rPr>
          <w:sz w:val="20"/>
          <w:szCs w:val="20"/>
          <w:color w:val="auto"/>
        </w:rPr>
      </w:pPr>
    </w:p>
    <w:p>
      <w:pPr>
        <w:jc w:val="both"/>
        <w:ind w:right="220" w:firstLine="1304"/>
        <w:spacing w:after="0" w:line="250" w:lineRule="auto"/>
        <w:tabs>
          <w:tab w:leader="none" w:pos="1692" w:val="left"/>
        </w:tabs>
        <w:numPr>
          <w:ilvl w:val="0"/>
          <w:numId w:val="579"/>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xml:space="preserve"> Any term of this Agreement may be amended and the observance of any term of this Agreement may be waived (either generally or in a particular instance and either retroactively or prospectively), only with the written consent of the Company and each Buyer.</w:t>
      </w:r>
    </w:p>
    <w:p>
      <w:pPr>
        <w:spacing w:after="0" w:line="131" w:lineRule="exact"/>
        <w:rPr>
          <w:rFonts w:ascii="Arial" w:cs="Arial" w:eastAsia="Arial" w:hAnsi="Arial"/>
          <w:sz w:val="20"/>
          <w:szCs w:val="20"/>
          <w:color w:val="auto"/>
        </w:rPr>
      </w:pPr>
    </w:p>
    <w:p>
      <w:pPr>
        <w:jc w:val="both"/>
        <w:ind w:firstLine="1304"/>
        <w:spacing w:after="0" w:line="291" w:lineRule="auto"/>
        <w:tabs>
          <w:tab w:leader="none" w:pos="1724" w:val="left"/>
        </w:tabs>
        <w:numPr>
          <w:ilvl w:val="0"/>
          <w:numId w:val="579"/>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The failure or delay by a party to enforce any provision of this Agreement will not in any way be construed as a waiver of any such provision or prevent that party from thereafter enforcing any other provision of this Agreement. The rights granted the parties hereunder are cumulative and will not constitute a waiver of a party’s right to assert any other legal remedy available to it.</w:t>
      </w:r>
    </w:p>
    <w:p>
      <w:pPr>
        <w:spacing w:after="0" w:line="97" w:lineRule="exact"/>
        <w:rPr>
          <w:rFonts w:ascii="Arial" w:cs="Arial" w:eastAsia="Arial" w:hAnsi="Arial"/>
          <w:sz w:val="18"/>
          <w:szCs w:val="18"/>
          <w:color w:val="auto"/>
        </w:rPr>
      </w:pPr>
    </w:p>
    <w:p>
      <w:pPr>
        <w:jc w:val="both"/>
        <w:ind w:right="20" w:firstLine="1304"/>
        <w:spacing w:after="0" w:line="250" w:lineRule="auto"/>
        <w:tabs>
          <w:tab w:leader="none" w:pos="1738" w:val="left"/>
        </w:tabs>
        <w:numPr>
          <w:ilvl w:val="0"/>
          <w:numId w:val="579"/>
        </w:numPr>
        <w:rPr>
          <w:rFonts w:ascii="Arial" w:cs="Arial" w:eastAsia="Arial" w:hAnsi="Arial"/>
          <w:sz w:val="20"/>
          <w:szCs w:val="20"/>
          <w:color w:val="auto"/>
        </w:rPr>
      </w:pPr>
      <w:r>
        <w:rPr>
          <w:rFonts w:ascii="Arial" w:cs="Arial" w:eastAsia="Arial" w:hAnsi="Arial"/>
          <w:sz w:val="20"/>
          <w:szCs w:val="20"/>
          <w:u w:val="single" w:color="auto"/>
          <w:color w:val="auto"/>
        </w:rPr>
        <w:t>Conflict</w:t>
      </w:r>
      <w:r>
        <w:rPr>
          <w:rFonts w:ascii="Arial" w:cs="Arial" w:eastAsia="Arial" w:hAnsi="Arial"/>
          <w:sz w:val="20"/>
          <w:szCs w:val="20"/>
          <w:color w:val="auto"/>
        </w:rPr>
        <w:t>. Notwithstanding anything to the contrary in any other agreement between the Company, on the one hand, and the Buyers, on the other hand, in the event of any conflict between the terms of this Agreement and any other agreement to which any Buyer is a party, the terms of this Agreement shall control.</w:t>
      </w:r>
    </w:p>
    <w:p>
      <w:pPr>
        <w:spacing w:after="0" w:line="131" w:lineRule="exact"/>
        <w:rPr>
          <w:rFonts w:ascii="Arial" w:cs="Arial" w:eastAsia="Arial" w:hAnsi="Arial"/>
          <w:sz w:val="20"/>
          <w:szCs w:val="20"/>
          <w:color w:val="auto"/>
        </w:rPr>
      </w:pPr>
    </w:p>
    <w:p>
      <w:pPr>
        <w:jc w:val="both"/>
        <w:ind w:firstLine="1304"/>
        <w:spacing w:after="0" w:line="250" w:lineRule="auto"/>
        <w:tabs>
          <w:tab w:leader="none" w:pos="1789" w:val="left"/>
        </w:tabs>
        <w:numPr>
          <w:ilvl w:val="0"/>
          <w:numId w:val="579"/>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If one or more provisions of this Agreement are held to be unenforceable under applicable law, such provision shall be excluded from this Agreement and the balance of the Agreement shall be interpreted as if such provision were so excluded and shall be enforceable in accordance with its terms.</w:t>
      </w:r>
    </w:p>
    <w:p>
      <w:pPr>
        <w:spacing w:after="0" w:line="131" w:lineRule="exact"/>
        <w:rPr>
          <w:rFonts w:ascii="Arial" w:cs="Arial" w:eastAsia="Arial" w:hAnsi="Arial"/>
          <w:sz w:val="20"/>
          <w:szCs w:val="20"/>
          <w:color w:val="auto"/>
        </w:rPr>
      </w:pPr>
    </w:p>
    <w:p>
      <w:pPr>
        <w:jc w:val="both"/>
        <w:ind w:firstLine="1304"/>
        <w:spacing w:after="0" w:line="244" w:lineRule="auto"/>
        <w:tabs>
          <w:tab w:leader="none" w:pos="1721" w:val="left"/>
        </w:tabs>
        <w:numPr>
          <w:ilvl w:val="0"/>
          <w:numId w:val="579"/>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xml:space="preserve">. This Agreement may be executed and delivered by facsimile or electronic signature and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e.g., </w:t>
      </w:r>
      <w:r>
        <w:rPr>
          <w:rFonts w:ascii="Arial" w:cs="Arial" w:eastAsia="Arial" w:hAnsi="Arial"/>
          <w:sz w:val="20"/>
          <w:szCs w:val="20"/>
          <w:u w:val="single" w:color="auto"/>
          <w:color w:val="0000FF"/>
        </w:rPr>
        <w:t>www.docusign.com</w:t>
      </w:r>
      <w:r>
        <w:rPr>
          <w:rFonts w:ascii="Arial" w:cs="Arial" w:eastAsia="Arial" w:hAnsi="Arial"/>
          <w:sz w:val="20"/>
          <w:szCs w:val="20"/>
          <w:color w:val="auto"/>
        </w:rPr>
        <w:t>) or other transmission method and any counterpart so delivered shall be deemed to have been duly and validly delivered and be valid and effective for all purposes.</w:t>
      </w:r>
    </w:p>
    <w:p>
      <w:pPr>
        <w:spacing w:after="0" w:line="140" w:lineRule="exact"/>
        <w:rPr>
          <w:rFonts w:ascii="Arial" w:cs="Arial" w:eastAsia="Arial" w:hAnsi="Arial"/>
          <w:sz w:val="20"/>
          <w:szCs w:val="20"/>
          <w:color w:val="auto"/>
        </w:rPr>
      </w:pPr>
    </w:p>
    <w:p>
      <w:pPr>
        <w:ind w:left="1760" w:hanging="456"/>
        <w:spacing w:after="0"/>
        <w:tabs>
          <w:tab w:leader="none" w:pos="1760" w:val="left"/>
        </w:tabs>
        <w:numPr>
          <w:ilvl w:val="0"/>
          <w:numId w:val="57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given or made pursuant hereto shall be in writing and shall be deemed</w:t>
      </w:r>
    </w:p>
    <w:p>
      <w:pPr>
        <w:spacing w:after="0" w:line="38" w:lineRule="exact"/>
        <w:rPr>
          <w:rFonts w:ascii="Arial" w:cs="Arial" w:eastAsia="Arial" w:hAnsi="Arial"/>
          <w:sz w:val="18"/>
          <w:szCs w:val="18"/>
          <w:color w:val="auto"/>
        </w:rPr>
      </w:pPr>
    </w:p>
    <w:p>
      <w:pPr>
        <w:jc w:val="both"/>
        <w:spacing w:after="0" w:line="274" w:lineRule="auto"/>
        <w:rPr>
          <w:rFonts w:ascii="Arial" w:cs="Arial" w:eastAsia="Arial" w:hAnsi="Arial"/>
          <w:sz w:val="18"/>
          <w:szCs w:val="18"/>
          <w:color w:val="auto"/>
        </w:rPr>
      </w:pPr>
      <w:r>
        <w:rPr>
          <w:rFonts w:ascii="Arial" w:cs="Arial" w:eastAsia="Arial" w:hAnsi="Arial"/>
          <w:sz w:val="18"/>
          <w:szCs w:val="18"/>
          <w:color w:val="auto"/>
        </w:rPr>
        <w:t>effectively given: (i) upon personal delivery to the party to be notified, (ii) when sent by confirmed electronic mail if sent during normal business hours of the recipient; if not, then on the next business day, (iii) five (5) days after having been sent by registered or certified mail, return receipt requested, postage prepaid, or (iv) one (1) day after deposit with a nationally recognized overnight courier, specifying next day delivery, with written verification of receipt. All communications shall be sent to the respective parties at the addresses set forth on the signature pages attached hereto (or at such other addresses as shall be specified by notice given in accordance with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611" w:name="page612"/>
    <w:bookmarkEnd w:id="611"/>
    <w:p>
      <w:pPr>
        <w:ind w:left="640"/>
        <w:spacing w:after="0"/>
        <w:rPr>
          <w:sz w:val="20"/>
          <w:szCs w:val="20"/>
          <w:color w:val="auto"/>
        </w:rPr>
      </w:pPr>
      <w:r>
        <w:rPr>
          <w:rFonts w:ascii="Arial" w:cs="Arial" w:eastAsia="Arial" w:hAnsi="Arial"/>
          <w:sz w:val="19"/>
          <w:szCs w:val="19"/>
          <w:color w:val="auto"/>
        </w:rPr>
        <w:t>Please indicate your agreement to the terms of this Agreement by executing the acknowledgement and agreement below.</w:t>
      </w:r>
    </w:p>
    <w:p>
      <w:pPr>
        <w:spacing w:after="0" w:line="281" w:lineRule="exact"/>
        <w:rPr>
          <w:sz w:val="20"/>
          <w:szCs w:val="20"/>
          <w:color w:val="auto"/>
        </w:rPr>
      </w:pPr>
    </w:p>
    <w:p>
      <w:pPr>
        <w:ind w:left="6580"/>
        <w:spacing w:after="0"/>
        <w:rPr>
          <w:sz w:val="20"/>
          <w:szCs w:val="20"/>
          <w:color w:val="auto"/>
        </w:rPr>
      </w:pPr>
      <w:r>
        <w:rPr>
          <w:rFonts w:ascii="Arial" w:cs="Arial" w:eastAsia="Arial" w:hAnsi="Arial"/>
          <w:sz w:val="20"/>
          <w:szCs w:val="20"/>
          <w:color w:val="auto"/>
        </w:rPr>
        <w:t>Very truly yours,</w:t>
      </w:r>
    </w:p>
    <w:p>
      <w:pPr>
        <w:spacing w:after="0" w:line="200" w:lineRule="exact"/>
        <w:rPr>
          <w:sz w:val="20"/>
          <w:szCs w:val="20"/>
          <w:color w:val="auto"/>
        </w:rPr>
      </w:pPr>
    </w:p>
    <w:p>
      <w:pPr>
        <w:spacing w:after="0" w:line="388" w:lineRule="exact"/>
        <w:rPr>
          <w:sz w:val="20"/>
          <w:szCs w:val="20"/>
          <w:color w:val="auto"/>
        </w:rPr>
      </w:pPr>
    </w:p>
    <w:p>
      <w:pPr>
        <w:ind w:left="6580"/>
        <w:spacing w:after="0"/>
        <w:rPr>
          <w:sz w:val="20"/>
          <w:szCs w:val="20"/>
          <w:color w:val="auto"/>
        </w:rPr>
      </w:pPr>
      <w:r>
        <w:rPr>
          <w:rFonts w:ascii="Arial" w:cs="Arial" w:eastAsia="Arial" w:hAnsi="Arial"/>
          <w:sz w:val="20"/>
          <w:szCs w:val="20"/>
          <w:b w:val="1"/>
          <w:bCs w:val="1"/>
          <w:color w:val="auto"/>
        </w:rPr>
        <w:t>N</w:t>
      </w:r>
      <w:r>
        <w:rPr>
          <w:rFonts w:ascii="Arial" w:cs="Arial" w:eastAsia="Arial" w:hAnsi="Arial"/>
          <w:sz w:val="16"/>
          <w:szCs w:val="16"/>
          <w:b w:val="1"/>
          <w:bCs w:val="1"/>
          <w:color w:val="auto"/>
        </w:rPr>
        <w:t>ERD</w:t>
      </w:r>
      <w:r>
        <w:rPr>
          <w:rFonts w:ascii="Arial" w:cs="Arial" w:eastAsia="Arial" w:hAnsi="Arial"/>
          <w:sz w:val="20"/>
          <w:szCs w:val="20"/>
          <w:b w:val="1"/>
          <w:bCs w:val="1"/>
          <w:color w:val="auto"/>
        </w:rPr>
        <w:t>W</w:t>
      </w:r>
      <w:r>
        <w:rPr>
          <w:rFonts w:ascii="Arial" w:cs="Arial" w:eastAsia="Arial" w:hAnsi="Arial"/>
          <w:sz w:val="16"/>
          <w:szCs w:val="16"/>
          <w:b w:val="1"/>
          <w:bCs w:val="1"/>
          <w:color w:val="auto"/>
        </w:rPr>
        <w:t>ALLET</w:t>
      </w:r>
      <w:r>
        <w:rPr>
          <w:rFonts w:ascii="Arial" w:cs="Arial" w:eastAsia="Arial" w:hAnsi="Arial"/>
          <w:sz w:val="20"/>
          <w:szCs w:val="20"/>
          <w:b w:val="1"/>
          <w:bCs w:val="1"/>
          <w:color w:val="auto"/>
        </w:rPr>
        <w:t>, I</w:t>
      </w:r>
      <w:r>
        <w:rPr>
          <w:rFonts w:ascii="Arial" w:cs="Arial" w:eastAsia="Arial" w:hAnsi="Arial"/>
          <w:sz w:val="16"/>
          <w:szCs w:val="16"/>
          <w:b w:val="1"/>
          <w:bCs w:val="1"/>
          <w:color w:val="auto"/>
        </w:rPr>
        <w:t>NC</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400" w:lineRule="exact"/>
        <w:rPr>
          <w:sz w:val="20"/>
          <w:szCs w:val="20"/>
          <w:color w:val="auto"/>
        </w:rPr>
      </w:pPr>
    </w:p>
    <w:tbl>
      <w:tblPr>
        <w:tblLayout w:type="fixed"/>
        <w:tblInd w:w="6580" w:type="dxa"/>
        <w:tblCellMar>
          <w:top w:w="0" w:type="dxa"/>
          <w:left w:w="0" w:type="dxa"/>
          <w:bottom w:w="0" w:type="dxa"/>
          <w:right w:w="0" w:type="dxa"/>
        </w:tblCellMar>
      </w:tblPr>
      <w:tr>
        <w:trPr>
          <w:trHeight w:val="250"/>
        </w:trPr>
        <w:tc>
          <w:tcPr>
            <w:tcW w:w="920" w:type="dxa"/>
            <w:vAlign w:val="bottom"/>
          </w:tcPr>
          <w:p>
            <w:pPr>
              <w:spacing w:after="0"/>
              <w:rPr>
                <w:sz w:val="20"/>
                <w:szCs w:val="20"/>
                <w:color w:val="auto"/>
              </w:rPr>
            </w:pPr>
            <w:r>
              <w:rPr>
                <w:rFonts w:ascii="Arial" w:cs="Arial" w:eastAsia="Arial" w:hAnsi="Arial"/>
                <w:sz w:val="20"/>
                <w:szCs w:val="20"/>
                <w:color w:val="auto"/>
              </w:rPr>
              <w:t>By:</w:t>
            </w:r>
          </w:p>
        </w:tc>
        <w:tc>
          <w:tcPr>
            <w:tcW w:w="3720" w:type="dxa"/>
            <w:vAlign w:val="bottom"/>
          </w:tcPr>
          <w:p>
            <w:pPr>
              <w:ind w:left="20"/>
              <w:spacing w:after="0"/>
              <w:rPr>
                <w:sz w:val="20"/>
                <w:szCs w:val="20"/>
                <w:color w:val="auto"/>
              </w:rPr>
            </w:pPr>
            <w:r>
              <w:rPr>
                <w:rFonts w:ascii="Arial" w:cs="Arial" w:eastAsia="Arial" w:hAnsi="Arial"/>
                <w:sz w:val="20"/>
                <w:szCs w:val="20"/>
                <w:color w:val="auto"/>
              </w:rPr>
              <w:t>/s/ Tim Chen</w:t>
            </w:r>
          </w:p>
        </w:tc>
      </w:tr>
      <w:tr>
        <w:trPr>
          <w:trHeight w:val="23"/>
        </w:trPr>
        <w:tc>
          <w:tcPr>
            <w:tcW w:w="92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r>
        <w:trPr>
          <w:trHeight w:val="511"/>
        </w:trPr>
        <w:tc>
          <w:tcPr>
            <w:tcW w:w="920" w:type="dxa"/>
            <w:vAlign w:val="bottom"/>
          </w:tcPr>
          <w:p>
            <w:pPr>
              <w:spacing w:after="0"/>
              <w:rPr>
                <w:sz w:val="20"/>
                <w:szCs w:val="20"/>
                <w:color w:val="auto"/>
              </w:rPr>
            </w:pPr>
            <w:r>
              <w:rPr>
                <w:rFonts w:ascii="Arial" w:cs="Arial" w:eastAsia="Arial" w:hAnsi="Arial"/>
                <w:sz w:val="20"/>
                <w:szCs w:val="20"/>
                <w:color w:val="auto"/>
              </w:rPr>
              <w:t>Name:</w:t>
            </w:r>
          </w:p>
        </w:tc>
        <w:tc>
          <w:tcPr>
            <w:tcW w:w="3720" w:type="dxa"/>
            <w:vAlign w:val="bottom"/>
          </w:tcPr>
          <w:p>
            <w:pPr>
              <w:ind w:left="20"/>
              <w:spacing w:after="0"/>
              <w:rPr>
                <w:sz w:val="20"/>
                <w:szCs w:val="20"/>
                <w:color w:val="auto"/>
              </w:rPr>
            </w:pPr>
            <w:r>
              <w:rPr>
                <w:rFonts w:ascii="Arial" w:cs="Arial" w:eastAsia="Arial" w:hAnsi="Arial"/>
                <w:sz w:val="20"/>
                <w:szCs w:val="20"/>
                <w:color w:val="auto"/>
              </w:rPr>
              <w:t>Tim Chen</w:t>
            </w:r>
          </w:p>
        </w:tc>
      </w:tr>
      <w:tr>
        <w:trPr>
          <w:trHeight w:val="23"/>
        </w:trPr>
        <w:tc>
          <w:tcPr>
            <w:tcW w:w="92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r>
        <w:trPr>
          <w:trHeight w:val="470"/>
        </w:trPr>
        <w:tc>
          <w:tcPr>
            <w:tcW w:w="920" w:type="dxa"/>
            <w:vAlign w:val="bottom"/>
          </w:tcPr>
          <w:p>
            <w:pPr>
              <w:spacing w:after="0"/>
              <w:rPr>
                <w:sz w:val="20"/>
                <w:szCs w:val="20"/>
                <w:color w:val="auto"/>
              </w:rPr>
            </w:pPr>
            <w:r>
              <w:rPr>
                <w:rFonts w:ascii="Arial" w:cs="Arial" w:eastAsia="Arial" w:hAnsi="Arial"/>
                <w:sz w:val="20"/>
                <w:szCs w:val="20"/>
                <w:color w:val="auto"/>
              </w:rPr>
              <w:t>Title:</w:t>
            </w:r>
          </w:p>
        </w:tc>
        <w:tc>
          <w:tcPr>
            <w:tcW w:w="3720" w:type="dxa"/>
            <w:vAlign w:val="bottom"/>
          </w:tcPr>
          <w:p>
            <w:pPr>
              <w:ind w:left="20"/>
              <w:spacing w:after="0"/>
              <w:rPr>
                <w:sz w:val="20"/>
                <w:szCs w:val="20"/>
                <w:color w:val="auto"/>
              </w:rPr>
            </w:pPr>
            <w:r>
              <w:rPr>
                <w:rFonts w:ascii="Arial" w:cs="Arial" w:eastAsia="Arial" w:hAnsi="Arial"/>
                <w:sz w:val="20"/>
                <w:szCs w:val="20"/>
                <w:color w:val="auto"/>
              </w:rPr>
              <w:t>Chief Executive Officer</w:t>
            </w:r>
          </w:p>
        </w:tc>
      </w:tr>
      <w:tr>
        <w:trPr>
          <w:trHeight w:val="23"/>
        </w:trPr>
        <w:tc>
          <w:tcPr>
            <w:tcW w:w="92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bl>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Acknowledged and Agreed,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w:t>
      </w:r>
      <w:r>
        <w:rPr>
          <w:rFonts w:ascii="Arial" w:cs="Arial" w:eastAsia="Arial" w:hAnsi="Arial"/>
          <w:sz w:val="21"/>
          <w:szCs w:val="21"/>
          <w:b w:val="1"/>
          <w:bCs w:val="1"/>
          <w:color w:val="auto"/>
        </w:rPr>
        <w:t>G</w:t>
      </w:r>
      <w:r>
        <w:rPr>
          <w:rFonts w:ascii="Arial" w:cs="Arial" w:eastAsia="Arial" w:hAnsi="Arial"/>
          <w:sz w:val="16"/>
          <w:szCs w:val="16"/>
          <w:b w:val="1"/>
          <w:bCs w:val="1"/>
          <w:color w:val="auto"/>
        </w:rPr>
        <w:t xml:space="preserve">LOBE </w:t>
      </w:r>
      <w:r>
        <w:rPr>
          <w:rFonts w:ascii="Arial" w:cs="Arial" w:eastAsia="Arial" w:hAnsi="Arial"/>
          <w:sz w:val="21"/>
          <w:szCs w:val="21"/>
          <w:b w:val="1"/>
          <w:bCs w:val="1"/>
          <w:color w:val="auto"/>
        </w:rPr>
        <w:t>P</w:t>
      </w:r>
      <w:r>
        <w:rPr>
          <w:rFonts w:ascii="Arial" w:cs="Arial" w:eastAsia="Arial" w:hAnsi="Arial"/>
          <w:sz w:val="16"/>
          <w:szCs w:val="16"/>
          <w:b w:val="1"/>
          <w:bCs w:val="1"/>
          <w:color w:val="auto"/>
        </w:rPr>
        <w:t xml:space="preserve">LATINUM </w:t>
      </w:r>
      <w:r>
        <w:rPr>
          <w:rFonts w:ascii="Arial" w:cs="Arial" w:eastAsia="Arial" w:hAnsi="Arial"/>
          <w:sz w:val="21"/>
          <w:szCs w:val="21"/>
          <w:b w:val="1"/>
          <w:bCs w:val="1"/>
          <w:color w:val="auto"/>
        </w:rPr>
        <w:t>F</w:t>
      </w:r>
      <w:r>
        <w:rPr>
          <w:rFonts w:ascii="Arial" w:cs="Arial" w:eastAsia="Arial" w:hAnsi="Arial"/>
          <w:sz w:val="16"/>
          <w:szCs w:val="16"/>
          <w:b w:val="1"/>
          <w:bCs w:val="1"/>
          <w:color w:val="auto"/>
        </w:rPr>
        <w:t xml:space="preserve">UND </w:t>
      </w:r>
      <w:r>
        <w:rPr>
          <w:rFonts w:ascii="Arial" w:cs="Arial" w:eastAsia="Arial" w:hAnsi="Arial"/>
          <w:sz w:val="21"/>
          <w:szCs w:val="21"/>
          <w:b w:val="1"/>
          <w:bCs w:val="1"/>
          <w:color w:val="auto"/>
        </w:rPr>
        <w:t>II P</w:t>
      </w:r>
      <w:r>
        <w:rPr>
          <w:rFonts w:ascii="Arial" w:cs="Arial" w:eastAsia="Arial" w:hAnsi="Arial"/>
          <w:sz w:val="16"/>
          <w:szCs w:val="16"/>
          <w:b w:val="1"/>
          <w:bCs w:val="1"/>
          <w:color w:val="auto"/>
        </w:rPr>
        <w:t>TE</w:t>
      </w:r>
      <w:r>
        <w:rPr>
          <w:rFonts w:ascii="Arial" w:cs="Arial" w:eastAsia="Arial" w:hAnsi="Arial"/>
          <w:sz w:val="21"/>
          <w:szCs w:val="21"/>
          <w:b w:val="1"/>
          <w:bCs w:val="1"/>
          <w:color w:val="auto"/>
        </w:rPr>
        <w:t>. L</w:t>
      </w:r>
      <w:r>
        <w:rPr>
          <w:rFonts w:ascii="Arial" w:cs="Arial" w:eastAsia="Arial" w:hAnsi="Arial"/>
          <w:sz w:val="16"/>
          <w:szCs w:val="16"/>
          <w:b w:val="1"/>
          <w:bCs w:val="1"/>
          <w:color w:val="auto"/>
        </w:rPr>
        <w:t>TD</w:t>
      </w:r>
      <w:r>
        <w:rPr>
          <w:rFonts w:ascii="Arial" w:cs="Arial" w:eastAsia="Arial" w:hAnsi="Arial"/>
          <w:sz w:val="21"/>
          <w:szCs w:val="21"/>
          <w:b w:val="1"/>
          <w:bCs w:val="1"/>
          <w:color w:val="auto"/>
        </w:rPr>
        <w:t>.</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20" w:type="dxa"/>
            <w:vAlign w:val="bottom"/>
          </w:tcPr>
          <w:p>
            <w:pPr>
              <w:spacing w:after="0"/>
              <w:rPr>
                <w:sz w:val="20"/>
                <w:szCs w:val="20"/>
                <w:color w:val="auto"/>
              </w:rPr>
            </w:pPr>
            <w:r>
              <w:rPr>
                <w:rFonts w:ascii="Arial" w:cs="Arial" w:eastAsia="Arial" w:hAnsi="Arial"/>
                <w:sz w:val="20"/>
                <w:szCs w:val="20"/>
                <w:color w:val="auto"/>
              </w:rPr>
              <w:t>By:</w:t>
            </w:r>
          </w:p>
        </w:tc>
        <w:tc>
          <w:tcPr>
            <w:tcW w:w="3720" w:type="dxa"/>
            <w:vAlign w:val="bottom"/>
          </w:tcPr>
          <w:p>
            <w:pPr>
              <w:ind w:left="20"/>
              <w:spacing w:after="0"/>
              <w:rPr>
                <w:sz w:val="20"/>
                <w:szCs w:val="20"/>
                <w:color w:val="auto"/>
              </w:rPr>
            </w:pPr>
            <w:r>
              <w:rPr>
                <w:rFonts w:ascii="Arial" w:cs="Arial" w:eastAsia="Arial" w:hAnsi="Arial"/>
                <w:sz w:val="20"/>
                <w:szCs w:val="20"/>
                <w:color w:val="auto"/>
              </w:rPr>
              <w:t>/s/ Quek Soo Boon</w:t>
            </w:r>
          </w:p>
        </w:tc>
      </w:tr>
      <w:tr>
        <w:trPr>
          <w:trHeight w:val="23"/>
        </w:trPr>
        <w:tc>
          <w:tcPr>
            <w:tcW w:w="92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r>
        <w:trPr>
          <w:trHeight w:val="510"/>
        </w:trPr>
        <w:tc>
          <w:tcPr>
            <w:tcW w:w="920" w:type="dxa"/>
            <w:vAlign w:val="bottom"/>
          </w:tcPr>
          <w:p>
            <w:pPr>
              <w:spacing w:after="0"/>
              <w:rPr>
                <w:sz w:val="20"/>
                <w:szCs w:val="20"/>
                <w:color w:val="auto"/>
              </w:rPr>
            </w:pPr>
            <w:r>
              <w:rPr>
                <w:rFonts w:ascii="Arial" w:cs="Arial" w:eastAsia="Arial" w:hAnsi="Arial"/>
                <w:sz w:val="20"/>
                <w:szCs w:val="20"/>
                <w:color w:val="auto"/>
              </w:rPr>
              <w:t>Name:</w:t>
            </w:r>
          </w:p>
        </w:tc>
        <w:tc>
          <w:tcPr>
            <w:tcW w:w="3720" w:type="dxa"/>
            <w:vAlign w:val="bottom"/>
          </w:tcPr>
          <w:p>
            <w:pPr>
              <w:ind w:left="20"/>
              <w:spacing w:after="0"/>
              <w:rPr>
                <w:sz w:val="20"/>
                <w:szCs w:val="20"/>
                <w:color w:val="auto"/>
              </w:rPr>
            </w:pPr>
            <w:r>
              <w:rPr>
                <w:rFonts w:ascii="Arial" w:cs="Arial" w:eastAsia="Arial" w:hAnsi="Arial"/>
                <w:sz w:val="20"/>
                <w:szCs w:val="20"/>
                <w:color w:val="auto"/>
              </w:rPr>
              <w:t>Quek Soo Boon</w:t>
            </w:r>
          </w:p>
        </w:tc>
      </w:tr>
      <w:tr>
        <w:trPr>
          <w:trHeight w:val="23"/>
        </w:trPr>
        <w:tc>
          <w:tcPr>
            <w:tcW w:w="92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r>
        <w:trPr>
          <w:trHeight w:val="470"/>
        </w:trPr>
        <w:tc>
          <w:tcPr>
            <w:tcW w:w="920" w:type="dxa"/>
            <w:vAlign w:val="bottom"/>
          </w:tcPr>
          <w:p>
            <w:pPr>
              <w:spacing w:after="0"/>
              <w:rPr>
                <w:sz w:val="20"/>
                <w:szCs w:val="20"/>
                <w:color w:val="auto"/>
              </w:rPr>
            </w:pPr>
            <w:r>
              <w:rPr>
                <w:rFonts w:ascii="Arial" w:cs="Arial" w:eastAsia="Arial" w:hAnsi="Arial"/>
                <w:sz w:val="20"/>
                <w:szCs w:val="20"/>
                <w:color w:val="auto"/>
              </w:rPr>
              <w:t>Title:</w:t>
            </w:r>
          </w:p>
        </w:tc>
        <w:tc>
          <w:tcPr>
            <w:tcW w:w="3720" w:type="dxa"/>
            <w:vAlign w:val="bottom"/>
          </w:tcPr>
          <w:p>
            <w:pPr>
              <w:ind w:left="20"/>
              <w:spacing w:after="0"/>
              <w:rPr>
                <w:sz w:val="20"/>
                <w:szCs w:val="20"/>
                <w:color w:val="auto"/>
              </w:rPr>
            </w:pPr>
            <w:r>
              <w:rPr>
                <w:rFonts w:ascii="Arial" w:cs="Arial" w:eastAsia="Arial" w:hAnsi="Arial"/>
                <w:sz w:val="20"/>
                <w:szCs w:val="20"/>
                <w:color w:val="auto"/>
              </w:rPr>
              <w:t>Managing Partner</w:t>
            </w:r>
          </w:p>
        </w:tc>
      </w:tr>
      <w:tr>
        <w:trPr>
          <w:trHeight w:val="23"/>
        </w:trPr>
        <w:tc>
          <w:tcPr>
            <w:tcW w:w="92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Acknowledged and Agreed,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of the date first written above:</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w:t>
      </w:r>
      <w:r>
        <w:rPr>
          <w:rFonts w:ascii="Arial" w:cs="Arial" w:eastAsia="Arial" w:hAnsi="Arial"/>
          <w:sz w:val="21"/>
          <w:szCs w:val="21"/>
          <w:b w:val="1"/>
          <w:bCs w:val="1"/>
          <w:color w:val="auto"/>
        </w:rPr>
        <w:t>G</w:t>
      </w:r>
      <w:r>
        <w:rPr>
          <w:rFonts w:ascii="Arial" w:cs="Arial" w:eastAsia="Arial" w:hAnsi="Arial"/>
          <w:sz w:val="16"/>
          <w:szCs w:val="16"/>
          <w:b w:val="1"/>
          <w:bCs w:val="1"/>
          <w:color w:val="auto"/>
        </w:rPr>
        <w:t xml:space="preserve">LOBE </w:t>
      </w:r>
      <w:r>
        <w:rPr>
          <w:rFonts w:ascii="Arial" w:cs="Arial" w:eastAsia="Arial" w:hAnsi="Arial"/>
          <w:sz w:val="21"/>
          <w:szCs w:val="21"/>
          <w:b w:val="1"/>
          <w:bCs w:val="1"/>
          <w:color w:val="auto"/>
        </w:rPr>
        <w:t>P</w:t>
      </w:r>
      <w:r>
        <w:rPr>
          <w:rFonts w:ascii="Arial" w:cs="Arial" w:eastAsia="Arial" w:hAnsi="Arial"/>
          <w:sz w:val="16"/>
          <w:szCs w:val="16"/>
          <w:b w:val="1"/>
          <w:bCs w:val="1"/>
          <w:color w:val="auto"/>
        </w:rPr>
        <w:t xml:space="preserve">LATINUM </w:t>
      </w:r>
      <w:r>
        <w:rPr>
          <w:rFonts w:ascii="Arial" w:cs="Arial" w:eastAsia="Arial" w:hAnsi="Arial"/>
          <w:sz w:val="21"/>
          <w:szCs w:val="21"/>
          <w:b w:val="1"/>
          <w:bCs w:val="1"/>
          <w:color w:val="auto"/>
        </w:rPr>
        <w:t>F</w:t>
      </w:r>
      <w:r>
        <w:rPr>
          <w:rFonts w:ascii="Arial" w:cs="Arial" w:eastAsia="Arial" w:hAnsi="Arial"/>
          <w:sz w:val="16"/>
          <w:szCs w:val="16"/>
          <w:b w:val="1"/>
          <w:bCs w:val="1"/>
          <w:color w:val="auto"/>
        </w:rPr>
        <w:t xml:space="preserve">UND </w:t>
      </w:r>
      <w:r>
        <w:rPr>
          <w:rFonts w:ascii="Arial" w:cs="Arial" w:eastAsia="Arial" w:hAnsi="Arial"/>
          <w:sz w:val="21"/>
          <w:szCs w:val="21"/>
          <w:b w:val="1"/>
          <w:bCs w:val="1"/>
          <w:color w:val="auto"/>
        </w:rPr>
        <w:t>III L</w:t>
      </w:r>
      <w:r>
        <w:rPr>
          <w:rFonts w:ascii="Arial" w:cs="Arial" w:eastAsia="Arial" w:hAnsi="Arial"/>
          <w:sz w:val="16"/>
          <w:szCs w:val="16"/>
          <w:b w:val="1"/>
          <w:bCs w:val="1"/>
          <w:color w:val="auto"/>
        </w:rPr>
        <w:t>IMITED</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20" w:type="dxa"/>
            <w:vAlign w:val="bottom"/>
          </w:tcPr>
          <w:p>
            <w:pPr>
              <w:spacing w:after="0"/>
              <w:rPr>
                <w:sz w:val="20"/>
                <w:szCs w:val="20"/>
                <w:color w:val="auto"/>
              </w:rPr>
            </w:pPr>
            <w:r>
              <w:rPr>
                <w:rFonts w:ascii="Arial" w:cs="Arial" w:eastAsia="Arial" w:hAnsi="Arial"/>
                <w:sz w:val="20"/>
                <w:szCs w:val="20"/>
                <w:color w:val="auto"/>
              </w:rPr>
              <w:t>By:</w:t>
            </w:r>
          </w:p>
        </w:tc>
        <w:tc>
          <w:tcPr>
            <w:tcW w:w="3720" w:type="dxa"/>
            <w:vAlign w:val="bottom"/>
          </w:tcPr>
          <w:p>
            <w:pPr>
              <w:ind w:left="20"/>
              <w:spacing w:after="0"/>
              <w:rPr>
                <w:sz w:val="20"/>
                <w:szCs w:val="20"/>
                <w:color w:val="auto"/>
              </w:rPr>
            </w:pPr>
            <w:r>
              <w:rPr>
                <w:rFonts w:ascii="Arial" w:cs="Arial" w:eastAsia="Arial" w:hAnsi="Arial"/>
                <w:sz w:val="20"/>
                <w:szCs w:val="20"/>
                <w:color w:val="auto"/>
              </w:rPr>
              <w:t>/s/ Chong Yoke Sin</w:t>
            </w:r>
          </w:p>
        </w:tc>
      </w:tr>
      <w:tr>
        <w:trPr>
          <w:trHeight w:val="23"/>
        </w:trPr>
        <w:tc>
          <w:tcPr>
            <w:tcW w:w="92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r>
        <w:trPr>
          <w:trHeight w:val="510"/>
        </w:trPr>
        <w:tc>
          <w:tcPr>
            <w:tcW w:w="920" w:type="dxa"/>
            <w:vAlign w:val="bottom"/>
          </w:tcPr>
          <w:p>
            <w:pPr>
              <w:spacing w:after="0"/>
              <w:rPr>
                <w:sz w:val="20"/>
                <w:szCs w:val="20"/>
                <w:color w:val="auto"/>
              </w:rPr>
            </w:pPr>
            <w:r>
              <w:rPr>
                <w:rFonts w:ascii="Arial" w:cs="Arial" w:eastAsia="Arial" w:hAnsi="Arial"/>
                <w:sz w:val="20"/>
                <w:szCs w:val="20"/>
                <w:color w:val="auto"/>
              </w:rPr>
              <w:t>Name:</w:t>
            </w:r>
          </w:p>
        </w:tc>
        <w:tc>
          <w:tcPr>
            <w:tcW w:w="3720" w:type="dxa"/>
            <w:vAlign w:val="bottom"/>
          </w:tcPr>
          <w:p>
            <w:pPr>
              <w:ind w:left="20"/>
              <w:spacing w:after="0"/>
              <w:rPr>
                <w:sz w:val="20"/>
                <w:szCs w:val="20"/>
                <w:color w:val="auto"/>
              </w:rPr>
            </w:pPr>
            <w:r>
              <w:rPr>
                <w:rFonts w:ascii="Arial" w:cs="Arial" w:eastAsia="Arial" w:hAnsi="Arial"/>
                <w:sz w:val="20"/>
                <w:szCs w:val="20"/>
                <w:color w:val="auto"/>
              </w:rPr>
              <w:t>Chong Yoke Sin</w:t>
            </w:r>
          </w:p>
        </w:tc>
      </w:tr>
      <w:tr>
        <w:trPr>
          <w:trHeight w:val="23"/>
        </w:trPr>
        <w:tc>
          <w:tcPr>
            <w:tcW w:w="92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r>
        <w:trPr>
          <w:trHeight w:val="510"/>
        </w:trPr>
        <w:tc>
          <w:tcPr>
            <w:tcW w:w="920" w:type="dxa"/>
            <w:vAlign w:val="bottom"/>
          </w:tcPr>
          <w:p>
            <w:pPr>
              <w:spacing w:after="0"/>
              <w:rPr>
                <w:sz w:val="20"/>
                <w:szCs w:val="20"/>
                <w:color w:val="auto"/>
              </w:rPr>
            </w:pPr>
            <w:r>
              <w:rPr>
                <w:rFonts w:ascii="Arial" w:cs="Arial" w:eastAsia="Arial" w:hAnsi="Arial"/>
                <w:sz w:val="20"/>
                <w:szCs w:val="20"/>
                <w:color w:val="auto"/>
              </w:rPr>
              <w:t>Title:</w:t>
            </w:r>
          </w:p>
        </w:tc>
        <w:tc>
          <w:tcPr>
            <w:tcW w:w="3720" w:type="dxa"/>
            <w:vAlign w:val="bottom"/>
          </w:tcPr>
          <w:p>
            <w:pPr>
              <w:ind w:left="20"/>
              <w:spacing w:after="0"/>
              <w:rPr>
                <w:sz w:val="20"/>
                <w:szCs w:val="20"/>
                <w:color w:val="auto"/>
              </w:rPr>
            </w:pPr>
            <w:r>
              <w:rPr>
                <w:rFonts w:ascii="Arial" w:cs="Arial" w:eastAsia="Arial" w:hAnsi="Arial"/>
                <w:sz w:val="20"/>
                <w:szCs w:val="20"/>
                <w:color w:val="auto"/>
              </w:rPr>
              <w:t>Managing partner</w:t>
            </w:r>
          </w:p>
        </w:tc>
      </w:tr>
      <w:tr>
        <w:trPr>
          <w:trHeight w:val="23"/>
        </w:trPr>
        <w:tc>
          <w:tcPr>
            <w:tcW w:w="92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20"/>
          </w:cols>
          <w:pgMar w:left="340" w:top="14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20"/>
          </w:cols>
          <w:pgMar w:left="340" w:top="1419" w:right="339" w:bottom="1440" w:gutter="0" w:footer="0" w:header="0"/>
          <w:type w:val="continuous"/>
        </w:sectPr>
      </w:pPr>
    </w:p>
    <w:bookmarkStart w:id="612" w:name="page613"/>
    <w:bookmarkEnd w:id="612"/>
    <w:p>
      <w:pPr>
        <w:spacing w:after="0" w:line="34" w:lineRule="exact"/>
        <w:rPr>
          <w:sz w:val="20"/>
          <w:szCs w:val="20"/>
          <w:color w:val="auto"/>
        </w:rPr>
      </w:pPr>
    </w:p>
    <w:p>
      <w:pPr>
        <w:spacing w:after="0"/>
        <w:rPr>
          <w:sz w:val="20"/>
          <w:szCs w:val="20"/>
          <w:color w:val="auto"/>
        </w:rPr>
      </w:pPr>
      <w:r>
        <w:rPr>
          <w:rFonts w:ascii="Arial" w:cs="Arial" w:eastAsia="Arial" w:hAnsi="Arial"/>
          <w:sz w:val="20"/>
          <w:szCs w:val="20"/>
          <w:color w:val="auto"/>
        </w:rPr>
        <w:t>Acknowledged and Agreed,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w:t>
      </w:r>
      <w:r>
        <w:rPr>
          <w:rFonts w:ascii="Arial" w:cs="Arial" w:eastAsia="Arial" w:hAnsi="Arial"/>
          <w:sz w:val="21"/>
          <w:szCs w:val="21"/>
          <w:b w:val="1"/>
          <w:bCs w:val="1"/>
          <w:color w:val="auto"/>
        </w:rPr>
        <w:t>G</w:t>
      </w:r>
      <w:r>
        <w:rPr>
          <w:rFonts w:ascii="Arial" w:cs="Arial" w:eastAsia="Arial" w:hAnsi="Arial"/>
          <w:sz w:val="16"/>
          <w:szCs w:val="16"/>
          <w:b w:val="1"/>
          <w:bCs w:val="1"/>
          <w:color w:val="auto"/>
        </w:rPr>
        <w:t xml:space="preserve">LOBE </w:t>
      </w:r>
      <w:r>
        <w:rPr>
          <w:rFonts w:ascii="Arial" w:cs="Arial" w:eastAsia="Arial" w:hAnsi="Arial"/>
          <w:sz w:val="21"/>
          <w:szCs w:val="21"/>
          <w:b w:val="1"/>
          <w:bCs w:val="1"/>
          <w:color w:val="auto"/>
        </w:rPr>
        <w:t>T</w:t>
      </w:r>
      <w:r>
        <w:rPr>
          <w:rFonts w:ascii="Arial" w:cs="Arial" w:eastAsia="Arial" w:hAnsi="Arial"/>
          <w:sz w:val="16"/>
          <w:szCs w:val="16"/>
          <w:b w:val="1"/>
          <w:bCs w:val="1"/>
          <w:color w:val="auto"/>
        </w:rPr>
        <w:t xml:space="preserve">REASURY </w:t>
      </w:r>
      <w:r>
        <w:rPr>
          <w:rFonts w:ascii="Arial" w:cs="Arial" w:eastAsia="Arial" w:hAnsi="Arial"/>
          <w:sz w:val="21"/>
          <w:szCs w:val="21"/>
          <w:b w:val="1"/>
          <w:bCs w:val="1"/>
          <w:color w:val="auto"/>
        </w:rPr>
        <w:t>M</w:t>
      </w:r>
      <w:r>
        <w:rPr>
          <w:rFonts w:ascii="Arial" w:cs="Arial" w:eastAsia="Arial" w:hAnsi="Arial"/>
          <w:sz w:val="16"/>
          <w:szCs w:val="16"/>
          <w:b w:val="1"/>
          <w:bCs w:val="1"/>
          <w:color w:val="auto"/>
        </w:rPr>
        <w:t xml:space="preserve">ANAGEMENT </w:t>
      </w:r>
      <w:r>
        <w:rPr>
          <w:rFonts w:ascii="Arial" w:cs="Arial" w:eastAsia="Arial" w:hAnsi="Arial"/>
          <w:sz w:val="21"/>
          <w:szCs w:val="21"/>
          <w:b w:val="1"/>
          <w:bCs w:val="1"/>
          <w:color w:val="auto"/>
        </w:rPr>
        <w:t>P</w:t>
      </w:r>
      <w:r>
        <w:rPr>
          <w:rFonts w:ascii="Arial" w:cs="Arial" w:eastAsia="Arial" w:hAnsi="Arial"/>
          <w:sz w:val="16"/>
          <w:szCs w:val="16"/>
          <w:b w:val="1"/>
          <w:bCs w:val="1"/>
          <w:color w:val="auto"/>
        </w:rPr>
        <w:t>TE</w:t>
      </w:r>
      <w:r>
        <w:rPr>
          <w:rFonts w:ascii="Arial" w:cs="Arial" w:eastAsia="Arial" w:hAnsi="Arial"/>
          <w:sz w:val="21"/>
          <w:szCs w:val="21"/>
          <w:b w:val="1"/>
          <w:bCs w:val="1"/>
          <w:color w:val="auto"/>
        </w:rPr>
        <w:t>. L</w:t>
      </w:r>
      <w:r>
        <w:rPr>
          <w:rFonts w:ascii="Arial" w:cs="Arial" w:eastAsia="Arial" w:hAnsi="Arial"/>
          <w:sz w:val="16"/>
          <w:szCs w:val="16"/>
          <w:b w:val="1"/>
          <w:bCs w:val="1"/>
          <w:color w:val="auto"/>
        </w:rPr>
        <w:t>TD</w:t>
      </w:r>
      <w:r>
        <w:rPr>
          <w:rFonts w:ascii="Arial" w:cs="Arial" w:eastAsia="Arial" w:hAnsi="Arial"/>
          <w:sz w:val="21"/>
          <w:szCs w:val="21"/>
          <w:b w:val="1"/>
          <w:bCs w:val="1"/>
          <w:color w:val="auto"/>
        </w:rPr>
        <w:t>.</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20" w:type="dxa"/>
            <w:vAlign w:val="bottom"/>
          </w:tcPr>
          <w:p>
            <w:pPr>
              <w:spacing w:after="0"/>
              <w:rPr>
                <w:sz w:val="20"/>
                <w:szCs w:val="20"/>
                <w:color w:val="auto"/>
              </w:rPr>
            </w:pPr>
            <w:r>
              <w:rPr>
                <w:rFonts w:ascii="Arial" w:cs="Arial" w:eastAsia="Arial" w:hAnsi="Arial"/>
                <w:sz w:val="20"/>
                <w:szCs w:val="20"/>
                <w:color w:val="auto"/>
              </w:rPr>
              <w:t>By:</w:t>
            </w:r>
          </w:p>
        </w:tc>
        <w:tc>
          <w:tcPr>
            <w:tcW w:w="4440" w:type="dxa"/>
            <w:vAlign w:val="bottom"/>
          </w:tcPr>
          <w:p>
            <w:pPr>
              <w:ind w:left="20"/>
              <w:spacing w:after="0"/>
              <w:rPr>
                <w:sz w:val="20"/>
                <w:szCs w:val="20"/>
                <w:color w:val="auto"/>
              </w:rPr>
            </w:pPr>
            <w:r>
              <w:rPr>
                <w:rFonts w:ascii="Arial" w:cs="Arial" w:eastAsia="Arial" w:hAnsi="Arial"/>
                <w:sz w:val="20"/>
                <w:szCs w:val="20"/>
                <w:color w:val="auto"/>
              </w:rPr>
              <w:t>/s/ Quek Soo Boon</w:t>
            </w:r>
          </w:p>
        </w:tc>
      </w:tr>
      <w:tr>
        <w:trPr>
          <w:trHeight w:val="23"/>
        </w:trPr>
        <w:tc>
          <w:tcPr>
            <w:tcW w:w="102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511"/>
        </w:trPr>
        <w:tc>
          <w:tcPr>
            <w:tcW w:w="1020" w:type="dxa"/>
            <w:vAlign w:val="bottom"/>
          </w:tcPr>
          <w:p>
            <w:pPr>
              <w:spacing w:after="0"/>
              <w:rPr>
                <w:sz w:val="20"/>
                <w:szCs w:val="20"/>
                <w:color w:val="auto"/>
              </w:rPr>
            </w:pPr>
            <w:r>
              <w:rPr>
                <w:rFonts w:ascii="Arial" w:cs="Arial" w:eastAsia="Arial" w:hAnsi="Arial"/>
                <w:sz w:val="20"/>
                <w:szCs w:val="20"/>
                <w:color w:val="auto"/>
              </w:rPr>
              <w:t>Name:</w:t>
            </w:r>
          </w:p>
        </w:tc>
        <w:tc>
          <w:tcPr>
            <w:tcW w:w="4440" w:type="dxa"/>
            <w:vAlign w:val="bottom"/>
          </w:tcPr>
          <w:p>
            <w:pPr>
              <w:ind w:left="20"/>
              <w:spacing w:after="0"/>
              <w:rPr>
                <w:sz w:val="20"/>
                <w:szCs w:val="20"/>
                <w:color w:val="auto"/>
              </w:rPr>
            </w:pPr>
            <w:r>
              <w:rPr>
                <w:rFonts w:ascii="Arial" w:cs="Arial" w:eastAsia="Arial" w:hAnsi="Arial"/>
                <w:sz w:val="20"/>
                <w:szCs w:val="20"/>
                <w:color w:val="auto"/>
              </w:rPr>
              <w:t>Quek Soo Boon</w:t>
            </w:r>
          </w:p>
        </w:tc>
      </w:tr>
      <w:tr>
        <w:trPr>
          <w:trHeight w:val="23"/>
        </w:trPr>
        <w:tc>
          <w:tcPr>
            <w:tcW w:w="102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470"/>
        </w:trPr>
        <w:tc>
          <w:tcPr>
            <w:tcW w:w="1020" w:type="dxa"/>
            <w:vAlign w:val="bottom"/>
          </w:tcPr>
          <w:p>
            <w:pPr>
              <w:spacing w:after="0"/>
              <w:rPr>
                <w:sz w:val="20"/>
                <w:szCs w:val="20"/>
                <w:color w:val="auto"/>
              </w:rPr>
            </w:pPr>
            <w:r>
              <w:rPr>
                <w:rFonts w:ascii="Arial" w:cs="Arial" w:eastAsia="Arial" w:hAnsi="Arial"/>
                <w:sz w:val="20"/>
                <w:szCs w:val="20"/>
                <w:color w:val="auto"/>
              </w:rPr>
              <w:t>Title:</w:t>
            </w:r>
          </w:p>
        </w:tc>
        <w:tc>
          <w:tcPr>
            <w:tcW w:w="4440" w:type="dxa"/>
            <w:vAlign w:val="bottom"/>
          </w:tcPr>
          <w:p>
            <w:pPr>
              <w:ind w:left="20"/>
              <w:spacing w:after="0"/>
              <w:rPr>
                <w:sz w:val="20"/>
                <w:szCs w:val="20"/>
                <w:color w:val="auto"/>
              </w:rPr>
            </w:pPr>
            <w:r>
              <w:rPr>
                <w:rFonts w:ascii="Arial" w:cs="Arial" w:eastAsia="Arial" w:hAnsi="Arial"/>
                <w:sz w:val="20"/>
                <w:szCs w:val="20"/>
                <w:color w:val="auto"/>
              </w:rPr>
              <w:t>Managing Partner</w:t>
            </w:r>
          </w:p>
        </w:tc>
      </w:tr>
      <w:tr>
        <w:trPr>
          <w:trHeight w:val="23"/>
        </w:trPr>
        <w:tc>
          <w:tcPr>
            <w:tcW w:w="102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119"/>
          </w:cols>
          <w:pgMar w:left="340" w:top="1440" w:right="1440" w:bottom="1440" w:gutter="0" w:footer="0" w:header="0"/>
        </w:sectPr>
      </w:pPr>
    </w:p>
    <w:bookmarkStart w:id="613" w:name="page614"/>
    <w:bookmarkEnd w:id="613"/>
    <w:p>
      <w:pPr>
        <w:jc w:val="right"/>
        <w:spacing w:after="0"/>
        <w:rPr>
          <w:sz w:val="20"/>
          <w:szCs w:val="20"/>
          <w:color w:val="auto"/>
        </w:rPr>
      </w:pPr>
      <w:r>
        <w:rPr>
          <w:rFonts w:ascii="Arial" w:cs="Arial" w:eastAsia="Arial" w:hAnsi="Arial"/>
          <w:sz w:val="18"/>
          <w:szCs w:val="18"/>
          <w:b w:val="1"/>
          <w:bCs w:val="1"/>
          <w:color w:val="auto"/>
        </w:rPr>
        <w:t>Exhibit 10.20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234440" cy="6083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2"/>
          <w:szCs w:val="22"/>
          <w:color w:val="auto"/>
        </w:rPr>
        <w:t>July 17, 2020</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Innovius Capital Sirius I, LP</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Justin Moore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 Letter Agreement re: 2020 Secondary Stock Purchases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This Letter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made by and among NerdWallet, Inc., a Delaware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Innovius Capital Sirius I, L.P., a Delaware limited partnership (the “</w:t>
      </w:r>
      <w:r>
        <w:rPr>
          <w:rFonts w:ascii="Arial" w:cs="Arial" w:eastAsia="Arial" w:hAnsi="Arial"/>
          <w:sz w:val="22"/>
          <w:szCs w:val="22"/>
          <w:b w:val="1"/>
          <w:bCs w:val="1"/>
          <w:i w:val="1"/>
          <w:iCs w:val="1"/>
          <w:color w:val="auto"/>
        </w:rPr>
        <w:t>Buyer</w:t>
      </w:r>
      <w:r>
        <w:rPr>
          <w:rFonts w:ascii="Arial" w:cs="Arial" w:eastAsia="Arial" w:hAnsi="Arial"/>
          <w:sz w:val="22"/>
          <w:szCs w:val="22"/>
          <w:color w:val="auto"/>
        </w:rPr>
        <w:t>”) in connection with the Buyer’s purchases of shares of the Company’s Class A Common Stock from certain sellers identified by the Buyer to the Company (the “</w:t>
      </w:r>
      <w:r>
        <w:rPr>
          <w:rFonts w:ascii="Arial" w:cs="Arial" w:eastAsia="Arial" w:hAnsi="Arial"/>
          <w:sz w:val="22"/>
          <w:szCs w:val="22"/>
          <w:b w:val="1"/>
          <w:bCs w:val="1"/>
          <w:i w:val="1"/>
          <w:iCs w:val="1"/>
          <w:color w:val="auto"/>
        </w:rPr>
        <w:t>Secondary Purchases</w:t>
      </w:r>
      <w:r>
        <w:rPr>
          <w:rFonts w:ascii="Arial" w:cs="Arial" w:eastAsia="Arial" w:hAnsi="Arial"/>
          <w:sz w:val="22"/>
          <w:szCs w:val="22"/>
          <w:color w:val="auto"/>
        </w:rPr>
        <w:t>”). The Company and the Buyer agree as follows.</w:t>
      </w:r>
    </w:p>
    <w:p>
      <w:pPr>
        <w:spacing w:after="0" w:line="161" w:lineRule="exact"/>
        <w:rPr>
          <w:sz w:val="20"/>
          <w:szCs w:val="20"/>
          <w:color w:val="auto"/>
        </w:rPr>
      </w:pPr>
    </w:p>
    <w:p>
      <w:pPr>
        <w:ind w:left="1300" w:hanging="644"/>
        <w:spacing w:after="0"/>
        <w:tabs>
          <w:tab w:leader="none" w:pos="1300" w:val="left"/>
        </w:tabs>
        <w:numPr>
          <w:ilvl w:val="0"/>
          <w:numId w:val="580"/>
        </w:numPr>
        <w:rPr>
          <w:rFonts w:ascii="Arial" w:cs="Arial" w:eastAsia="Arial" w:hAnsi="Arial"/>
          <w:sz w:val="22"/>
          <w:szCs w:val="22"/>
          <w:color w:val="auto"/>
        </w:rPr>
      </w:pPr>
      <w:r>
        <w:rPr>
          <w:rFonts w:ascii="Arial" w:cs="Arial" w:eastAsia="Arial" w:hAnsi="Arial"/>
          <w:sz w:val="22"/>
          <w:szCs w:val="22"/>
          <w:u w:val="single" w:color="auto"/>
          <w:color w:val="auto"/>
        </w:rPr>
        <w:t>Secondary Purchases.</w:t>
      </w:r>
    </w:p>
    <w:p>
      <w:pPr>
        <w:spacing w:after="0" w:line="179" w:lineRule="exact"/>
        <w:rPr>
          <w:rFonts w:ascii="Arial" w:cs="Arial" w:eastAsia="Arial" w:hAnsi="Arial"/>
          <w:sz w:val="22"/>
          <w:szCs w:val="22"/>
          <w:color w:val="auto"/>
        </w:rPr>
      </w:pPr>
    </w:p>
    <w:p>
      <w:pPr>
        <w:jc w:val="both"/>
        <w:ind w:firstLine="1304"/>
        <w:spacing w:after="0" w:line="294" w:lineRule="auto"/>
        <w:tabs>
          <w:tab w:leader="none" w:pos="1941" w:val="left"/>
        </w:tabs>
        <w:numPr>
          <w:ilvl w:val="1"/>
          <w:numId w:val="580"/>
        </w:numPr>
        <w:rPr>
          <w:rFonts w:ascii="Arial" w:cs="Arial" w:eastAsia="Arial" w:hAnsi="Arial"/>
          <w:sz w:val="19"/>
          <w:szCs w:val="19"/>
          <w:color w:val="auto"/>
        </w:rPr>
      </w:pPr>
      <w:r>
        <w:rPr>
          <w:rFonts w:ascii="Arial" w:cs="Arial" w:eastAsia="Arial" w:hAnsi="Arial"/>
          <w:sz w:val="19"/>
          <w:szCs w:val="19"/>
          <w:color w:val="auto"/>
        </w:rPr>
        <w:t xml:space="preserve">The Buyer has commenced, with the facilitation of the Company as specified herein, the Secondary Purchases to purchase shares of the Company’s Class A Common Stock in accordance with this Agreement, the Stock Transfer Agreement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STA</w:t>
      </w:r>
      <w:r>
        <w:rPr>
          <w:rFonts w:ascii="Arial" w:cs="Arial" w:eastAsia="Arial" w:hAnsi="Arial"/>
          <w:sz w:val="19"/>
          <w:szCs w:val="19"/>
          <w:color w:val="auto"/>
        </w:rPr>
        <w:t xml:space="preserve">”), the Shareworks Secondary Agreement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by and among the Buyer, the Company and Solium Plan Managers LLC (the “</w:t>
      </w:r>
      <w:r>
        <w:rPr>
          <w:rFonts w:ascii="Arial" w:cs="Arial" w:eastAsia="Arial" w:hAnsi="Arial"/>
          <w:sz w:val="19"/>
          <w:szCs w:val="19"/>
          <w:u w:val="single" w:color="auto"/>
          <w:color w:val="auto"/>
        </w:rPr>
        <w:t>Shareworks Agreement</w:t>
      </w:r>
      <w:r>
        <w:rPr>
          <w:rFonts w:ascii="Arial" w:cs="Arial" w:eastAsia="Arial" w:hAnsi="Arial"/>
          <w:sz w:val="19"/>
          <w:szCs w:val="19"/>
          <w:color w:val="auto"/>
        </w:rPr>
        <w:t>” and together with the STA and all exhibits, annexes, and other attachments to each of the foregoing, the “</w:t>
      </w:r>
      <w:r>
        <w:rPr>
          <w:rFonts w:ascii="Arial" w:cs="Arial" w:eastAsia="Arial" w:hAnsi="Arial"/>
          <w:sz w:val="19"/>
          <w:szCs w:val="19"/>
          <w:u w:val="single" w:color="auto"/>
          <w:color w:val="auto"/>
        </w:rPr>
        <w:t>Purchase Documents</w:t>
      </w:r>
      <w:r>
        <w:rPr>
          <w:rFonts w:ascii="Arial" w:cs="Arial" w:eastAsia="Arial" w:hAnsi="Arial"/>
          <w:sz w:val="19"/>
          <w:szCs w:val="19"/>
          <w:color w:val="auto"/>
        </w:rPr>
        <w:t>”). This Agreement shall become effective upon the Buyer’s purchase of 2,500,000 shares of the Company’s Class A Common Stock.</w:t>
      </w:r>
    </w:p>
    <w:p>
      <w:pPr>
        <w:spacing w:after="0" w:line="108" w:lineRule="exact"/>
        <w:rPr>
          <w:rFonts w:ascii="Arial" w:cs="Arial" w:eastAsia="Arial" w:hAnsi="Arial"/>
          <w:sz w:val="19"/>
          <w:szCs w:val="19"/>
          <w:color w:val="auto"/>
        </w:rPr>
      </w:pPr>
    </w:p>
    <w:p>
      <w:pPr>
        <w:jc w:val="both"/>
        <w:ind w:firstLine="1304"/>
        <w:spacing w:after="0" w:line="260" w:lineRule="auto"/>
        <w:tabs>
          <w:tab w:leader="none" w:pos="1939" w:val="left"/>
        </w:tabs>
        <w:numPr>
          <w:ilvl w:val="1"/>
          <w:numId w:val="580"/>
        </w:numPr>
        <w:rPr>
          <w:rFonts w:ascii="Arial" w:cs="Arial" w:eastAsia="Arial" w:hAnsi="Arial"/>
          <w:sz w:val="21"/>
          <w:szCs w:val="21"/>
          <w:color w:val="auto"/>
        </w:rPr>
      </w:pPr>
      <w:r>
        <w:rPr>
          <w:rFonts w:ascii="Arial" w:cs="Arial" w:eastAsia="Arial" w:hAnsi="Arial"/>
          <w:sz w:val="21"/>
          <w:szCs w:val="21"/>
          <w:color w:val="auto"/>
        </w:rPr>
        <w:t>In furtherance of the Company’s role in facilitating the Secondary Purchases, the Company hereby consents to the Secondary Purchases and agrees to provide any reasonable assistance with the Secondary Purchases as requested by the Buyer, and agrees to take such further actions as may be reasonably necessary to carry out the purposes and intent of the Secondary Purchases. The Buyer understands and agrees that the Company will support cashless exercise through the Shareworks platform until July 17, 2020. Any Secondary Purchases (or other purchases) taking place following July 17, 2020 will take place outside of the Shareworks Platform and the Buyer understands and agrees that the Company will not be able to support cashless exercise in connection with any such purchase.</w:t>
      </w:r>
    </w:p>
    <w:p>
      <w:pPr>
        <w:spacing w:after="0" w:line="153" w:lineRule="exact"/>
        <w:rPr>
          <w:rFonts w:ascii="Arial" w:cs="Arial" w:eastAsia="Arial" w:hAnsi="Arial"/>
          <w:sz w:val="21"/>
          <w:szCs w:val="21"/>
          <w:color w:val="auto"/>
        </w:rPr>
      </w:pPr>
    </w:p>
    <w:p>
      <w:pPr>
        <w:jc w:val="both"/>
        <w:ind w:firstLine="1304"/>
        <w:spacing w:after="0" w:line="248" w:lineRule="auto"/>
        <w:tabs>
          <w:tab w:leader="none" w:pos="1941" w:val="left"/>
        </w:tabs>
        <w:numPr>
          <w:ilvl w:val="1"/>
          <w:numId w:val="580"/>
        </w:numPr>
        <w:rPr>
          <w:rFonts w:ascii="Arial" w:cs="Arial" w:eastAsia="Arial" w:hAnsi="Arial"/>
          <w:sz w:val="22"/>
          <w:szCs w:val="22"/>
          <w:color w:val="auto"/>
        </w:rPr>
      </w:pPr>
      <w:r>
        <w:rPr>
          <w:rFonts w:ascii="Arial" w:cs="Arial" w:eastAsia="Arial" w:hAnsi="Arial"/>
          <w:sz w:val="22"/>
          <w:szCs w:val="22"/>
          <w:color w:val="auto"/>
        </w:rPr>
        <w:t>The Buyer hereby agrees to promptly provide any reasonable assistance with the Secondary Purchases requested by the Company. If the Buyer engages in any other offer to purchase shares of the Company’s capital stock from the Company’s stockholders outside of the Secondary Purchases, it shall do so in compliance with all applicable federal and state securities laws, and it shall seek the Company’s prior written consent to such transactions, which shall not be unreasonably withheld, conditioned, or delayed.</w:t>
      </w:r>
    </w:p>
    <w:p>
      <w:pPr>
        <w:sectPr>
          <w:pgSz w:w="11900" w:h="16838" w:orient="portrait"/>
          <w:cols w:equalWidth="0" w:num="1">
            <w:col w:w="11240"/>
          </w:cols>
          <w:pgMar w:left="320" w:top="122" w:right="339" w:bottom="1440" w:gutter="0" w:footer="0" w:header="0"/>
        </w:sectPr>
      </w:pPr>
    </w:p>
    <w:bookmarkStart w:id="614" w:name="page615"/>
    <w:bookmarkEnd w:id="614"/>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hanging="644"/>
        <w:spacing w:after="0"/>
        <w:tabs>
          <w:tab w:leader="none" w:pos="1300" w:val="left"/>
        </w:tabs>
        <w:numPr>
          <w:ilvl w:val="0"/>
          <w:numId w:val="581"/>
        </w:numPr>
        <w:rPr>
          <w:rFonts w:ascii="Arial" w:cs="Arial" w:eastAsia="Arial" w:hAnsi="Arial"/>
          <w:sz w:val="22"/>
          <w:szCs w:val="22"/>
          <w:color w:val="auto"/>
        </w:rPr>
      </w:pPr>
      <w:r>
        <w:rPr>
          <w:rFonts w:ascii="Arial" w:cs="Arial" w:eastAsia="Arial" w:hAnsi="Arial"/>
          <w:sz w:val="22"/>
          <w:szCs w:val="22"/>
          <w:u w:val="single" w:color="auto"/>
          <w:color w:val="auto"/>
        </w:rPr>
        <w:t>Additional Agreements.</w:t>
      </w:r>
    </w:p>
    <w:p>
      <w:pPr>
        <w:spacing w:after="0" w:line="179" w:lineRule="exact"/>
        <w:rPr>
          <w:rFonts w:ascii="Arial" w:cs="Arial" w:eastAsia="Arial" w:hAnsi="Arial"/>
          <w:sz w:val="22"/>
          <w:szCs w:val="22"/>
          <w:color w:val="auto"/>
        </w:rPr>
      </w:pPr>
    </w:p>
    <w:p>
      <w:pPr>
        <w:jc w:val="both"/>
        <w:ind w:firstLine="1304"/>
        <w:spacing w:after="0" w:line="263" w:lineRule="auto"/>
        <w:tabs>
          <w:tab w:leader="none" w:pos="1941" w:val="left"/>
        </w:tabs>
        <w:numPr>
          <w:ilvl w:val="1"/>
          <w:numId w:val="581"/>
        </w:numPr>
        <w:rPr>
          <w:rFonts w:ascii="Arial" w:cs="Arial" w:eastAsia="Arial" w:hAnsi="Arial"/>
          <w:sz w:val="21"/>
          <w:szCs w:val="21"/>
          <w:color w:val="auto"/>
        </w:rPr>
      </w:pPr>
      <w:r>
        <w:rPr>
          <w:rFonts w:ascii="Arial" w:cs="Arial" w:eastAsia="Arial" w:hAnsi="Arial"/>
          <w:sz w:val="21"/>
          <w:szCs w:val="21"/>
          <w:u w:val="single" w:color="auto"/>
          <w:color w:val="auto"/>
        </w:rPr>
        <w:t>“Market Standoff” Agreement.</w:t>
      </w:r>
      <w:r>
        <w:rPr>
          <w:rFonts w:ascii="Arial" w:cs="Arial" w:eastAsia="Arial" w:hAnsi="Arial"/>
          <w:sz w:val="21"/>
          <w:szCs w:val="21"/>
          <w:color w:val="auto"/>
        </w:rPr>
        <w:t xml:space="preserve"> The Buyer hereby agrees to be bound by the terms of the “Market Stand-Off” Agreement set forth in Section 2.11 of the Company’s Investors’ Rights Agreement, dated as of January 30, 2015, as the same may be amended from time to time (the “</w:t>
      </w:r>
      <w:r>
        <w:rPr>
          <w:rFonts w:ascii="Arial" w:cs="Arial" w:eastAsia="Arial" w:hAnsi="Arial"/>
          <w:sz w:val="21"/>
          <w:szCs w:val="21"/>
          <w:b w:val="1"/>
          <w:bCs w:val="1"/>
          <w:i w:val="1"/>
          <w:iCs w:val="1"/>
          <w:color w:val="auto"/>
        </w:rPr>
        <w:t>Rights Agreement</w:t>
      </w:r>
      <w:r>
        <w:rPr>
          <w:rFonts w:ascii="Arial" w:cs="Arial" w:eastAsia="Arial" w:hAnsi="Arial"/>
          <w:sz w:val="21"/>
          <w:szCs w:val="21"/>
          <w:color w:val="auto"/>
        </w:rPr>
        <w:t>”) as if the Buyer were a “Holder” under the Rights Agreement; provided that any amendment or waiver of Section 2.11 of the Rights Agreement that adversely affects the Buyer shall not be effective as it relates to the Buyer without the prior written consent of the Buyer.</w:t>
      </w:r>
    </w:p>
    <w:p>
      <w:pPr>
        <w:spacing w:after="0" w:line="148" w:lineRule="exact"/>
        <w:rPr>
          <w:rFonts w:ascii="Arial" w:cs="Arial" w:eastAsia="Arial" w:hAnsi="Arial"/>
          <w:sz w:val="21"/>
          <w:szCs w:val="21"/>
          <w:color w:val="auto"/>
        </w:rPr>
      </w:pPr>
    </w:p>
    <w:p>
      <w:pPr>
        <w:jc w:val="both"/>
        <w:ind w:firstLine="1304"/>
        <w:spacing w:after="0" w:line="286" w:lineRule="auto"/>
        <w:tabs>
          <w:tab w:leader="none" w:pos="1939" w:val="left"/>
        </w:tabs>
        <w:numPr>
          <w:ilvl w:val="1"/>
          <w:numId w:val="581"/>
        </w:numPr>
        <w:rPr>
          <w:rFonts w:ascii="Arial" w:cs="Arial" w:eastAsia="Arial" w:hAnsi="Arial"/>
          <w:sz w:val="19"/>
          <w:szCs w:val="19"/>
          <w:color w:val="auto"/>
        </w:rPr>
      </w:pPr>
      <w:r>
        <w:rPr>
          <w:rFonts w:ascii="Arial" w:cs="Arial" w:eastAsia="Arial" w:hAnsi="Arial"/>
          <w:sz w:val="19"/>
          <w:szCs w:val="19"/>
          <w:u w:val="single" w:color="auto"/>
          <w:color w:val="auto"/>
        </w:rPr>
        <w:t>Information Rights.</w:t>
      </w:r>
      <w:r>
        <w:rPr>
          <w:rFonts w:ascii="Arial" w:cs="Arial" w:eastAsia="Arial" w:hAnsi="Arial"/>
          <w:sz w:val="19"/>
          <w:szCs w:val="19"/>
          <w:color w:val="auto"/>
        </w:rPr>
        <w:t xml:space="preserve"> For so long as the Buyer, together with its Affiliates (as defined in the Rights Agreement), holds at least 103,000 of the Shares bought in the Secondary Purchases (subject to adjustment for stock splits, stock dividends, and stock combinations), the Buyer shall be treated as a “Major Investor” for purposes of Section 3.1 and Section 3.2 of the Rights Agreement, subject to the terms and conditions set forth therein, including but not limited to Section 3.3 thereof (Termination of Information), and the Company shall provide to the Buyer the same information, inspection and associated rights that it provides to Major Investors pursuant to Section 3.1 and Section 3.2 of the Rights Agreement (disregarding any future modification or amendment of such provisions, and regardless of any termination thereof other than pursuant to Section 3.3 of the Rights Agreement). The financial statements delivered to the Buyer pursuant to Section 3.1(a) and Section 3.1(b) of the Rights Agreement shall include, or be accompanied by, a current capitalization table setting forth the authorized and issued capital stock of the Company (in the aggregate and by class). In addition, the Company shall provide the Buyer a copy of the quarterly business review deck that the Company provides to the members of the Board of Directors of the Company in connection with its quarterly meetings (the “</w:t>
      </w:r>
      <w:r>
        <w:rPr>
          <w:rFonts w:ascii="Arial" w:cs="Arial" w:eastAsia="Arial" w:hAnsi="Arial"/>
          <w:sz w:val="19"/>
          <w:szCs w:val="19"/>
          <w:b w:val="1"/>
          <w:bCs w:val="1"/>
          <w:i w:val="1"/>
          <w:iCs w:val="1"/>
          <w:color w:val="auto"/>
        </w:rPr>
        <w:t>Quarterly Business Deck</w:t>
      </w:r>
      <w:r>
        <w:rPr>
          <w:rFonts w:ascii="Arial" w:cs="Arial" w:eastAsia="Arial" w:hAnsi="Arial"/>
          <w:sz w:val="19"/>
          <w:szCs w:val="19"/>
          <w:color w:val="auto"/>
        </w:rPr>
        <w:t>”), at approximately the same time and in the same manner as provided to such directors, except that the Company may withhold or redact any such material or portion thereof if the Board of Directors determines in good faith that such exclusion is reasonably necessary to preserve the attorney-client privilege, to protect highly confidential proprietary information, or for other similar reasons.</w:t>
      </w:r>
    </w:p>
    <w:p>
      <w:pPr>
        <w:spacing w:after="0" w:line="117" w:lineRule="exact"/>
        <w:rPr>
          <w:rFonts w:ascii="Arial" w:cs="Arial" w:eastAsia="Arial" w:hAnsi="Arial"/>
          <w:sz w:val="19"/>
          <w:szCs w:val="19"/>
          <w:color w:val="auto"/>
        </w:rPr>
      </w:pPr>
    </w:p>
    <w:p>
      <w:pPr>
        <w:jc w:val="both"/>
        <w:ind w:firstLine="1304"/>
        <w:spacing w:after="0" w:line="253" w:lineRule="auto"/>
        <w:tabs>
          <w:tab w:leader="none" w:pos="1941" w:val="left"/>
        </w:tabs>
        <w:numPr>
          <w:ilvl w:val="1"/>
          <w:numId w:val="581"/>
        </w:numPr>
        <w:rPr>
          <w:rFonts w:ascii="Arial" w:cs="Arial" w:eastAsia="Arial" w:hAnsi="Arial"/>
          <w:sz w:val="22"/>
          <w:szCs w:val="22"/>
          <w:color w:val="auto"/>
        </w:rPr>
      </w:pPr>
      <w:r>
        <w:rPr>
          <w:rFonts w:ascii="Arial" w:cs="Arial" w:eastAsia="Arial" w:hAnsi="Arial"/>
          <w:sz w:val="22"/>
          <w:szCs w:val="22"/>
          <w:u w:val="single" w:color="auto"/>
          <w:color w:val="auto"/>
        </w:rPr>
        <w:t>Legends.</w:t>
      </w:r>
      <w:r>
        <w:rPr>
          <w:rFonts w:ascii="Arial" w:cs="Arial" w:eastAsia="Arial" w:hAnsi="Arial"/>
          <w:sz w:val="22"/>
          <w:szCs w:val="22"/>
          <w:color w:val="auto"/>
        </w:rPr>
        <w:t xml:space="preserve"> The Buyer acknowledges and agrees that each certificate, instrument or book-entry security entitlement representing the Shares shall be notated with legends substantially similar to the following (in addition to any legend required under applicable state securities laws):</w:t>
      </w:r>
    </w:p>
    <w:p>
      <w:pPr>
        <w:spacing w:after="0" w:line="145"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1"/>
          <w:szCs w:val="21"/>
          <w:color w:val="auto"/>
        </w:rPr>
        <w:t>THE SECURITIES REPRESENTED HEREBY HAVE NOT BEEN REGISTERED UNDER THE SECURITIES ACT OF 1933 (THE “ACT”) AND MAY NOT BE OFFERED, SOLD OR OTHERWISE TRANSFERRED, PLEDGED, OR HYPOTHECATED UNLESS AND UNTIL REGISTERED UNDER THE ACT OR, IN THE OPINION OF COUNSEL SATISFACTORY TO THE ISSUER OF THESE SECURITIES, SUCH OFFER, SALE OR TRANSFER, PLEDGE OR HYPOTHECATION IS IN COMPLIANCE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615" w:name="page616"/>
    <w:bookmarkEnd w:id="615"/>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1"/>
          <w:szCs w:val="21"/>
          <w:color w:val="auto"/>
        </w:rPr>
        <w:t>THE SHARES REPRESENTED BY THIS CERTIFICATE ARE SUBJECT TO RESTRICTIONS ON TRANSFER FOR A PERIOD FOLLOWING THE EFFECTIVE DATE OF THE UNDERWRITTEN PUBLIC OFFERING OF THE COMPANY’S SECURITIES SET FORTH IN AN AGREEMENT BETWEEN THE ISSUER AND THE ORIGINAL HOLDER OF THESE SHARES AND MAY NOT BE SOLD OR OTHERWISE DISPOSED OF BY THE HOLDER PRIOR TO THE EXPIRATION OF SUCH PERIOD WITHOUT THE CONSENT OF THE COMPANY OR MANAGING UNDERWRITER OR OTHERWISE IN ACCORDANCE WITH THE TERMS OF SUCH AGREEMENT, A COPY OF WHICH IS ON FILE WITH THE SECRETARY OF THE COMPANY.</w:t>
      </w:r>
    </w:p>
    <w:p>
      <w:pPr>
        <w:spacing w:after="0" w:line="140" w:lineRule="exact"/>
        <w:rPr>
          <w:sz w:val="20"/>
          <w:szCs w:val="20"/>
          <w:color w:val="auto"/>
        </w:rPr>
      </w:pPr>
    </w:p>
    <w:p>
      <w:pPr>
        <w:ind w:left="1940" w:hanging="636"/>
        <w:spacing w:after="0"/>
        <w:tabs>
          <w:tab w:leader="none" w:pos="1940" w:val="left"/>
        </w:tabs>
        <w:numPr>
          <w:ilvl w:val="1"/>
          <w:numId w:val="582"/>
        </w:numPr>
        <w:rPr>
          <w:rFonts w:ascii="Arial" w:cs="Arial" w:eastAsia="Arial" w:hAnsi="Arial"/>
          <w:sz w:val="22"/>
          <w:szCs w:val="22"/>
          <w:color w:val="auto"/>
        </w:rPr>
      </w:pPr>
      <w:r>
        <w:rPr>
          <w:rFonts w:ascii="Arial" w:cs="Arial" w:eastAsia="Arial" w:hAnsi="Arial"/>
          <w:sz w:val="22"/>
          <w:szCs w:val="22"/>
          <w:u w:val="single" w:color="auto"/>
          <w:color w:val="auto"/>
        </w:rPr>
        <w:t>Buyer Representations.</w:t>
      </w:r>
      <w:r>
        <w:rPr>
          <w:rFonts w:ascii="Arial" w:cs="Arial" w:eastAsia="Arial" w:hAnsi="Arial"/>
          <w:sz w:val="22"/>
          <w:szCs w:val="22"/>
          <w:color w:val="auto"/>
        </w:rPr>
        <w:t xml:space="preserve"> The Buyer represents and warrants that:</w:t>
      </w:r>
    </w:p>
    <w:p>
      <w:pPr>
        <w:spacing w:after="0" w:line="192" w:lineRule="exact"/>
        <w:rPr>
          <w:rFonts w:ascii="Arial" w:cs="Arial" w:eastAsia="Arial" w:hAnsi="Arial"/>
          <w:sz w:val="22"/>
          <w:szCs w:val="22"/>
          <w:color w:val="auto"/>
        </w:rPr>
      </w:pPr>
    </w:p>
    <w:p>
      <w:pPr>
        <w:jc w:val="both"/>
        <w:ind w:firstLine="1991"/>
        <w:spacing w:after="0" w:line="253" w:lineRule="auto"/>
        <w:tabs>
          <w:tab w:leader="none" w:pos="2592" w:val="left"/>
        </w:tabs>
        <w:numPr>
          <w:ilvl w:val="2"/>
          <w:numId w:val="582"/>
        </w:numPr>
        <w:rPr>
          <w:rFonts w:ascii="Arial" w:cs="Arial" w:eastAsia="Arial" w:hAnsi="Arial"/>
          <w:sz w:val="22"/>
          <w:szCs w:val="22"/>
          <w:color w:val="auto"/>
        </w:rPr>
      </w:pPr>
      <w:r>
        <w:rPr>
          <w:rFonts w:ascii="Arial" w:cs="Arial" w:eastAsia="Arial" w:hAnsi="Arial"/>
          <w:sz w:val="22"/>
          <w:szCs w:val="22"/>
          <w:color w:val="auto"/>
        </w:rPr>
        <w:t>The Buyer is purchasing the Shares for the Buyer’s own account, for investment purposes only and not with a view to, or for sale in connection with, a distribution of the Shares. The Buyer has no present intention of selling or otherwise disposing of all or any portion of the Shares.</w:t>
      </w:r>
    </w:p>
    <w:p>
      <w:pPr>
        <w:spacing w:after="0" w:line="144" w:lineRule="exact"/>
        <w:rPr>
          <w:rFonts w:ascii="Arial" w:cs="Arial" w:eastAsia="Arial" w:hAnsi="Arial"/>
          <w:sz w:val="22"/>
          <w:szCs w:val="22"/>
          <w:color w:val="auto"/>
        </w:rPr>
      </w:pPr>
    </w:p>
    <w:p>
      <w:pPr>
        <w:ind w:firstLine="1931"/>
        <w:spacing w:after="0" w:line="263" w:lineRule="auto"/>
        <w:tabs>
          <w:tab w:leader="none" w:pos="2592" w:val="left"/>
        </w:tabs>
        <w:numPr>
          <w:ilvl w:val="2"/>
          <w:numId w:val="582"/>
        </w:numPr>
        <w:rPr>
          <w:rFonts w:ascii="Arial" w:cs="Arial" w:eastAsia="Arial" w:hAnsi="Arial"/>
          <w:sz w:val="22"/>
          <w:szCs w:val="22"/>
          <w:color w:val="auto"/>
        </w:rPr>
      </w:pPr>
      <w:r>
        <w:rPr>
          <w:rFonts w:ascii="Arial" w:cs="Arial" w:eastAsia="Arial" w:hAnsi="Arial"/>
          <w:sz w:val="22"/>
          <w:szCs w:val="22"/>
          <w:color w:val="auto"/>
        </w:rPr>
        <w:t>he Buyer is an “accredited investor” as defined in Rule 501(a) of Regulation D promulgated under the Securities Act of 1933, as amended (the “</w:t>
      </w:r>
      <w:r>
        <w:rPr>
          <w:rFonts w:ascii="Arial" w:cs="Arial" w:eastAsia="Arial" w:hAnsi="Arial"/>
          <w:sz w:val="22"/>
          <w:szCs w:val="22"/>
          <w:b w:val="1"/>
          <w:bCs w:val="1"/>
          <w:i w:val="1"/>
          <w:iCs w:val="1"/>
          <w:color w:val="auto"/>
        </w:rPr>
        <w:t>Securities Act</w:t>
      </w:r>
      <w:r>
        <w:rPr>
          <w:rFonts w:ascii="Arial" w:cs="Arial" w:eastAsia="Arial" w:hAnsi="Arial"/>
          <w:sz w:val="22"/>
          <w:szCs w:val="22"/>
          <w:color w:val="auto"/>
        </w:rPr>
        <w:t>”).</w:t>
      </w:r>
    </w:p>
    <w:p>
      <w:pPr>
        <w:spacing w:after="0" w:line="134" w:lineRule="exact"/>
        <w:rPr>
          <w:rFonts w:ascii="Arial" w:cs="Arial" w:eastAsia="Arial" w:hAnsi="Arial"/>
          <w:sz w:val="22"/>
          <w:szCs w:val="22"/>
          <w:color w:val="auto"/>
        </w:rPr>
      </w:pPr>
    </w:p>
    <w:p>
      <w:pPr>
        <w:jc w:val="both"/>
        <w:ind w:firstLine="1871"/>
        <w:spacing w:after="0" w:line="253" w:lineRule="auto"/>
        <w:tabs>
          <w:tab w:leader="none" w:pos="2592" w:val="left"/>
        </w:tabs>
        <w:numPr>
          <w:ilvl w:val="2"/>
          <w:numId w:val="582"/>
        </w:numPr>
        <w:rPr>
          <w:rFonts w:ascii="Arial" w:cs="Arial" w:eastAsia="Arial" w:hAnsi="Arial"/>
          <w:sz w:val="22"/>
          <w:szCs w:val="22"/>
          <w:color w:val="auto"/>
        </w:rPr>
      </w:pPr>
      <w:r>
        <w:rPr>
          <w:rFonts w:ascii="Arial" w:cs="Arial" w:eastAsia="Arial" w:hAnsi="Arial"/>
          <w:sz w:val="22"/>
          <w:szCs w:val="22"/>
          <w:color w:val="auto"/>
        </w:rPr>
        <w:t>The Buyer is fully aware of: (A) the highly speculative nature of the Shares; (B) the financial hazards involved in investing in the Shares; (C) the lack of liquidity of the Shares and the restrictions on transferability of the Shares; and (D) the tax consequences to the Buyer of acquiring the Shares.</w:t>
      </w:r>
    </w:p>
    <w:p>
      <w:pPr>
        <w:spacing w:after="0" w:line="158" w:lineRule="exact"/>
        <w:rPr>
          <w:rFonts w:ascii="Arial" w:cs="Arial" w:eastAsia="Arial" w:hAnsi="Arial"/>
          <w:sz w:val="22"/>
          <w:szCs w:val="22"/>
          <w:color w:val="auto"/>
        </w:rPr>
      </w:pPr>
    </w:p>
    <w:p>
      <w:pPr>
        <w:jc w:val="both"/>
        <w:ind w:firstLine="1883"/>
        <w:spacing w:after="0" w:line="253" w:lineRule="auto"/>
        <w:tabs>
          <w:tab w:leader="none" w:pos="2592" w:val="left"/>
        </w:tabs>
        <w:numPr>
          <w:ilvl w:val="2"/>
          <w:numId w:val="582"/>
        </w:numPr>
        <w:rPr>
          <w:rFonts w:ascii="Arial" w:cs="Arial" w:eastAsia="Arial" w:hAnsi="Arial"/>
          <w:sz w:val="22"/>
          <w:szCs w:val="22"/>
          <w:color w:val="auto"/>
        </w:rPr>
      </w:pPr>
      <w:r>
        <w:rPr>
          <w:rFonts w:ascii="Arial" w:cs="Arial" w:eastAsia="Arial" w:hAnsi="Arial"/>
          <w:sz w:val="22"/>
          <w:szCs w:val="22"/>
          <w:color w:val="auto"/>
        </w:rPr>
        <w:t>By reason of the Buyer’s business or financial experience, the Buyer is capable of evaluating the merits and risks of this purchase, has the ability to protect the Buyer’s own interests in this transaction and is financially capable of bearing a total loss of the Shares.</w:t>
      </w:r>
    </w:p>
    <w:p>
      <w:pPr>
        <w:spacing w:after="0" w:line="144" w:lineRule="exact"/>
        <w:rPr>
          <w:rFonts w:ascii="Arial" w:cs="Arial" w:eastAsia="Arial" w:hAnsi="Arial"/>
          <w:sz w:val="22"/>
          <w:szCs w:val="22"/>
          <w:color w:val="auto"/>
        </w:rPr>
      </w:pPr>
    </w:p>
    <w:p>
      <w:pPr>
        <w:ind w:left="2600" w:hanging="657"/>
        <w:spacing w:after="0"/>
        <w:tabs>
          <w:tab w:leader="none" w:pos="2600" w:val="left"/>
        </w:tabs>
        <w:numPr>
          <w:ilvl w:val="2"/>
          <w:numId w:val="582"/>
        </w:numPr>
        <w:rPr>
          <w:rFonts w:ascii="Arial" w:cs="Arial" w:eastAsia="Arial" w:hAnsi="Arial"/>
          <w:sz w:val="19"/>
          <w:szCs w:val="19"/>
          <w:color w:val="auto"/>
        </w:rPr>
      </w:pPr>
      <w:r>
        <w:rPr>
          <w:rFonts w:ascii="Arial" w:cs="Arial" w:eastAsia="Arial" w:hAnsi="Arial"/>
          <w:sz w:val="19"/>
          <w:szCs w:val="19"/>
          <w:color w:val="auto"/>
        </w:rPr>
        <w:t>To the Buyer’s knowledge, neither Buyer nor any of its officers, directors, employees or agents has</w:t>
      </w:r>
    </w:p>
    <w:p>
      <w:pPr>
        <w:spacing w:after="0" w:line="55" w:lineRule="exact"/>
        <w:rPr>
          <w:rFonts w:ascii="Arial" w:cs="Arial" w:eastAsia="Arial" w:hAnsi="Arial"/>
          <w:sz w:val="19"/>
          <w:szCs w:val="19"/>
          <w:color w:val="auto"/>
        </w:rPr>
      </w:pPr>
    </w:p>
    <w:p>
      <w:pPr>
        <w:ind w:left="360" w:hanging="352"/>
        <w:spacing w:after="0"/>
        <w:tabs>
          <w:tab w:leader="none" w:pos="360" w:val="left"/>
        </w:tabs>
        <w:numPr>
          <w:ilvl w:val="0"/>
          <w:numId w:val="583"/>
        </w:numPr>
        <w:rPr>
          <w:rFonts w:ascii="Arial" w:cs="Arial" w:eastAsia="Arial" w:hAnsi="Arial"/>
          <w:sz w:val="19"/>
          <w:szCs w:val="19"/>
          <w:color w:val="auto"/>
        </w:rPr>
      </w:pPr>
      <w:r>
        <w:rPr>
          <w:rFonts w:ascii="Arial" w:cs="Arial" w:eastAsia="Arial" w:hAnsi="Arial"/>
          <w:sz w:val="19"/>
          <w:szCs w:val="19"/>
          <w:color w:val="auto"/>
        </w:rPr>
        <w:t>engaged in, or become interested in the transactions contemplated by this Agreement as a result of any general solicitation, or</w:t>
      </w:r>
    </w:p>
    <w:p>
      <w:pPr>
        <w:spacing w:after="0" w:line="38" w:lineRule="exact"/>
        <w:rPr>
          <w:rFonts w:ascii="Arial" w:cs="Arial" w:eastAsia="Arial" w:hAnsi="Arial"/>
          <w:sz w:val="19"/>
          <w:szCs w:val="19"/>
          <w:color w:val="auto"/>
        </w:rPr>
      </w:pPr>
    </w:p>
    <w:p>
      <w:pPr>
        <w:ind w:left="360" w:hanging="352"/>
        <w:spacing w:after="0"/>
        <w:tabs>
          <w:tab w:leader="none" w:pos="360" w:val="left"/>
        </w:tabs>
        <w:numPr>
          <w:ilvl w:val="0"/>
          <w:numId w:val="583"/>
        </w:numPr>
        <w:rPr>
          <w:rFonts w:ascii="Arial" w:cs="Arial" w:eastAsia="Arial" w:hAnsi="Arial"/>
          <w:sz w:val="22"/>
          <w:szCs w:val="22"/>
          <w:color w:val="auto"/>
        </w:rPr>
      </w:pPr>
      <w:r>
        <w:rPr>
          <w:rFonts w:ascii="Arial" w:cs="Arial" w:eastAsia="Arial" w:hAnsi="Arial"/>
          <w:sz w:val="22"/>
          <w:szCs w:val="22"/>
          <w:color w:val="auto"/>
        </w:rPr>
        <w:t>published any advertisement in connection with the offer and sale of the Shares.</w:t>
      </w:r>
    </w:p>
    <w:p>
      <w:pPr>
        <w:spacing w:after="0" w:line="161" w:lineRule="exact"/>
        <w:rPr>
          <w:rFonts w:ascii="Arial" w:cs="Arial" w:eastAsia="Arial" w:hAnsi="Arial"/>
          <w:sz w:val="22"/>
          <w:szCs w:val="22"/>
          <w:color w:val="auto"/>
        </w:rPr>
      </w:pPr>
    </w:p>
    <w:p>
      <w:pPr>
        <w:jc w:val="both"/>
        <w:ind w:firstLine="1883"/>
        <w:spacing w:after="0" w:line="248" w:lineRule="auto"/>
        <w:tabs>
          <w:tab w:leader="none" w:pos="2592" w:val="left"/>
        </w:tabs>
        <w:numPr>
          <w:ilvl w:val="2"/>
          <w:numId w:val="583"/>
        </w:numPr>
        <w:rPr>
          <w:rFonts w:ascii="Arial" w:cs="Arial" w:eastAsia="Arial" w:hAnsi="Arial"/>
          <w:sz w:val="22"/>
          <w:szCs w:val="22"/>
          <w:color w:val="auto"/>
        </w:rPr>
      </w:pPr>
      <w:r>
        <w:rPr>
          <w:rFonts w:ascii="Arial" w:cs="Arial" w:eastAsia="Arial" w:hAnsi="Arial"/>
          <w:sz w:val="22"/>
          <w:szCs w:val="22"/>
          <w:color w:val="auto"/>
        </w:rPr>
        <w:t>The Buyer understands that the Shares it is purchasing are characterized as “restricted securities” under United States’ federal securities laws and that under such laws and applicable regulations such securities may be resold without registration under the Securities Act only in certain limited circumstances. In connection with this, the Buyer represents that it is familiar with Securities and Exchange Commission (the “</w:t>
      </w:r>
      <w:r>
        <w:rPr>
          <w:rFonts w:ascii="Arial" w:cs="Arial" w:eastAsia="Arial" w:hAnsi="Arial"/>
          <w:sz w:val="22"/>
          <w:szCs w:val="22"/>
          <w:b w:val="1"/>
          <w:bCs w:val="1"/>
          <w:i w:val="1"/>
          <w:iCs w:val="1"/>
          <w:color w:val="auto"/>
        </w:rPr>
        <w:t>SEC</w:t>
      </w:r>
      <w:r>
        <w:rPr>
          <w:rFonts w:ascii="Arial" w:cs="Arial" w:eastAsia="Arial" w:hAnsi="Arial"/>
          <w:sz w:val="22"/>
          <w:szCs w:val="22"/>
          <w:color w:val="auto"/>
        </w:rPr>
        <w:t>”) Rule 144, as presently in effect, and understands the resale limitations imposed thereby and by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616" w:name="page617"/>
    <w:bookmarkEnd w:id="616"/>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1823"/>
        <w:spacing w:after="0" w:line="263" w:lineRule="auto"/>
        <w:tabs>
          <w:tab w:leader="none" w:pos="2592" w:val="left"/>
        </w:tabs>
        <w:numPr>
          <w:ilvl w:val="1"/>
          <w:numId w:val="584"/>
        </w:numPr>
        <w:rPr>
          <w:rFonts w:ascii="Arial" w:cs="Arial" w:eastAsia="Arial" w:hAnsi="Arial"/>
          <w:sz w:val="22"/>
          <w:szCs w:val="22"/>
          <w:color w:val="auto"/>
        </w:rPr>
      </w:pPr>
      <w:r>
        <w:rPr>
          <w:rFonts w:ascii="Arial" w:cs="Arial" w:eastAsia="Arial" w:hAnsi="Arial"/>
          <w:sz w:val="22"/>
          <w:szCs w:val="22"/>
          <w:color w:val="auto"/>
        </w:rPr>
        <w:t>The Buyer understands that no public market now exists for any of the securities issued by the Company and that the Company has made no assurances that a public market will ever exist for the Shares.</w:t>
      </w:r>
    </w:p>
    <w:p>
      <w:pPr>
        <w:spacing w:after="0" w:line="134" w:lineRule="exact"/>
        <w:rPr>
          <w:rFonts w:ascii="Arial" w:cs="Arial" w:eastAsia="Arial" w:hAnsi="Arial"/>
          <w:sz w:val="22"/>
          <w:szCs w:val="22"/>
          <w:color w:val="auto"/>
        </w:rPr>
      </w:pPr>
    </w:p>
    <w:p>
      <w:pPr>
        <w:jc w:val="both"/>
        <w:ind w:firstLine="1763"/>
        <w:spacing w:after="0" w:line="248" w:lineRule="auto"/>
        <w:tabs>
          <w:tab w:leader="none" w:pos="2592" w:val="left"/>
        </w:tabs>
        <w:numPr>
          <w:ilvl w:val="1"/>
          <w:numId w:val="584"/>
        </w:numPr>
        <w:rPr>
          <w:rFonts w:ascii="Arial" w:cs="Arial" w:eastAsia="Arial" w:hAnsi="Arial"/>
          <w:sz w:val="22"/>
          <w:szCs w:val="22"/>
          <w:color w:val="auto"/>
        </w:rPr>
      </w:pPr>
      <w:r>
        <w:rPr>
          <w:rFonts w:ascii="Arial" w:cs="Arial" w:eastAsia="Arial" w:hAnsi="Arial"/>
          <w:sz w:val="22"/>
          <w:szCs w:val="22"/>
          <w:color w:val="auto"/>
        </w:rPr>
        <w:t>The Buyer is not nor will it be obligated for any finder’s fee or commission in connection with the Secondary Purchases. The Buyer agrees to indemnify and hold harmless the Company from any liability for any commission or compensation in the nature of a finder’s or broker’s fee arising out of the Secondary Purchases (and the costs and expenses of defending against such liability or asserted liability) for which the Buyer or any of its officers, employees or representatives is responsible.</w:t>
      </w:r>
    </w:p>
    <w:p>
      <w:pPr>
        <w:spacing w:after="0" w:line="164" w:lineRule="exact"/>
        <w:rPr>
          <w:rFonts w:ascii="Arial" w:cs="Arial" w:eastAsia="Arial" w:hAnsi="Arial"/>
          <w:sz w:val="22"/>
          <w:szCs w:val="22"/>
          <w:color w:val="auto"/>
        </w:rPr>
      </w:pPr>
    </w:p>
    <w:p>
      <w:pPr>
        <w:ind w:right="20" w:firstLine="1883"/>
        <w:spacing w:after="0" w:line="263" w:lineRule="auto"/>
        <w:tabs>
          <w:tab w:leader="none" w:pos="2592" w:val="left"/>
        </w:tabs>
        <w:numPr>
          <w:ilvl w:val="1"/>
          <w:numId w:val="584"/>
        </w:numPr>
        <w:rPr>
          <w:rFonts w:ascii="Arial" w:cs="Arial" w:eastAsia="Arial" w:hAnsi="Arial"/>
          <w:sz w:val="22"/>
          <w:szCs w:val="22"/>
          <w:color w:val="auto"/>
        </w:rPr>
      </w:pPr>
      <w:r>
        <w:rPr>
          <w:rFonts w:ascii="Arial" w:cs="Arial" w:eastAsia="Arial" w:hAnsi="Arial"/>
          <w:sz w:val="22"/>
          <w:szCs w:val="22"/>
          <w:color w:val="auto"/>
        </w:rPr>
        <w:t>The Buyer represents and warrants that at least two of its limited partners have at least $1 billion U.S. Dollars under management.</w:t>
      </w:r>
    </w:p>
    <w:p>
      <w:pPr>
        <w:spacing w:after="0" w:line="134" w:lineRule="exact"/>
        <w:rPr>
          <w:rFonts w:ascii="Arial" w:cs="Arial" w:eastAsia="Arial" w:hAnsi="Arial"/>
          <w:sz w:val="22"/>
          <w:szCs w:val="22"/>
          <w:color w:val="auto"/>
        </w:rPr>
      </w:pPr>
    </w:p>
    <w:p>
      <w:pPr>
        <w:jc w:val="both"/>
        <w:ind w:firstLine="1304"/>
        <w:spacing w:after="0" w:line="258" w:lineRule="auto"/>
        <w:tabs>
          <w:tab w:leader="none" w:pos="1941" w:val="left"/>
        </w:tabs>
        <w:numPr>
          <w:ilvl w:val="0"/>
          <w:numId w:val="585"/>
        </w:numPr>
        <w:rPr>
          <w:rFonts w:ascii="Arial" w:cs="Arial" w:eastAsia="Arial" w:hAnsi="Arial"/>
          <w:sz w:val="21"/>
          <w:szCs w:val="21"/>
          <w:color w:val="auto"/>
        </w:rPr>
      </w:pPr>
      <w:r>
        <w:rPr>
          <w:rFonts w:ascii="Arial" w:cs="Arial" w:eastAsia="Arial" w:hAnsi="Arial"/>
          <w:sz w:val="21"/>
          <w:szCs w:val="21"/>
          <w:u w:val="single" w:color="auto"/>
          <w:color w:val="auto"/>
        </w:rPr>
        <w:t>Reliance.</w:t>
      </w:r>
      <w:r>
        <w:rPr>
          <w:rFonts w:ascii="Arial" w:cs="Arial" w:eastAsia="Arial" w:hAnsi="Arial"/>
          <w:sz w:val="21"/>
          <w:szCs w:val="21"/>
          <w:color w:val="auto"/>
        </w:rPr>
        <w:t xml:space="preserve"> The Buyer acknowledges and agrees that neither the Company, nor any of its stockholders, officers, directors, employees, or agents have (i) acted as an agent, finder or broker for the Buyer or its agents with respect to the Secondary Purchases or (ii) made any representations or warranties of any kind, express or implied, to the Buyer or its agents in connection with the Secondary Purchases (other than as set forth in the Shareworks Agreement or herein). By executing this Agreement, the Company is not expressing any opinion or making any recommendation to any Buyer regarding the advisability of the Secondary Purchases. The Buyer acknowledges that it has consulted its own financial, legal and tax advisors, and is solely responsible for the decision to enter into this Agreement and participate in the Secondary Purchases. The Buyer acknowledges and agrees that neither the Company nor the Company’s transfer agent, nor their respective agents, attorneys, officers or directors, has made any representation to the Buyer about the advisability of the Secondary Purchases or the potential value of the Shares.</w:t>
      </w:r>
    </w:p>
    <w:p>
      <w:pPr>
        <w:spacing w:after="0" w:line="144" w:lineRule="exact"/>
        <w:rPr>
          <w:rFonts w:ascii="Arial" w:cs="Arial" w:eastAsia="Arial" w:hAnsi="Arial"/>
          <w:sz w:val="21"/>
          <w:szCs w:val="21"/>
          <w:color w:val="auto"/>
        </w:rPr>
      </w:pPr>
    </w:p>
    <w:p>
      <w:pPr>
        <w:jc w:val="both"/>
        <w:ind w:firstLine="1304"/>
        <w:spacing w:after="0" w:line="257" w:lineRule="auto"/>
        <w:tabs>
          <w:tab w:leader="none" w:pos="1944" w:val="left"/>
        </w:tabs>
        <w:numPr>
          <w:ilvl w:val="0"/>
          <w:numId w:val="585"/>
        </w:numPr>
        <w:rPr>
          <w:rFonts w:ascii="Arial" w:cs="Arial" w:eastAsia="Arial" w:hAnsi="Arial"/>
          <w:sz w:val="21"/>
          <w:szCs w:val="21"/>
          <w:color w:val="auto"/>
        </w:rPr>
      </w:pPr>
      <w:r>
        <w:rPr>
          <w:rFonts w:ascii="Arial" w:cs="Arial" w:eastAsia="Arial" w:hAnsi="Arial"/>
          <w:sz w:val="21"/>
          <w:szCs w:val="21"/>
          <w:u w:val="single" w:color="auto"/>
          <w:color w:val="auto"/>
        </w:rPr>
        <w:t>Confidentiality.</w:t>
      </w:r>
      <w:r>
        <w:rPr>
          <w:rFonts w:ascii="Arial" w:cs="Arial" w:eastAsia="Arial" w:hAnsi="Arial"/>
          <w:sz w:val="21"/>
          <w:szCs w:val="21"/>
          <w:color w:val="auto"/>
        </w:rPr>
        <w:t xml:space="preserve"> The Buyer agrees that the Buyer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(i) is known or becomes known to the public in general (other than as a result of a breach of this Agreement by the Buyer), (ii) is or has been independently developed or conceived by the Buyer without use of the Company’s confidential information, or (iii) is or has been made known or disclosed to the Buyer by a third party without a breach of any obligation of confidentiality such third party may have to the Company; provided, however, that the Buyer may disclose confidential information (A) to its attorneys, accountants, consultants, and other professionals to the extent necessary to obtain their services in connection with monitoring its investment in the Company; (B) to any prospective purchaser of any Shares from the Buyer, if such prospective purchaser agrees to be bound by the provisions of this Section 2(f); (C) to any existing or prospective Affiliate, partner, member, stockholder, or wholly owned subsidiary of the Buyer in the ordinary course of business, provided that the Buyer informs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617" w:name="page618"/>
    <w:bookmarkEnd w:id="617"/>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Person that such information is confidential and directs such Person to maintain the confidentiality of such information; or (D) as may otherwise be required by law, provided that the Buyer promptly notifies the Company of such disclosure and takes reasonable steps to minimize the extent of any such required disclosure. Notwithstanding the foregoing, the Buyer may not disclose or divulge the Quarterly Business Deck to any third party, including but not limited to any existing or prospective Affiliate, partner, member, or stockholder, except as required by law.</w:t>
      </w:r>
    </w:p>
    <w:p>
      <w:pPr>
        <w:spacing w:after="0" w:line="135" w:lineRule="exact"/>
        <w:rPr>
          <w:sz w:val="20"/>
          <w:szCs w:val="20"/>
          <w:color w:val="auto"/>
        </w:rPr>
      </w:pPr>
    </w:p>
    <w:p>
      <w:pPr>
        <w:jc w:val="both"/>
        <w:ind w:firstLine="1304"/>
        <w:spacing w:after="0" w:line="260" w:lineRule="auto"/>
        <w:tabs>
          <w:tab w:leader="none" w:pos="1939" w:val="left"/>
        </w:tabs>
        <w:numPr>
          <w:ilvl w:val="0"/>
          <w:numId w:val="586"/>
        </w:numPr>
        <w:rPr>
          <w:rFonts w:ascii="Arial" w:cs="Arial" w:eastAsia="Arial" w:hAnsi="Arial"/>
          <w:sz w:val="21"/>
          <w:szCs w:val="21"/>
          <w:color w:val="auto"/>
        </w:rPr>
      </w:pPr>
      <w:r>
        <w:rPr>
          <w:rFonts w:ascii="Arial" w:cs="Arial" w:eastAsia="Arial" w:hAnsi="Arial"/>
          <w:sz w:val="21"/>
          <w:szCs w:val="21"/>
          <w:u w:val="single" w:color="auto"/>
          <w:color w:val="auto"/>
        </w:rPr>
        <w:t>Publicity.</w:t>
      </w:r>
      <w:r>
        <w:rPr>
          <w:rFonts w:ascii="Arial" w:cs="Arial" w:eastAsia="Arial" w:hAnsi="Arial"/>
          <w:sz w:val="21"/>
          <w:szCs w:val="21"/>
          <w:color w:val="auto"/>
        </w:rPr>
        <w:t xml:space="preserve"> The Company agrees that it will not, without the prior written consent of the Buyer, use in advertising, publicity, public announcements, or otherwise the name or trademarks of the Buyer or any Affiliate thereof; provided, however, that, the Company may reference the Buyer in internal communications regarding the Secondary Purchases consistent with the terms thereof and the Company may reference the Buyer in a public statement to be released to media outlets upon request, provided that each of the Company and the Buyer shall approve such statement in advance. Notwithstanding the foregoing, if such disclosure is required by law, regulation, court order or applicable stock exchange rules or regulations, the Company is permitted to make such applicable disclosure.</w:t>
      </w:r>
    </w:p>
    <w:p>
      <w:pPr>
        <w:spacing w:after="0" w:line="153" w:lineRule="exact"/>
        <w:rPr>
          <w:rFonts w:ascii="Arial" w:cs="Arial" w:eastAsia="Arial" w:hAnsi="Arial"/>
          <w:sz w:val="21"/>
          <w:szCs w:val="21"/>
          <w:color w:val="auto"/>
        </w:rPr>
      </w:pPr>
    </w:p>
    <w:p>
      <w:pPr>
        <w:ind w:left="1940" w:hanging="636"/>
        <w:spacing w:after="0"/>
        <w:tabs>
          <w:tab w:leader="none" w:pos="1940" w:val="left"/>
        </w:tabs>
        <w:numPr>
          <w:ilvl w:val="0"/>
          <w:numId w:val="586"/>
        </w:numPr>
        <w:rPr>
          <w:rFonts w:ascii="Arial" w:cs="Arial" w:eastAsia="Arial" w:hAnsi="Arial"/>
          <w:sz w:val="22"/>
          <w:szCs w:val="22"/>
          <w:color w:val="auto"/>
        </w:rPr>
      </w:pPr>
      <w:r>
        <w:rPr>
          <w:rFonts w:ascii="Arial" w:cs="Arial" w:eastAsia="Arial" w:hAnsi="Arial"/>
          <w:sz w:val="22"/>
          <w:szCs w:val="22"/>
          <w:u w:val="single" w:color="auto"/>
          <w:color w:val="auto"/>
        </w:rPr>
        <w:t>Company Representations</w:t>
      </w:r>
      <w:r>
        <w:rPr>
          <w:rFonts w:ascii="Arial" w:cs="Arial" w:eastAsia="Arial" w:hAnsi="Arial"/>
          <w:sz w:val="22"/>
          <w:szCs w:val="22"/>
          <w:color w:val="auto"/>
        </w:rPr>
        <w:t>. The Company hereby represents and warrants that:</w:t>
      </w:r>
    </w:p>
    <w:p>
      <w:pPr>
        <w:spacing w:after="0" w:line="179" w:lineRule="exact"/>
        <w:rPr>
          <w:rFonts w:ascii="Arial" w:cs="Arial" w:eastAsia="Arial" w:hAnsi="Arial"/>
          <w:sz w:val="22"/>
          <w:szCs w:val="22"/>
          <w:color w:val="auto"/>
        </w:rPr>
      </w:pPr>
    </w:p>
    <w:p>
      <w:pPr>
        <w:ind w:left="2580" w:hanging="628"/>
        <w:spacing w:after="0"/>
        <w:tabs>
          <w:tab w:leader="none" w:pos="2580" w:val="left"/>
        </w:tabs>
        <w:numPr>
          <w:ilvl w:val="1"/>
          <w:numId w:val="586"/>
        </w:numPr>
        <w:rPr>
          <w:rFonts w:ascii="Arial" w:cs="Arial" w:eastAsia="Arial" w:hAnsi="Arial"/>
          <w:sz w:val="22"/>
          <w:szCs w:val="22"/>
          <w:color w:val="auto"/>
        </w:rPr>
      </w:pPr>
      <w:r>
        <w:rPr>
          <w:rFonts w:ascii="Arial" w:cs="Arial" w:eastAsia="Arial" w:hAnsi="Arial"/>
          <w:sz w:val="22"/>
          <w:szCs w:val="22"/>
          <w:color w:val="auto"/>
        </w:rPr>
        <w:t>The authorized capital of the Company consists, as of May 31, 2020, of:</w:t>
      </w:r>
    </w:p>
    <w:p>
      <w:pPr>
        <w:spacing w:after="0" w:line="179" w:lineRule="exact"/>
        <w:rPr>
          <w:rFonts w:ascii="Arial" w:cs="Arial" w:eastAsia="Arial" w:hAnsi="Arial"/>
          <w:sz w:val="22"/>
          <w:szCs w:val="22"/>
          <w:color w:val="auto"/>
        </w:rPr>
      </w:pPr>
    </w:p>
    <w:p>
      <w:pPr>
        <w:jc w:val="both"/>
        <w:ind w:firstLine="2600"/>
        <w:spacing w:after="0" w:line="290" w:lineRule="auto"/>
        <w:tabs>
          <w:tab w:leader="none" w:pos="3235" w:val="left"/>
        </w:tabs>
        <w:numPr>
          <w:ilvl w:val="2"/>
          <w:numId w:val="586"/>
        </w:numPr>
        <w:rPr>
          <w:rFonts w:ascii="Arial" w:cs="Arial" w:eastAsia="Arial" w:hAnsi="Arial"/>
          <w:sz w:val="19"/>
          <w:szCs w:val="19"/>
          <w:color w:val="auto"/>
        </w:rPr>
      </w:pPr>
      <w:r>
        <w:rPr>
          <w:rFonts w:ascii="Arial" w:cs="Arial" w:eastAsia="Arial" w:hAnsi="Arial"/>
          <w:sz w:val="19"/>
          <w:szCs w:val="19"/>
          <w:color w:val="auto"/>
        </w:rPr>
        <w:t>155,000,000 shares of Class A Common Stock, $0.0001 par value per share (the “</w:t>
      </w:r>
      <w:r>
        <w:rPr>
          <w:rFonts w:ascii="Arial" w:cs="Arial" w:eastAsia="Arial" w:hAnsi="Arial"/>
          <w:sz w:val="19"/>
          <w:szCs w:val="19"/>
          <w:b w:val="1"/>
          <w:bCs w:val="1"/>
          <w:i w:val="1"/>
          <w:iCs w:val="1"/>
          <w:color w:val="auto"/>
        </w:rPr>
        <w:t>Class A</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Common Stock</w:t>
      </w:r>
      <w:r>
        <w:rPr>
          <w:rFonts w:ascii="Arial" w:cs="Arial" w:eastAsia="Arial" w:hAnsi="Arial"/>
          <w:sz w:val="19"/>
          <w:szCs w:val="19"/>
          <w:color w:val="auto"/>
        </w:rPr>
        <w:t>”), 18,710,963 shares of which are issued and outstanding, (B) 70,000,000 shares of Class F Common Stock,</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$0.0001 par value per share (the “</w:t>
      </w:r>
      <w:r>
        <w:rPr>
          <w:rFonts w:ascii="Arial" w:cs="Arial" w:eastAsia="Arial" w:hAnsi="Arial"/>
          <w:sz w:val="19"/>
          <w:szCs w:val="19"/>
          <w:b w:val="1"/>
          <w:bCs w:val="1"/>
          <w:i w:val="1"/>
          <w:iCs w:val="1"/>
          <w:color w:val="auto"/>
        </w:rPr>
        <w:t>Class F Common Stock</w:t>
      </w:r>
      <w:r>
        <w:rPr>
          <w:rFonts w:ascii="Arial" w:cs="Arial" w:eastAsia="Arial" w:hAnsi="Arial"/>
          <w:sz w:val="19"/>
          <w:szCs w:val="19"/>
          <w:color w:val="auto"/>
        </w:rPr>
        <w:t>”), 68,637,122 shares of which are issued and outstanding, (C) 30,000,000 shares of Class G Common Stock, $0.0001 par value per share (the “</w:t>
      </w:r>
      <w:r>
        <w:rPr>
          <w:rFonts w:ascii="Arial" w:cs="Arial" w:eastAsia="Arial" w:hAnsi="Arial"/>
          <w:sz w:val="19"/>
          <w:szCs w:val="19"/>
          <w:b w:val="1"/>
          <w:bCs w:val="1"/>
          <w:i w:val="1"/>
          <w:iCs w:val="1"/>
          <w:color w:val="auto"/>
        </w:rPr>
        <w:t>Class G Common Stock</w:t>
      </w:r>
      <w:r>
        <w:rPr>
          <w:rFonts w:ascii="Arial" w:cs="Arial" w:eastAsia="Arial" w:hAnsi="Arial"/>
          <w:sz w:val="19"/>
          <w:szCs w:val="19"/>
          <w:color w:val="auto"/>
        </w:rPr>
        <w:t>” and together with the Class A Common Stock and Class F Common Stock, the “</w:t>
      </w:r>
      <w:r>
        <w:rPr>
          <w:rFonts w:ascii="Arial" w:cs="Arial" w:eastAsia="Arial" w:hAnsi="Arial"/>
          <w:sz w:val="19"/>
          <w:szCs w:val="19"/>
          <w:b w:val="1"/>
          <w:bCs w:val="1"/>
          <w:i w:val="1"/>
          <w:iCs w:val="1"/>
          <w:color w:val="auto"/>
        </w:rPr>
        <w:t>Common Stock</w:t>
      </w:r>
      <w:r>
        <w:rPr>
          <w:rFonts w:ascii="Arial" w:cs="Arial" w:eastAsia="Arial" w:hAnsi="Arial"/>
          <w:sz w:val="19"/>
          <w:szCs w:val="19"/>
          <w:color w:val="auto"/>
        </w:rPr>
        <w:t xml:space="preserve">”), no shares of which are issued and outstanding. Other than as disclosed in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hereto, all of the outstanding shares of Common Stock have been duly authorized, are fully paid and nonassessable and were issued in compliance with all applicable federal and state securities laws. Other than as disclosed in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hereto, the Company holds no Common Stock in its treasury.</w:t>
      </w:r>
    </w:p>
    <w:p>
      <w:pPr>
        <w:spacing w:after="0" w:line="128" w:lineRule="exact"/>
        <w:rPr>
          <w:rFonts w:ascii="Arial" w:cs="Arial" w:eastAsia="Arial" w:hAnsi="Arial"/>
          <w:sz w:val="19"/>
          <w:szCs w:val="19"/>
          <w:color w:val="auto"/>
        </w:rPr>
      </w:pPr>
    </w:p>
    <w:p>
      <w:pPr>
        <w:jc w:val="both"/>
        <w:ind w:firstLine="2600"/>
        <w:spacing w:after="0" w:line="247" w:lineRule="auto"/>
        <w:tabs>
          <w:tab w:leader="none" w:pos="3235" w:val="left"/>
        </w:tabs>
        <w:numPr>
          <w:ilvl w:val="2"/>
          <w:numId w:val="586"/>
        </w:numPr>
        <w:rPr>
          <w:rFonts w:ascii="Arial" w:cs="Arial" w:eastAsia="Arial" w:hAnsi="Arial"/>
          <w:sz w:val="22"/>
          <w:szCs w:val="22"/>
          <w:color w:val="auto"/>
        </w:rPr>
      </w:pPr>
      <w:r>
        <w:rPr>
          <w:rFonts w:ascii="Arial" w:cs="Arial" w:eastAsia="Arial" w:hAnsi="Arial"/>
          <w:sz w:val="22"/>
          <w:szCs w:val="22"/>
          <w:color w:val="auto"/>
        </w:rPr>
        <w:t>17,301,256 shares of Preferred Stock, $0.0001 par value per share (the “</w:t>
      </w:r>
      <w:r>
        <w:rPr>
          <w:rFonts w:ascii="Arial" w:cs="Arial" w:eastAsia="Arial" w:hAnsi="Arial"/>
          <w:sz w:val="22"/>
          <w:szCs w:val="22"/>
          <w:b w:val="1"/>
          <w:bCs w:val="1"/>
          <w:i w:val="1"/>
          <w:iCs w:val="1"/>
          <w:color w:val="auto"/>
        </w:rPr>
        <w:t>Preferred Stock</w:t>
      </w:r>
      <w:r>
        <w:rPr>
          <w:rFonts w:ascii="Arial" w:cs="Arial" w:eastAsia="Arial" w:hAnsi="Arial"/>
          <w:sz w:val="22"/>
          <w:szCs w:val="22"/>
          <w:color w:val="auto"/>
        </w:rPr>
        <w:t>”), all of which have been designated Series A Preferred Stock, and 15,374,664 of which are issued and outstanding. The rights, privileges and preferences of the Preferred Stock are as stated in the Second Amended and Restated Certificate of Incorporation of the Company filed with the Secretary of State of the State of Delaware on January 29, 2015, as amended, and as provided by the Delaware General Corporation Law. All of the outstanding shares of Preferred Stock have been duly authorized, are fully paid and nonassessable and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618" w:name="page619"/>
    <w:bookmarkEnd w:id="618"/>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color w:val="auto"/>
        </w:rPr>
        <w:t>issued in compliance with all applicable federal and state securities laws. The Company holds no Preferred Stock in its treasury.</w:t>
      </w:r>
    </w:p>
    <w:p>
      <w:pPr>
        <w:spacing w:after="0" w:line="214" w:lineRule="exact"/>
        <w:rPr>
          <w:sz w:val="20"/>
          <w:szCs w:val="20"/>
          <w:color w:val="auto"/>
        </w:rPr>
      </w:pPr>
    </w:p>
    <w:p>
      <w:pPr>
        <w:jc w:val="both"/>
        <w:ind w:firstLine="1952"/>
        <w:spacing w:after="0" w:line="261" w:lineRule="auto"/>
        <w:tabs>
          <w:tab w:leader="none" w:pos="2586" w:val="left"/>
        </w:tabs>
        <w:numPr>
          <w:ilvl w:val="2"/>
          <w:numId w:val="587"/>
        </w:numPr>
        <w:rPr>
          <w:rFonts w:ascii="Arial" w:cs="Arial" w:eastAsia="Arial" w:hAnsi="Arial"/>
          <w:sz w:val="21"/>
          <w:szCs w:val="21"/>
          <w:color w:val="auto"/>
        </w:rPr>
      </w:pPr>
      <w:r>
        <w:rPr>
          <w:rFonts w:ascii="Arial" w:cs="Arial" w:eastAsia="Arial" w:hAnsi="Arial"/>
          <w:sz w:val="21"/>
          <w:szCs w:val="21"/>
          <w:color w:val="auto"/>
        </w:rPr>
        <w:t>The Company has reserved 42,062,674 shares of Class A Common Stock for issuance to officers, directors, employees and consultants of the Company pursuant to its 2012 Equity Incentive Plan duly adopted by the Board of Directors and approved by the Company stockholders (the “</w:t>
      </w:r>
      <w:r>
        <w:rPr>
          <w:rFonts w:ascii="Arial" w:cs="Arial" w:eastAsia="Arial" w:hAnsi="Arial"/>
          <w:sz w:val="21"/>
          <w:szCs w:val="21"/>
          <w:b w:val="1"/>
          <w:bCs w:val="1"/>
          <w:i w:val="1"/>
          <w:iCs w:val="1"/>
          <w:color w:val="auto"/>
        </w:rPr>
        <w:t>Stock Plan</w:t>
      </w:r>
      <w:r>
        <w:rPr>
          <w:rFonts w:ascii="Arial" w:cs="Arial" w:eastAsia="Arial" w:hAnsi="Arial"/>
          <w:sz w:val="21"/>
          <w:szCs w:val="21"/>
          <w:color w:val="auto"/>
        </w:rPr>
        <w:t>”). Of such reserved shares of Common Stock, options to purchase 20,456,359 shares are currently outstanding, 20,793,893 options have been exercised, 738,449 Restricted Stock Units have been granted and 2,632,230 shares of Class A Common Stock remain available for issuance to officers, directors, employees and consultants pursuant to the Stock Plan.</w:t>
      </w:r>
    </w:p>
    <w:p>
      <w:pPr>
        <w:spacing w:after="0" w:line="152" w:lineRule="exact"/>
        <w:rPr>
          <w:rFonts w:ascii="Arial" w:cs="Arial" w:eastAsia="Arial" w:hAnsi="Arial"/>
          <w:sz w:val="21"/>
          <w:szCs w:val="21"/>
          <w:color w:val="auto"/>
        </w:rPr>
      </w:pPr>
    </w:p>
    <w:p>
      <w:pPr>
        <w:jc w:val="both"/>
        <w:ind w:firstLine="1952"/>
        <w:spacing w:after="0" w:line="247" w:lineRule="auto"/>
        <w:tabs>
          <w:tab w:leader="none" w:pos="2592" w:val="left"/>
        </w:tabs>
        <w:numPr>
          <w:ilvl w:val="2"/>
          <w:numId w:val="587"/>
        </w:numPr>
        <w:rPr>
          <w:rFonts w:ascii="Arial" w:cs="Arial" w:eastAsia="Arial" w:hAnsi="Arial"/>
          <w:sz w:val="22"/>
          <w:szCs w:val="22"/>
          <w:color w:val="auto"/>
        </w:rPr>
      </w:pPr>
      <w:r>
        <w:rPr>
          <w:rFonts w:ascii="Arial" w:cs="Arial" w:eastAsia="Arial" w:hAnsi="Arial"/>
          <w:sz w:val="22"/>
          <w:szCs w:val="22"/>
          <w:color w:val="auto"/>
        </w:rPr>
        <w:t xml:space="preserve">Except for (i) the conversion privileges of the Preferred Stock and Class F Common Stock, (ii) the rights provided in Section 4 of the Rights Agreement, and (iii) the securities and rights described in the foregoing </w:t>
      </w:r>
      <w:r>
        <w:rPr>
          <w:rFonts w:ascii="Arial" w:cs="Arial" w:eastAsia="Arial" w:hAnsi="Arial"/>
          <w:sz w:val="22"/>
          <w:szCs w:val="22"/>
          <w:u w:val="single" w:color="auto"/>
          <w:color w:val="auto"/>
        </w:rPr>
        <w:t>Section 3(h)(ii)</w:t>
      </w:r>
      <w:r>
        <w:rPr>
          <w:rFonts w:ascii="Arial" w:cs="Arial" w:eastAsia="Arial" w:hAnsi="Arial"/>
          <w:sz w:val="22"/>
          <w:szCs w:val="22"/>
          <w:color w:val="auto"/>
        </w:rPr>
        <w:t xml:space="preserve"> of this Agreement and as disclosed in </w:t>
      </w:r>
      <w:r>
        <w:rPr>
          <w:rFonts w:ascii="Arial" w:cs="Arial" w:eastAsia="Arial" w:hAnsi="Arial"/>
          <w:sz w:val="22"/>
          <w:szCs w:val="22"/>
          <w:u w:val="single" w:color="auto"/>
          <w:color w:val="auto"/>
        </w:rPr>
        <w:t>Schedule 1</w:t>
      </w:r>
      <w:r>
        <w:rPr>
          <w:rFonts w:ascii="Arial" w:cs="Arial" w:eastAsia="Arial" w:hAnsi="Arial"/>
          <w:sz w:val="22"/>
          <w:szCs w:val="22"/>
          <w:color w:val="auto"/>
        </w:rPr>
        <w:t xml:space="preserve"> hereto, there are no outstanding options, warrants, rights (including conversion or preemptive rights and rights of first refusal or similar rights) or agreements, orally or in writing, to purchase or acquire from the Company any shares of Common Stock or Preferred Stock, or any securities convertible into or exchangeable for shares of Common Stock or Preferred Stock.</w:t>
      </w:r>
    </w:p>
    <w:p>
      <w:pPr>
        <w:spacing w:after="0" w:line="152" w:lineRule="exact"/>
        <w:rPr>
          <w:rFonts w:ascii="Arial" w:cs="Arial" w:eastAsia="Arial" w:hAnsi="Arial"/>
          <w:sz w:val="22"/>
          <w:szCs w:val="22"/>
          <w:color w:val="auto"/>
        </w:rPr>
      </w:pPr>
    </w:p>
    <w:p>
      <w:pPr>
        <w:ind w:left="2580" w:hanging="628"/>
        <w:spacing w:after="0"/>
        <w:tabs>
          <w:tab w:leader="none" w:pos="2580" w:val="left"/>
        </w:tabs>
        <w:numPr>
          <w:ilvl w:val="2"/>
          <w:numId w:val="587"/>
        </w:numPr>
        <w:rPr>
          <w:rFonts w:ascii="Arial" w:cs="Arial" w:eastAsia="Arial" w:hAnsi="Arial"/>
          <w:sz w:val="19"/>
          <w:szCs w:val="19"/>
          <w:color w:val="auto"/>
        </w:rPr>
      </w:pPr>
      <w:r>
        <w:rPr>
          <w:rFonts w:ascii="Arial" w:cs="Arial" w:eastAsia="Arial" w:hAnsi="Arial"/>
          <w:sz w:val="19"/>
          <w:szCs w:val="19"/>
          <w:color w:val="auto"/>
        </w:rPr>
        <w:t>Upon settlement of the Secondary Purchases, all of the Shares will be validly issued, fully paid and</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nonassessable.</w:t>
      </w:r>
    </w:p>
    <w:p>
      <w:pPr>
        <w:spacing w:after="0" w:line="161" w:lineRule="exact"/>
        <w:rPr>
          <w:rFonts w:ascii="Arial" w:cs="Arial" w:eastAsia="Arial" w:hAnsi="Arial"/>
          <w:sz w:val="19"/>
          <w:szCs w:val="19"/>
          <w:color w:val="auto"/>
        </w:rPr>
      </w:pPr>
    </w:p>
    <w:p>
      <w:pPr>
        <w:ind w:left="1300" w:hanging="644"/>
        <w:spacing w:after="0"/>
        <w:tabs>
          <w:tab w:leader="none" w:pos="1300" w:val="left"/>
        </w:tabs>
        <w:numPr>
          <w:ilvl w:val="0"/>
          <w:numId w:val="588"/>
        </w:numPr>
        <w:rPr>
          <w:rFonts w:ascii="Arial" w:cs="Arial" w:eastAsia="Arial" w:hAnsi="Arial"/>
          <w:sz w:val="22"/>
          <w:szCs w:val="22"/>
          <w:color w:val="auto"/>
        </w:rPr>
      </w:pPr>
      <w:r>
        <w:rPr>
          <w:rFonts w:ascii="Arial" w:cs="Arial" w:eastAsia="Arial" w:hAnsi="Arial"/>
          <w:sz w:val="22"/>
          <w:szCs w:val="22"/>
          <w:u w:val="single" w:color="auto"/>
          <w:color w:val="auto"/>
        </w:rPr>
        <w:t>Additional Rights.</w:t>
      </w:r>
    </w:p>
    <w:p>
      <w:pPr>
        <w:spacing w:after="0" w:line="192" w:lineRule="exact"/>
        <w:rPr>
          <w:rFonts w:ascii="Arial" w:cs="Arial" w:eastAsia="Arial" w:hAnsi="Arial"/>
          <w:sz w:val="22"/>
          <w:szCs w:val="22"/>
          <w:color w:val="auto"/>
        </w:rPr>
      </w:pPr>
    </w:p>
    <w:p>
      <w:pPr>
        <w:jc w:val="both"/>
        <w:ind w:firstLine="1304"/>
        <w:spacing w:after="0" w:line="302" w:lineRule="auto"/>
        <w:tabs>
          <w:tab w:leader="none" w:pos="1941" w:val="left"/>
        </w:tabs>
        <w:numPr>
          <w:ilvl w:val="1"/>
          <w:numId w:val="588"/>
        </w:numPr>
        <w:rPr>
          <w:rFonts w:ascii="Arial" w:cs="Arial" w:eastAsia="Arial" w:hAnsi="Arial"/>
          <w:sz w:val="19"/>
          <w:szCs w:val="19"/>
          <w:color w:val="auto"/>
        </w:rPr>
      </w:pPr>
      <w:r>
        <w:rPr>
          <w:rFonts w:ascii="Arial" w:cs="Arial" w:eastAsia="Arial" w:hAnsi="Arial"/>
          <w:sz w:val="19"/>
          <w:szCs w:val="19"/>
          <w:color w:val="auto"/>
        </w:rPr>
        <w:t>On or prior to the effectiveness date of the registration statement filed by the Company in connection with its IPO (as defined below), the Company (or its legal counsel) shall, upon the request of the Buyer, provide to the Buyer (i) written confirmation of its holdings, including in relation to the total outstanding shares of the Company and (ii) a personal contact at Company’s transfer agent to assist with custody and audit requests and confirm holdings and provide statements.</w:t>
      </w:r>
    </w:p>
    <w:p>
      <w:pPr>
        <w:spacing w:after="0" w:line="101" w:lineRule="exact"/>
        <w:rPr>
          <w:rFonts w:ascii="Arial" w:cs="Arial" w:eastAsia="Arial" w:hAnsi="Arial"/>
          <w:sz w:val="19"/>
          <w:szCs w:val="19"/>
          <w:color w:val="auto"/>
        </w:rPr>
      </w:pPr>
    </w:p>
    <w:p>
      <w:pPr>
        <w:ind w:right="20" w:firstLine="1304"/>
        <w:spacing w:after="0" w:line="287" w:lineRule="auto"/>
        <w:tabs>
          <w:tab w:leader="none" w:pos="1939" w:val="left"/>
        </w:tabs>
        <w:numPr>
          <w:ilvl w:val="1"/>
          <w:numId w:val="588"/>
        </w:numPr>
        <w:rPr>
          <w:rFonts w:ascii="Arial" w:cs="Arial" w:eastAsia="Arial" w:hAnsi="Arial"/>
          <w:sz w:val="21"/>
          <w:szCs w:val="21"/>
          <w:color w:val="auto"/>
        </w:rPr>
      </w:pPr>
      <w:r>
        <w:rPr>
          <w:rFonts w:ascii="Arial" w:cs="Arial" w:eastAsia="Arial" w:hAnsi="Arial"/>
          <w:sz w:val="21"/>
          <w:szCs w:val="21"/>
          <w:color w:val="auto"/>
        </w:rPr>
        <w:t>The Company shall provide the Buyer with contemporaneous, and to the extent practicable prior, notice of stock splits, dividends, recapitalizations, stock reclassifications and other similar events of the Company.</w:t>
      </w:r>
    </w:p>
    <w:p>
      <w:pPr>
        <w:spacing w:after="0" w:line="110" w:lineRule="exact"/>
        <w:rPr>
          <w:rFonts w:ascii="Arial" w:cs="Arial" w:eastAsia="Arial" w:hAnsi="Arial"/>
          <w:sz w:val="21"/>
          <w:szCs w:val="21"/>
          <w:color w:val="auto"/>
        </w:rPr>
      </w:pPr>
    </w:p>
    <w:p>
      <w:pPr>
        <w:jc w:val="both"/>
        <w:ind w:firstLine="1304"/>
        <w:spacing w:after="0" w:line="248" w:lineRule="auto"/>
        <w:tabs>
          <w:tab w:leader="none" w:pos="1941" w:val="left"/>
        </w:tabs>
        <w:numPr>
          <w:ilvl w:val="1"/>
          <w:numId w:val="588"/>
        </w:numPr>
        <w:rPr>
          <w:rFonts w:ascii="Arial" w:cs="Arial" w:eastAsia="Arial" w:hAnsi="Arial"/>
          <w:sz w:val="22"/>
          <w:szCs w:val="22"/>
          <w:color w:val="auto"/>
        </w:rPr>
      </w:pPr>
      <w:r>
        <w:rPr>
          <w:rFonts w:ascii="Arial" w:cs="Arial" w:eastAsia="Arial" w:hAnsi="Arial"/>
          <w:sz w:val="22"/>
          <w:szCs w:val="22"/>
          <w:color w:val="auto"/>
        </w:rPr>
        <w:t>The Company acknowledges that the execution of this Agreement and the access to any of the Company’s confidential information shall in no way be construed to prohibit or restrict the Buyer from maintaining, making or considering investments in any other companies, or from otherwise operating in the ordinary course of business. The Buyer shall not be deemed a Competitor of the Company and the Buyer’s rights, including, without limitation, information rights, shall not be restricted as a result of any holdings in any Competitors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619" w:name="page620"/>
    <w:bookmarkEnd w:id="619"/>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Company (as defined in the Rights Agreement). The provisions of this Section 3(c) shall survive expiration or any termination of this Agreement.</w:t>
      </w:r>
    </w:p>
    <w:p>
      <w:pPr>
        <w:spacing w:after="0" w:line="134" w:lineRule="exact"/>
        <w:rPr>
          <w:sz w:val="20"/>
          <w:szCs w:val="20"/>
          <w:color w:val="auto"/>
        </w:rPr>
      </w:pPr>
    </w:p>
    <w:p>
      <w:pPr>
        <w:jc w:val="both"/>
        <w:ind w:firstLine="1304"/>
        <w:spacing w:after="0" w:line="290" w:lineRule="auto"/>
        <w:tabs>
          <w:tab w:leader="none" w:pos="1939" w:val="left"/>
        </w:tabs>
        <w:numPr>
          <w:ilvl w:val="1"/>
          <w:numId w:val="589"/>
        </w:numPr>
        <w:rPr>
          <w:rFonts w:ascii="Arial" w:cs="Arial" w:eastAsia="Arial" w:hAnsi="Arial"/>
          <w:sz w:val="19"/>
          <w:szCs w:val="19"/>
          <w:color w:val="auto"/>
        </w:rPr>
      </w:pPr>
      <w:r>
        <w:rPr>
          <w:rFonts w:ascii="Arial" w:cs="Arial" w:eastAsia="Arial" w:hAnsi="Arial"/>
          <w:sz w:val="19"/>
          <w:szCs w:val="19"/>
          <w:color w:val="auto"/>
        </w:rPr>
        <w:t>The Company understands and acknowledges that in the regular course of its business, the Buyer may invest in companies that have issued securities that are publicly traded (each, a “</w:t>
      </w:r>
      <w:r>
        <w:rPr>
          <w:rFonts w:ascii="Arial" w:cs="Arial" w:eastAsia="Arial" w:hAnsi="Arial"/>
          <w:sz w:val="19"/>
          <w:szCs w:val="19"/>
          <w:b w:val="1"/>
          <w:bCs w:val="1"/>
          <w:i w:val="1"/>
          <w:iCs w:val="1"/>
          <w:color w:val="auto"/>
        </w:rPr>
        <w:t>Public Company</w:t>
      </w:r>
      <w:r>
        <w:rPr>
          <w:rFonts w:ascii="Arial" w:cs="Arial" w:eastAsia="Arial" w:hAnsi="Arial"/>
          <w:sz w:val="19"/>
          <w:szCs w:val="19"/>
          <w:color w:val="auto"/>
        </w:rPr>
        <w:t>”). Accordingly, the Company covenants and agrees that before providing material non-public information about a Public Company (“</w:t>
      </w:r>
      <w:r>
        <w:rPr>
          <w:rFonts w:ascii="Arial" w:cs="Arial" w:eastAsia="Arial" w:hAnsi="Arial"/>
          <w:sz w:val="19"/>
          <w:szCs w:val="19"/>
          <w:b w:val="1"/>
          <w:bCs w:val="1"/>
          <w:i w:val="1"/>
          <w:iCs w:val="1"/>
          <w:color w:val="auto"/>
        </w:rPr>
        <w:t>Public Company</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Information</w:t>
      </w:r>
      <w:r>
        <w:rPr>
          <w:rFonts w:ascii="Arial" w:cs="Arial" w:eastAsia="Arial" w:hAnsi="Arial"/>
          <w:sz w:val="19"/>
          <w:szCs w:val="19"/>
          <w:color w:val="auto"/>
        </w:rPr>
        <w:t>”) to the Buyer, the Company will provide prior written notice to Justin Moore describing such information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reasonable detail. The Company shall not disclose Public Company Information to the Buyer without written authorization from the foregoing contact(s) for the Buyer; provided, however, that, the Company will be permitted to disclose (i) agreements entered into with Public Companies in the ordinary course of business, such as routine customer, supplier, advertising and publishing agreements without such written authorization and (ii) any Public Company Information in any Quarterly Business Deck.</w:t>
      </w:r>
    </w:p>
    <w:p>
      <w:pPr>
        <w:spacing w:after="0" w:line="128" w:lineRule="exact"/>
        <w:rPr>
          <w:rFonts w:ascii="Arial" w:cs="Arial" w:eastAsia="Arial" w:hAnsi="Arial"/>
          <w:sz w:val="19"/>
          <w:szCs w:val="19"/>
          <w:color w:val="auto"/>
        </w:rPr>
      </w:pPr>
    </w:p>
    <w:p>
      <w:pPr>
        <w:jc w:val="both"/>
        <w:ind w:firstLine="1304"/>
        <w:spacing w:after="0" w:line="259" w:lineRule="auto"/>
        <w:tabs>
          <w:tab w:leader="none" w:pos="1941" w:val="left"/>
        </w:tabs>
        <w:numPr>
          <w:ilvl w:val="1"/>
          <w:numId w:val="589"/>
        </w:numPr>
        <w:rPr>
          <w:rFonts w:ascii="Arial" w:cs="Arial" w:eastAsia="Arial" w:hAnsi="Arial"/>
          <w:sz w:val="21"/>
          <w:szCs w:val="21"/>
          <w:color w:val="auto"/>
        </w:rPr>
      </w:pPr>
      <w:r>
        <w:rPr>
          <w:rFonts w:ascii="Arial" w:cs="Arial" w:eastAsia="Arial" w:hAnsi="Arial"/>
          <w:sz w:val="21"/>
          <w:szCs w:val="21"/>
          <w:color w:val="auto"/>
        </w:rPr>
        <w:t>The Company hereby agrees and acknowledges that, under the Rights Agreement (to the extent applicable to the Buyer and for purposes of this Agreement, “Affiliate” means, with respect to the Buyer any other Person (as defined in the Rights Agreement) who, directly or indirectly, controls, is controlled by, or is under common control with the Buyer, including without limitation any general partner, managing member, officer or director of the Buyer or any venture capital fund or investment vehicle or other entity now or hereafter existing that is controlled by one or more general partners or managing members of, or shares or is advised by the same management or advisory company as, the Buyer; provided, however, that any such Person that is a Competitor (as defined in the Rights Agreement) shall not be considered an Affiliate for purposes of Sections 2(b), 2(e), 2(g) and 5(b)(i) hereof.</w:t>
      </w:r>
    </w:p>
    <w:p>
      <w:pPr>
        <w:spacing w:after="0" w:line="142" w:lineRule="exact"/>
        <w:rPr>
          <w:rFonts w:ascii="Arial" w:cs="Arial" w:eastAsia="Arial" w:hAnsi="Arial"/>
          <w:sz w:val="21"/>
          <w:szCs w:val="21"/>
          <w:color w:val="auto"/>
        </w:rPr>
      </w:pPr>
    </w:p>
    <w:p>
      <w:pPr>
        <w:jc w:val="both"/>
        <w:ind w:firstLine="656"/>
        <w:spacing w:after="0" w:line="302" w:lineRule="auto"/>
        <w:tabs>
          <w:tab w:leader="none" w:pos="1296" w:val="left"/>
        </w:tabs>
        <w:numPr>
          <w:ilvl w:val="0"/>
          <w:numId w:val="590"/>
        </w:numPr>
        <w:rPr>
          <w:rFonts w:ascii="Arial" w:cs="Arial" w:eastAsia="Arial" w:hAnsi="Arial"/>
          <w:sz w:val="19"/>
          <w:szCs w:val="19"/>
          <w:color w:val="auto"/>
        </w:rPr>
      </w:pPr>
      <w:r>
        <w:rPr>
          <w:rFonts w:ascii="Arial" w:cs="Arial" w:eastAsia="Arial" w:hAnsi="Arial"/>
          <w:sz w:val="19"/>
          <w:szCs w:val="19"/>
          <w:u w:val="single" w:color="auto"/>
          <w:color w:val="auto"/>
        </w:rPr>
        <w:t>Fees and Expenses.</w:t>
      </w:r>
      <w:r>
        <w:rPr>
          <w:rFonts w:ascii="Arial" w:cs="Arial" w:eastAsia="Arial" w:hAnsi="Arial"/>
          <w:sz w:val="19"/>
          <w:szCs w:val="19"/>
          <w:color w:val="auto"/>
        </w:rPr>
        <w:t xml:space="preserve"> Each party shall pay all costs and expenses that it incurs in connection with its participation in the Secondary Purchases, including but not limited to the negotiation, execution, delivery, and performance of the Purchase Documents in connection therewith; provided, however, that, the Buyer shall not be liable to Shareworks for any fee charged by Shareworks in connection with the Secondary Purchases (which shall be borne by the Company).</w:t>
      </w:r>
    </w:p>
    <w:p>
      <w:pPr>
        <w:spacing w:after="0" w:line="101" w:lineRule="exact"/>
        <w:rPr>
          <w:rFonts w:ascii="Arial" w:cs="Arial" w:eastAsia="Arial" w:hAnsi="Arial"/>
          <w:sz w:val="19"/>
          <w:szCs w:val="19"/>
          <w:color w:val="auto"/>
        </w:rPr>
      </w:pPr>
    </w:p>
    <w:p>
      <w:pPr>
        <w:ind w:left="1300" w:hanging="644"/>
        <w:spacing w:after="0"/>
        <w:tabs>
          <w:tab w:leader="none" w:pos="1300" w:val="left"/>
        </w:tabs>
        <w:numPr>
          <w:ilvl w:val="0"/>
          <w:numId w:val="590"/>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jc w:val="both"/>
        <w:ind w:firstLine="1304"/>
        <w:spacing w:after="0" w:line="292" w:lineRule="auto"/>
        <w:tabs>
          <w:tab w:leader="none" w:pos="1941" w:val="left"/>
        </w:tabs>
        <w:numPr>
          <w:ilvl w:val="1"/>
          <w:numId w:val="590"/>
        </w:numPr>
        <w:rPr>
          <w:rFonts w:ascii="Arial" w:cs="Arial" w:eastAsia="Arial" w:hAnsi="Arial"/>
          <w:sz w:val="19"/>
          <w:szCs w:val="19"/>
          <w:color w:val="auto"/>
        </w:rPr>
      </w:pPr>
      <w:r>
        <w:rPr>
          <w:rFonts w:ascii="Arial" w:cs="Arial" w:eastAsia="Arial" w:hAnsi="Arial"/>
          <w:sz w:val="19"/>
          <w:szCs w:val="19"/>
          <w:u w:val="single" w:color="auto"/>
          <w:color w:val="auto"/>
        </w:rPr>
        <w:t>Authority.</w:t>
      </w:r>
      <w:r>
        <w:rPr>
          <w:rFonts w:ascii="Arial" w:cs="Arial" w:eastAsia="Arial" w:hAnsi="Arial"/>
          <w:sz w:val="19"/>
          <w:szCs w:val="19"/>
          <w:color w:val="auto"/>
        </w:rPr>
        <w:t xml:space="preserve"> The Company and the Buyer hereby represents that it has full power and authority to enter into this Agreement and the transactions contemplated by the Secondary Purchases and that this Agreement, when executed and delivered by such party, will constitute valid and legally binding obligation of such party, enforceable in accordance with its terms, except as limited by applicable bankruptcy, insolvency, reorganization, moratorium, fraudulent conveyance, and any other laws of general application affecting enforcement of creditors’ rights generally, and as limited by laws relating to the availability of a specific performance, injunctive relief, or other equitable remedies. The execution and delivery of this Agreement by the Company and the Buyer and the performance of the obligations of such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620" w:name="page621"/>
    <w:bookmarkEnd w:id="620"/>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herein does not and will not conflict with or constitute a default under any provision of any agreement or instrument to which such party is bound, any law or regulation to which such party is subject, the organizational documents of such party, or any lien, order, judgment, decree or regulation or any other restriction of any kind by which such party is bound.</w:t>
      </w:r>
    </w:p>
    <w:p>
      <w:pPr>
        <w:spacing w:after="0" w:line="127" w:lineRule="exact"/>
        <w:rPr>
          <w:sz w:val="20"/>
          <w:szCs w:val="20"/>
          <w:color w:val="auto"/>
        </w:rPr>
      </w:pPr>
    </w:p>
    <w:p>
      <w:pPr>
        <w:ind w:left="1940" w:hanging="636"/>
        <w:spacing w:after="0"/>
        <w:tabs>
          <w:tab w:leader="none" w:pos="1940" w:val="left"/>
        </w:tabs>
        <w:numPr>
          <w:ilvl w:val="0"/>
          <w:numId w:val="591"/>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jc w:val="both"/>
        <w:ind w:firstLine="1952"/>
        <w:spacing w:after="0" w:line="250" w:lineRule="auto"/>
        <w:tabs>
          <w:tab w:leader="none" w:pos="2580" w:val="left"/>
        </w:tabs>
        <w:numPr>
          <w:ilvl w:val="1"/>
          <w:numId w:val="591"/>
        </w:numPr>
        <w:rPr>
          <w:rFonts w:ascii="Arial" w:cs="Arial" w:eastAsia="Arial" w:hAnsi="Arial"/>
          <w:sz w:val="22"/>
          <w:szCs w:val="22"/>
          <w:color w:val="auto"/>
        </w:rPr>
      </w:pPr>
      <w:r>
        <w:rPr>
          <w:rFonts w:ascii="Arial" w:cs="Arial" w:eastAsia="Arial" w:hAnsi="Arial"/>
          <w:sz w:val="22"/>
          <w:szCs w:val="22"/>
          <w:color w:val="auto"/>
        </w:rPr>
        <w:t>The terms and conditions of this Agreement shall inure to the benefit of and be binding upon the respective successors and assigns of the parties, provided that the rights provided to the Buyer in Sections 2(b) and 3 hereof are not transferable without the prior written consent of the Company, other than to Affiliates of the Buyer to whom Shares are transferred.</w:t>
      </w:r>
    </w:p>
    <w:p>
      <w:pPr>
        <w:spacing w:after="0" w:line="147" w:lineRule="exact"/>
        <w:rPr>
          <w:rFonts w:ascii="Arial" w:cs="Arial" w:eastAsia="Arial" w:hAnsi="Arial"/>
          <w:sz w:val="22"/>
          <w:szCs w:val="22"/>
          <w:color w:val="auto"/>
        </w:rPr>
      </w:pPr>
    </w:p>
    <w:p>
      <w:pPr>
        <w:jc w:val="both"/>
        <w:ind w:firstLine="1952"/>
        <w:spacing w:after="0" w:line="253" w:lineRule="auto"/>
        <w:tabs>
          <w:tab w:leader="none" w:pos="2586" w:val="left"/>
        </w:tabs>
        <w:numPr>
          <w:ilvl w:val="1"/>
          <w:numId w:val="591"/>
        </w:numPr>
        <w:rPr>
          <w:rFonts w:ascii="Arial" w:cs="Arial" w:eastAsia="Arial" w:hAnsi="Arial"/>
          <w:sz w:val="22"/>
          <w:szCs w:val="22"/>
          <w:color w:val="auto"/>
        </w:rPr>
      </w:pPr>
      <w:r>
        <w:rPr>
          <w:rFonts w:ascii="Arial" w:cs="Arial" w:eastAsia="Arial" w:hAnsi="Arial"/>
          <w:sz w:val="22"/>
          <w:szCs w:val="22"/>
          <w:color w:val="auto"/>
        </w:rPr>
        <w:t>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44" w:lineRule="exact"/>
        <w:rPr>
          <w:rFonts w:ascii="Arial" w:cs="Arial" w:eastAsia="Arial" w:hAnsi="Arial"/>
          <w:sz w:val="22"/>
          <w:szCs w:val="22"/>
          <w:color w:val="auto"/>
        </w:rPr>
      </w:pPr>
    </w:p>
    <w:p>
      <w:pPr>
        <w:ind w:firstLine="1304"/>
        <w:spacing w:after="0" w:line="343" w:lineRule="auto"/>
        <w:tabs>
          <w:tab w:leader="none" w:pos="1941" w:val="left"/>
        </w:tabs>
        <w:numPr>
          <w:ilvl w:val="0"/>
          <w:numId w:val="591"/>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xml:space="preserve"> This Agreement shall be governed by and construed under the laws of the State of Delaware as applied to agreements among Delaware residents entered into and to be performed entirely within Delaware.</w:t>
      </w:r>
    </w:p>
    <w:p>
      <w:pPr>
        <w:spacing w:after="0" w:line="77" w:lineRule="exact"/>
        <w:rPr>
          <w:rFonts w:ascii="Arial" w:cs="Arial" w:eastAsia="Arial" w:hAnsi="Arial"/>
          <w:sz w:val="19"/>
          <w:szCs w:val="19"/>
          <w:color w:val="auto"/>
        </w:rPr>
      </w:pPr>
    </w:p>
    <w:p>
      <w:pPr>
        <w:jc w:val="both"/>
        <w:ind w:firstLine="1304"/>
        <w:spacing w:after="0" w:line="302" w:lineRule="auto"/>
        <w:tabs>
          <w:tab w:leader="none" w:pos="1939" w:val="left"/>
        </w:tabs>
        <w:numPr>
          <w:ilvl w:val="0"/>
          <w:numId w:val="591"/>
        </w:numPr>
        <w:rPr>
          <w:rFonts w:ascii="Arial" w:cs="Arial" w:eastAsia="Arial" w:hAnsi="Arial"/>
          <w:sz w:val="19"/>
          <w:szCs w:val="19"/>
          <w:color w:val="auto"/>
        </w:rPr>
      </w:pPr>
      <w:r>
        <w:rPr>
          <w:rFonts w:ascii="Arial" w:cs="Arial" w:eastAsia="Arial" w:hAnsi="Arial"/>
          <w:sz w:val="19"/>
          <w:szCs w:val="19"/>
          <w:u w:val="single" w:color="auto"/>
          <w:color w:val="auto"/>
        </w:rPr>
        <w:t>Further Assurances.</w:t>
      </w:r>
      <w:r>
        <w:rPr>
          <w:rFonts w:ascii="Arial" w:cs="Arial" w:eastAsia="Arial" w:hAnsi="Arial"/>
          <w:sz w:val="19"/>
          <w:szCs w:val="19"/>
          <w:color w:val="auto"/>
        </w:rPr>
        <w:t xml:space="preserve"> At any time or from time to time after the date hereof, the parties agree to cooperate with each other, and at the request of any other party, to execute and deliver any further instruments or documents and to take all such further action as the other party may reasonably request in order to evidence or effectuate the consummation of the transactions contemplated hereby and to otherwise carry out the intent of the parties hereunder.</w:t>
      </w:r>
    </w:p>
    <w:p>
      <w:pPr>
        <w:spacing w:after="0" w:line="101" w:lineRule="exact"/>
        <w:rPr>
          <w:rFonts w:ascii="Arial" w:cs="Arial" w:eastAsia="Arial" w:hAnsi="Arial"/>
          <w:sz w:val="19"/>
          <w:szCs w:val="19"/>
          <w:color w:val="auto"/>
        </w:rPr>
      </w:pPr>
    </w:p>
    <w:p>
      <w:pPr>
        <w:jc w:val="both"/>
        <w:ind w:firstLine="1304"/>
        <w:spacing w:after="0" w:line="253" w:lineRule="auto"/>
        <w:tabs>
          <w:tab w:leader="none" w:pos="1941" w:val="left"/>
        </w:tabs>
        <w:numPr>
          <w:ilvl w:val="0"/>
          <w:numId w:val="591"/>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xml:space="preserve"> This Agreement and the documents referred to herein constitute the entire agreement among the parties and no party shall be liable or bound to any other party in any manner by any warranties, representations, or covenants except as specifically set forth herein or therein.</w:t>
      </w:r>
    </w:p>
    <w:p>
      <w:pPr>
        <w:spacing w:after="0" w:line="144" w:lineRule="exact"/>
        <w:rPr>
          <w:rFonts w:ascii="Arial" w:cs="Arial" w:eastAsia="Arial" w:hAnsi="Arial"/>
          <w:sz w:val="22"/>
          <w:szCs w:val="22"/>
          <w:color w:val="auto"/>
        </w:rPr>
      </w:pPr>
    </w:p>
    <w:p>
      <w:pPr>
        <w:jc w:val="both"/>
        <w:ind w:firstLine="1304"/>
        <w:spacing w:after="0" w:line="253" w:lineRule="auto"/>
        <w:tabs>
          <w:tab w:leader="none" w:pos="1944" w:val="left"/>
        </w:tabs>
        <w:numPr>
          <w:ilvl w:val="0"/>
          <w:numId w:val="591"/>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Any term of this Agreement may be amended and the observance of any term of this Agreement may be waived (either generally or in a particular instance and either retroactively or prospectively), only with the written consent of the Company and the Buyer.</w:t>
      </w:r>
    </w:p>
    <w:p>
      <w:pPr>
        <w:spacing w:after="0" w:line="158" w:lineRule="exact"/>
        <w:rPr>
          <w:rFonts w:ascii="Arial" w:cs="Arial" w:eastAsia="Arial" w:hAnsi="Arial"/>
          <w:sz w:val="22"/>
          <w:szCs w:val="22"/>
          <w:color w:val="auto"/>
        </w:rPr>
      </w:pPr>
    </w:p>
    <w:p>
      <w:pPr>
        <w:jc w:val="both"/>
        <w:ind w:firstLine="1304"/>
        <w:spacing w:after="0" w:line="250" w:lineRule="auto"/>
        <w:tabs>
          <w:tab w:leader="none" w:pos="1939" w:val="left"/>
        </w:tabs>
        <w:numPr>
          <w:ilvl w:val="0"/>
          <w:numId w:val="591"/>
        </w:numPr>
        <w:rPr>
          <w:rFonts w:ascii="Arial" w:cs="Arial" w:eastAsia="Arial" w:hAnsi="Arial"/>
          <w:sz w:val="22"/>
          <w:szCs w:val="22"/>
          <w:color w:val="auto"/>
        </w:rPr>
      </w:pPr>
      <w:r>
        <w:rPr>
          <w:rFonts w:ascii="Arial" w:cs="Arial" w:eastAsia="Arial" w:hAnsi="Arial"/>
          <w:sz w:val="22"/>
          <w:szCs w:val="22"/>
          <w:u w:val="single" w:color="auto"/>
          <w:color w:val="auto"/>
        </w:rPr>
        <w:t>No Waiver.</w:t>
      </w:r>
      <w:r>
        <w:rPr>
          <w:rFonts w:ascii="Arial" w:cs="Arial" w:eastAsia="Arial" w:hAnsi="Arial"/>
          <w:sz w:val="22"/>
          <w:szCs w:val="22"/>
          <w:color w:val="auto"/>
        </w:rPr>
        <w:t xml:space="preserve"> The failure or delay by a party to enforce any provision of this Agreement will not in any way be construed as a waiver of any such provision or prevent that party from thereafter enforcing any other provision of this Agreement. The rights granted the parties hereunder are cumulative and will not constitute a waiver of a party’s right to assert any other legal remedy available to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621" w:name="page622"/>
    <w:bookmarkEnd w:id="621"/>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1304"/>
        <w:spacing w:after="0" w:line="253" w:lineRule="auto"/>
        <w:tabs>
          <w:tab w:leader="none" w:pos="1939" w:val="left"/>
        </w:tabs>
        <w:numPr>
          <w:ilvl w:val="0"/>
          <w:numId w:val="592"/>
        </w:numPr>
        <w:rPr>
          <w:rFonts w:ascii="Arial" w:cs="Arial" w:eastAsia="Arial" w:hAnsi="Arial"/>
          <w:sz w:val="22"/>
          <w:szCs w:val="22"/>
          <w:color w:val="auto"/>
        </w:rPr>
      </w:pPr>
      <w:r>
        <w:rPr>
          <w:rFonts w:ascii="Arial" w:cs="Arial" w:eastAsia="Arial" w:hAnsi="Arial"/>
          <w:sz w:val="22"/>
          <w:szCs w:val="22"/>
          <w:u w:val="single" w:color="auto"/>
          <w:color w:val="auto"/>
        </w:rPr>
        <w:t>Conflict.</w:t>
      </w:r>
      <w:r>
        <w:rPr>
          <w:rFonts w:ascii="Arial" w:cs="Arial" w:eastAsia="Arial" w:hAnsi="Arial"/>
          <w:sz w:val="22"/>
          <w:szCs w:val="22"/>
          <w:color w:val="auto"/>
        </w:rPr>
        <w:t xml:space="preserve"> Notwithstanding anything to the contrary in any other agreement between the Company, on the one hand, and the Buyer, on the other hand, in the event of any conflict between the terms of this Agreement and any other agreement to which the Buyer is a party, the terms of this Agreement shall control.</w:t>
      </w:r>
    </w:p>
    <w:p>
      <w:pPr>
        <w:spacing w:after="0" w:line="144" w:lineRule="exact"/>
        <w:rPr>
          <w:rFonts w:ascii="Arial" w:cs="Arial" w:eastAsia="Arial" w:hAnsi="Arial"/>
          <w:sz w:val="22"/>
          <w:szCs w:val="22"/>
          <w:color w:val="auto"/>
        </w:rPr>
      </w:pPr>
    </w:p>
    <w:p>
      <w:pPr>
        <w:jc w:val="both"/>
        <w:ind w:firstLine="1304"/>
        <w:spacing w:after="0" w:line="253" w:lineRule="auto"/>
        <w:tabs>
          <w:tab w:leader="none" w:pos="1932" w:val="left"/>
        </w:tabs>
        <w:numPr>
          <w:ilvl w:val="0"/>
          <w:numId w:val="592"/>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xml:space="preserve"> If one or more provisions of this Agreement are held to be unenforceable under applicable law, such provision shall be excluded from this Agreement and the balance of the Agreement shall be interpreted as if such provision were so excluded and shall be enforceable in accordance with its terms.</w:t>
      </w:r>
    </w:p>
    <w:p>
      <w:pPr>
        <w:spacing w:after="0" w:line="158" w:lineRule="exact"/>
        <w:rPr>
          <w:rFonts w:ascii="Arial" w:cs="Arial" w:eastAsia="Arial" w:hAnsi="Arial"/>
          <w:sz w:val="22"/>
          <w:szCs w:val="22"/>
          <w:color w:val="auto"/>
        </w:rPr>
      </w:pPr>
    </w:p>
    <w:p>
      <w:pPr>
        <w:jc w:val="both"/>
        <w:ind w:firstLine="1304"/>
        <w:spacing w:after="0" w:line="297" w:lineRule="auto"/>
        <w:tabs>
          <w:tab w:leader="none" w:pos="1932" w:val="left"/>
        </w:tabs>
        <w:numPr>
          <w:ilvl w:val="0"/>
          <w:numId w:val="592"/>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xml:space="preserve"> This Agreement may be executed and delivered by facsimile or electronic signature and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e.g., </w:t>
      </w:r>
      <w:r>
        <w:rPr>
          <w:rFonts w:ascii="Arial" w:cs="Arial" w:eastAsia="Arial" w:hAnsi="Arial"/>
          <w:sz w:val="19"/>
          <w:szCs w:val="19"/>
          <w:u w:val="single" w:color="auto"/>
          <w:color w:val="3051F2"/>
        </w:rPr>
        <w:t>www.docusign.com</w:t>
      </w:r>
      <w:r>
        <w:rPr>
          <w:rFonts w:ascii="Arial" w:cs="Arial" w:eastAsia="Arial" w:hAnsi="Arial"/>
          <w:sz w:val="19"/>
          <w:szCs w:val="19"/>
          <w:color w:val="auto"/>
        </w:rPr>
        <w:t>) or other transmission method and any counterpart so delivered shall be deemed to have been duly and validly delivered and be valid and effective for all purposes.</w:t>
      </w:r>
    </w:p>
    <w:p>
      <w:pPr>
        <w:spacing w:after="0" w:line="106" w:lineRule="exact"/>
        <w:rPr>
          <w:rFonts w:ascii="Arial" w:cs="Arial" w:eastAsia="Arial" w:hAnsi="Arial"/>
          <w:sz w:val="19"/>
          <w:szCs w:val="19"/>
          <w:color w:val="auto"/>
        </w:rPr>
      </w:pPr>
    </w:p>
    <w:p>
      <w:pPr>
        <w:jc w:val="both"/>
        <w:ind w:right="20" w:firstLine="1304"/>
        <w:spacing w:after="0" w:line="312" w:lineRule="auto"/>
        <w:tabs>
          <w:tab w:leader="none" w:pos="1939" w:val="left"/>
        </w:tabs>
        <w:numPr>
          <w:ilvl w:val="0"/>
          <w:numId w:val="592"/>
        </w:numPr>
        <w:rPr>
          <w:rFonts w:ascii="Arial" w:cs="Arial" w:eastAsia="Arial" w:hAnsi="Arial"/>
          <w:sz w:val="19"/>
          <w:szCs w:val="19"/>
          <w:color w:val="auto"/>
        </w:rPr>
      </w:pPr>
      <w:r>
        <w:rPr>
          <w:rFonts w:ascii="Arial" w:cs="Arial" w:eastAsia="Arial" w:hAnsi="Arial"/>
          <w:sz w:val="19"/>
          <w:szCs w:val="19"/>
          <w:u w:val="single" w:color="auto"/>
          <w:color w:val="auto"/>
        </w:rPr>
        <w:t>Survival of Representations and Warranties.</w:t>
      </w:r>
      <w:r>
        <w:rPr>
          <w:rFonts w:ascii="Arial" w:cs="Arial" w:eastAsia="Arial" w:hAnsi="Arial"/>
          <w:sz w:val="19"/>
          <w:szCs w:val="19"/>
          <w:color w:val="auto"/>
        </w:rPr>
        <w:t xml:space="preserve"> All representations and warranties contained herein or made in writing by any party in connection herewith shall survive the execution and delivery of this Agreement and the consummation of the transactions consummated by this Agreement, regardless of any investigation made by any party or on its behalf.</w:t>
      </w:r>
    </w:p>
    <w:p>
      <w:pPr>
        <w:spacing w:after="0" w:line="92" w:lineRule="exact"/>
        <w:rPr>
          <w:rFonts w:ascii="Arial" w:cs="Arial" w:eastAsia="Arial" w:hAnsi="Arial"/>
          <w:sz w:val="19"/>
          <w:szCs w:val="19"/>
          <w:color w:val="auto"/>
        </w:rPr>
      </w:pPr>
    </w:p>
    <w:p>
      <w:pPr>
        <w:jc w:val="both"/>
        <w:ind w:firstLine="1304"/>
        <w:spacing w:after="0" w:line="260" w:lineRule="auto"/>
        <w:tabs>
          <w:tab w:leader="none" w:pos="1932" w:val="left"/>
        </w:tabs>
        <w:numPr>
          <w:ilvl w:val="0"/>
          <w:numId w:val="592"/>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xml:space="preserve"> All notices and other communications given or made pursuant hereto shall be in writing and shall be deemed effectively given: (i) upon personal delivery to the party to be notified, (ii) when sent by confirmed electronic mail if sent during normal business hours of the recipient; if not, then on the next business day, (iii) five (5) days after having been sent by registered or certified mail, return receipt requested, postage prepaid, or (iv) one (1) day after deposit with a nationally recognized overnight courier, specifying next day delivery, with written verification of receipt. All communications shall be sent to the respective parties at the addresses set forth on the signature pages attached hereto (or at such other addresses as shall be specified by notice given in accordance with this section).</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color w:val="auto"/>
        </w:rPr>
        <w:t>Please indicate your agreement to the terms of this Agreement by executing the acknowledgement and agreement below.</w:t>
      </w:r>
    </w:p>
    <w:p>
      <w:pPr>
        <w:spacing w:after="0" w:line="214" w:lineRule="exact"/>
        <w:rPr>
          <w:sz w:val="20"/>
          <w:szCs w:val="20"/>
          <w:color w:val="auto"/>
        </w:rPr>
      </w:pPr>
    </w:p>
    <w:p>
      <w:pPr>
        <w:ind w:left="4520"/>
        <w:spacing w:after="0"/>
        <w:rPr>
          <w:sz w:val="20"/>
          <w:szCs w:val="20"/>
          <w:color w:val="auto"/>
        </w:rPr>
      </w:pPr>
      <w:r>
        <w:rPr>
          <w:rFonts w:ascii="Arial" w:cs="Arial" w:eastAsia="Arial" w:hAnsi="Arial"/>
          <w:sz w:val="22"/>
          <w:szCs w:val="22"/>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622" w:name="page623"/>
    <w:bookmarkEnd w:id="622"/>
    <w:p>
      <w:pPr>
        <w:spacing w:after="0" w:line="259"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Very truly yours,</w:t>
      </w:r>
    </w:p>
    <w:p>
      <w:pPr>
        <w:spacing w:after="0" w:line="281" w:lineRule="exact"/>
        <w:rPr>
          <w:sz w:val="20"/>
          <w:szCs w:val="20"/>
          <w:color w:val="auto"/>
        </w:rPr>
      </w:pPr>
    </w:p>
    <w:p>
      <w:pPr>
        <w:jc w:val="right"/>
        <w:ind w:right="3400"/>
        <w:spacing w:after="0"/>
        <w:rPr>
          <w:sz w:val="20"/>
          <w:szCs w:val="20"/>
          <w:color w:val="auto"/>
        </w:rPr>
      </w:pPr>
      <w:r>
        <w:rPr>
          <w:rFonts w:ascii="Arial" w:cs="Arial" w:eastAsia="Arial" w:hAnsi="Arial"/>
          <w:sz w:val="22"/>
          <w:szCs w:val="22"/>
          <w:b w:val="1"/>
          <w:bCs w:val="1"/>
          <w:color w:val="auto"/>
        </w:rPr>
        <w:t>NERDWALLET, INC.</w:t>
      </w:r>
    </w:p>
    <w:p>
      <w:pPr>
        <w:spacing w:after="0" w:line="293" w:lineRule="exact"/>
        <w:rPr>
          <w:sz w:val="20"/>
          <w:szCs w:val="20"/>
          <w:color w:val="auto"/>
        </w:rPr>
      </w:pPr>
    </w:p>
    <w:tbl>
      <w:tblPr>
        <w:tblLayout w:type="fixed"/>
        <w:tblInd w:w="5740" w:type="dxa"/>
        <w:tblCellMar>
          <w:top w:w="0" w:type="dxa"/>
          <w:left w:w="0" w:type="dxa"/>
          <w:bottom w:w="0" w:type="dxa"/>
          <w:right w:w="0" w:type="dxa"/>
        </w:tblCellMar>
      </w:tblPr>
      <w:tr>
        <w:trPr>
          <w:trHeight w:val="276"/>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Tim Chen</w:t>
            </w:r>
          </w:p>
        </w:tc>
      </w:tr>
      <w:tr>
        <w:trPr>
          <w:trHeight w:val="52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Tim Chen</w:t>
            </w:r>
          </w:p>
        </w:tc>
      </w:tr>
      <w:tr>
        <w:trPr>
          <w:trHeight w:val="520"/>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Acknowledged and Agreed,</w:t>
      </w:r>
    </w:p>
    <w:p>
      <w:pPr>
        <w:spacing w:after="0"/>
        <w:rPr>
          <w:sz w:val="20"/>
          <w:szCs w:val="20"/>
          <w:color w:val="auto"/>
        </w:rPr>
      </w:pPr>
      <w:r>
        <w:rPr>
          <w:rFonts w:ascii="Arial" w:cs="Arial" w:eastAsia="Arial" w:hAnsi="Arial"/>
          <w:sz w:val="22"/>
          <w:szCs w:val="22"/>
          <w:b w:val="1"/>
          <w:bCs w:val="1"/>
          <w:color w:val="auto"/>
        </w:rPr>
        <w:t>as of the date first written above:</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INNOVIUS CAPITAL SIRIUS I, L.P.</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Justin Moore</w:t>
            </w:r>
          </w:p>
        </w:tc>
      </w:tr>
      <w:tr>
        <w:trPr>
          <w:trHeight w:val="52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Justin Moore</w:t>
            </w:r>
          </w:p>
        </w:tc>
      </w:tr>
      <w:tr>
        <w:trPr>
          <w:trHeight w:val="520"/>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20"/>
          </w:cols>
          <w:pgMar w:left="340" w:top="1440" w:right="339" w:bottom="1440" w:gutter="0" w:footer="0" w:header="0"/>
        </w:sectPr>
      </w:pPr>
    </w:p>
    <w:bookmarkStart w:id="623" w:name="page624"/>
    <w:bookmarkEnd w:id="623"/>
    <w:p>
      <w:pPr>
        <w:jc w:val="center"/>
        <w:spacing w:after="0"/>
        <w:rPr>
          <w:sz w:val="20"/>
          <w:szCs w:val="20"/>
          <w:color w:val="auto"/>
        </w:rPr>
      </w:pPr>
      <w:r>
        <w:rPr>
          <w:rFonts w:ascii="Arial" w:cs="Arial" w:eastAsia="Arial" w:hAnsi="Arial"/>
          <w:sz w:val="22"/>
          <w:szCs w:val="22"/>
          <w:color w:val="auto"/>
        </w:rPr>
        <w:t>Schedule I</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2(i)(i)(1)</w:t>
      </w:r>
    </w:p>
    <w:p>
      <w:pPr>
        <w:spacing w:after="0" w:line="220" w:lineRule="exact"/>
        <w:rPr>
          <w:sz w:val="20"/>
          <w:szCs w:val="20"/>
          <w:color w:val="auto"/>
        </w:rPr>
      </w:pPr>
    </w:p>
    <w:p>
      <w:pPr>
        <w:ind w:left="660" w:right="160" w:hanging="328"/>
        <w:spacing w:after="0" w:line="263" w:lineRule="auto"/>
        <w:tabs>
          <w:tab w:leader="none" w:pos="660" w:val="left"/>
        </w:tabs>
        <w:numPr>
          <w:ilvl w:val="0"/>
          <w:numId w:val="593"/>
        </w:numPr>
        <w:rPr>
          <w:rFonts w:ascii="Arial" w:cs="Arial" w:eastAsia="Arial" w:hAnsi="Arial"/>
          <w:sz w:val="22"/>
          <w:szCs w:val="22"/>
          <w:color w:val="auto"/>
        </w:rPr>
      </w:pPr>
      <w:r>
        <w:rPr>
          <w:rFonts w:ascii="Arial" w:cs="Arial" w:eastAsia="Arial" w:hAnsi="Arial"/>
          <w:sz w:val="22"/>
          <w:szCs w:val="22"/>
          <w:color w:val="auto"/>
        </w:rPr>
        <w:t>On or about April 3, 2015 the Company processed an exercise of options to purchase 2,500 shares at an exercise price of $1.02 for which there is no exercise paperwork or evidence of payment.</w:t>
      </w:r>
    </w:p>
    <w:p>
      <w:pPr>
        <w:spacing w:after="0" w:line="174"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593"/>
        </w:numPr>
        <w:rPr>
          <w:rFonts w:ascii="Arial" w:cs="Arial" w:eastAsia="Arial" w:hAnsi="Arial"/>
          <w:sz w:val="22"/>
          <w:szCs w:val="22"/>
          <w:color w:val="auto"/>
        </w:rPr>
      </w:pPr>
      <w:r>
        <w:rPr>
          <w:rFonts w:ascii="Arial" w:cs="Arial" w:eastAsia="Arial" w:hAnsi="Arial"/>
          <w:sz w:val="22"/>
          <w:szCs w:val="22"/>
          <w:color w:val="auto"/>
        </w:rPr>
        <w:t>In April 2015, the Company repurchased 178,851 shares of Class A Common Stock from various employees at a purchase price of $1.02. These repurchased shares are held as Treasury Stock.</w:t>
      </w:r>
    </w:p>
    <w:p>
      <w:pPr>
        <w:spacing w:after="0" w:line="174" w:lineRule="exact"/>
        <w:rPr>
          <w:rFonts w:ascii="Arial" w:cs="Arial" w:eastAsia="Arial" w:hAnsi="Arial"/>
          <w:sz w:val="22"/>
          <w:szCs w:val="22"/>
          <w:color w:val="auto"/>
        </w:rPr>
      </w:pPr>
    </w:p>
    <w:p>
      <w:pPr>
        <w:ind w:left="660" w:right="60" w:hanging="328"/>
        <w:spacing w:after="0" w:line="253" w:lineRule="auto"/>
        <w:tabs>
          <w:tab w:leader="none" w:pos="714" w:val="left"/>
        </w:tabs>
        <w:numPr>
          <w:ilvl w:val="0"/>
          <w:numId w:val="593"/>
        </w:numPr>
        <w:rPr>
          <w:rFonts w:ascii="Arial" w:cs="Arial" w:eastAsia="Arial" w:hAnsi="Arial"/>
          <w:sz w:val="22"/>
          <w:szCs w:val="22"/>
          <w:color w:val="auto"/>
        </w:rPr>
      </w:pPr>
      <w:r>
        <w:rPr>
          <w:rFonts w:ascii="Arial" w:cs="Arial" w:eastAsia="Arial" w:hAnsi="Arial"/>
          <w:sz w:val="22"/>
          <w:szCs w:val="22"/>
          <w:color w:val="auto"/>
        </w:rPr>
        <w:t>On January 30, 2015 the Company repurchased 779,544 shares of Class F Common Stock and 779,544 shares of Class G Common Stock from Tim Chen and Jacob Gibson, respectively, at a price of $4.49 per share. These repurchased shares are held as Treasury Stock.</w:t>
      </w:r>
    </w:p>
    <w:p>
      <w:pPr>
        <w:spacing w:after="0" w:line="185" w:lineRule="exact"/>
        <w:rPr>
          <w:rFonts w:ascii="Arial" w:cs="Arial" w:eastAsia="Arial" w:hAnsi="Arial"/>
          <w:sz w:val="22"/>
          <w:szCs w:val="22"/>
          <w:color w:val="auto"/>
        </w:rPr>
      </w:pPr>
    </w:p>
    <w:p>
      <w:pPr>
        <w:ind w:left="660" w:right="160" w:hanging="328"/>
        <w:spacing w:after="0" w:line="253" w:lineRule="auto"/>
        <w:tabs>
          <w:tab w:leader="none" w:pos="660" w:val="left"/>
        </w:tabs>
        <w:numPr>
          <w:ilvl w:val="0"/>
          <w:numId w:val="593"/>
        </w:numPr>
        <w:rPr>
          <w:rFonts w:ascii="Arial" w:cs="Arial" w:eastAsia="Arial" w:hAnsi="Arial"/>
          <w:sz w:val="22"/>
          <w:szCs w:val="22"/>
          <w:color w:val="auto"/>
        </w:rPr>
      </w:pPr>
      <w:r>
        <w:rPr>
          <w:rFonts w:ascii="Arial" w:cs="Arial" w:eastAsia="Arial" w:hAnsi="Arial"/>
          <w:sz w:val="22"/>
          <w:szCs w:val="22"/>
          <w:color w:val="auto"/>
        </w:rPr>
        <w:t>The Company has exercised its right of first refusal to purchase shares of its Class A Common Stock. As of May 31, 2020, the total number of shares repurchased by the Company is 925,787. These repurchased shares are held as Treasury Stock.</w:t>
      </w:r>
    </w:p>
    <w:p>
      <w:pPr>
        <w:spacing w:after="0" w:line="185" w:lineRule="exact"/>
        <w:rPr>
          <w:rFonts w:ascii="Arial" w:cs="Arial" w:eastAsia="Arial" w:hAnsi="Arial"/>
          <w:sz w:val="22"/>
          <w:szCs w:val="22"/>
          <w:color w:val="auto"/>
        </w:rPr>
      </w:pPr>
    </w:p>
    <w:p>
      <w:pPr>
        <w:ind w:left="660" w:right="160" w:hanging="328"/>
        <w:spacing w:after="0" w:line="263" w:lineRule="auto"/>
        <w:tabs>
          <w:tab w:leader="none" w:pos="660" w:val="left"/>
        </w:tabs>
        <w:numPr>
          <w:ilvl w:val="0"/>
          <w:numId w:val="593"/>
        </w:numPr>
        <w:rPr>
          <w:rFonts w:ascii="Arial" w:cs="Arial" w:eastAsia="Arial" w:hAnsi="Arial"/>
          <w:sz w:val="22"/>
          <w:szCs w:val="22"/>
          <w:color w:val="auto"/>
        </w:rPr>
      </w:pPr>
      <w:r>
        <w:rPr>
          <w:rFonts w:ascii="Arial" w:cs="Arial" w:eastAsia="Arial" w:hAnsi="Arial"/>
          <w:sz w:val="22"/>
          <w:szCs w:val="22"/>
          <w:color w:val="auto"/>
        </w:rPr>
        <w:t>On January 23, 2017 the Company repurchased 28,048,797 shares of its Class G Common Stock from Jacob Gibson at a price of $1.37 per share. These repurchased shares are held as Treasury Stock.</w:t>
      </w:r>
    </w:p>
    <w:p>
      <w:pPr>
        <w:spacing w:after="0" w:line="174" w:lineRule="exact"/>
        <w:rPr>
          <w:rFonts w:ascii="Arial" w:cs="Arial" w:eastAsia="Arial" w:hAnsi="Arial"/>
          <w:sz w:val="22"/>
          <w:szCs w:val="22"/>
          <w:color w:val="auto"/>
        </w:rPr>
      </w:pPr>
    </w:p>
    <w:p>
      <w:pPr>
        <w:ind w:left="660" w:right="320" w:hanging="328"/>
        <w:spacing w:after="0" w:line="263" w:lineRule="auto"/>
        <w:tabs>
          <w:tab w:leader="none" w:pos="714" w:val="left"/>
        </w:tabs>
        <w:numPr>
          <w:ilvl w:val="0"/>
          <w:numId w:val="593"/>
        </w:numPr>
        <w:rPr>
          <w:rFonts w:ascii="Arial" w:cs="Arial" w:eastAsia="Arial" w:hAnsi="Arial"/>
          <w:sz w:val="22"/>
          <w:szCs w:val="22"/>
          <w:color w:val="auto"/>
        </w:rPr>
      </w:pPr>
      <w:r>
        <w:rPr>
          <w:rFonts w:ascii="Arial" w:cs="Arial" w:eastAsia="Arial" w:hAnsi="Arial"/>
          <w:sz w:val="22"/>
          <w:szCs w:val="22"/>
          <w:color w:val="auto"/>
        </w:rPr>
        <w:t>On March 7, 2017, the Company repurchased 500,000 shares of Class F Common Stock from Tim Chen at a purchase price of $6.00 per share. These repurchased shares are held as Treasury Stock.</w:t>
      </w:r>
    </w:p>
    <w:p>
      <w:pPr>
        <w:spacing w:after="0" w:line="174" w:lineRule="exact"/>
        <w:rPr>
          <w:rFonts w:ascii="Arial" w:cs="Arial" w:eastAsia="Arial" w:hAnsi="Arial"/>
          <w:sz w:val="22"/>
          <w:szCs w:val="22"/>
          <w:color w:val="auto"/>
        </w:rPr>
      </w:pPr>
    </w:p>
    <w:p>
      <w:pPr>
        <w:ind w:left="660" w:right="400" w:hanging="328"/>
        <w:spacing w:after="0" w:line="253" w:lineRule="auto"/>
        <w:tabs>
          <w:tab w:leader="none" w:pos="660" w:val="left"/>
        </w:tabs>
        <w:numPr>
          <w:ilvl w:val="0"/>
          <w:numId w:val="593"/>
        </w:numPr>
        <w:rPr>
          <w:rFonts w:ascii="Arial" w:cs="Arial" w:eastAsia="Arial" w:hAnsi="Arial"/>
          <w:sz w:val="22"/>
          <w:szCs w:val="22"/>
          <w:color w:val="auto"/>
        </w:rPr>
      </w:pPr>
      <w:r>
        <w:rPr>
          <w:rFonts w:ascii="Arial" w:cs="Arial" w:eastAsia="Arial" w:hAnsi="Arial"/>
          <w:sz w:val="22"/>
          <w:szCs w:val="22"/>
          <w:color w:val="auto"/>
        </w:rPr>
        <w:t>In February 2017, in connection with a secondary sale of Class A Common Stock, the Company repurchased 220,351 shares from various employees at a purchase price of $6.00 per share. These repurchased shares are held as Treasury Stock.</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2(i)(iii)</w:t>
      </w:r>
    </w:p>
    <w:p>
      <w:pPr>
        <w:spacing w:after="0" w:line="21" w:lineRule="exact"/>
        <w:rPr>
          <w:sz w:val="20"/>
          <w:szCs w:val="20"/>
          <w:color w:val="auto"/>
        </w:rPr>
      </w:pPr>
    </w:p>
    <w:p>
      <w:pPr>
        <w:jc w:val="both"/>
        <w:ind w:right="280"/>
        <w:spacing w:after="0" w:line="245" w:lineRule="auto"/>
        <w:rPr>
          <w:sz w:val="20"/>
          <w:szCs w:val="20"/>
          <w:color w:val="auto"/>
        </w:rPr>
      </w:pPr>
      <w:r>
        <w:rPr>
          <w:rFonts w:ascii="Arial" w:cs="Arial" w:eastAsia="Arial" w:hAnsi="Arial"/>
          <w:sz w:val="22"/>
          <w:szCs w:val="22"/>
          <w:color w:val="auto"/>
        </w:rPr>
        <w:t>The Company’s offer letters to new hires include language listing the number of Restricted Stock Units or options that the new hires will be granted, subject to Compensation Committee approval, at the Company’s next Compensation Committee meeting following the new hires’ respective start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624" w:name="page625"/>
    <w:bookmarkEnd w:id="624"/>
    <w:p>
      <w:pPr>
        <w:jc w:val="right"/>
        <w:spacing w:after="0"/>
        <w:rPr>
          <w:sz w:val="20"/>
          <w:szCs w:val="20"/>
          <w:color w:val="auto"/>
        </w:rPr>
      </w:pPr>
      <w:r>
        <w:rPr>
          <w:rFonts w:ascii="Arial" w:cs="Arial" w:eastAsia="Arial" w:hAnsi="Arial"/>
          <w:sz w:val="18"/>
          <w:szCs w:val="18"/>
          <w:b w:val="1"/>
          <w:bCs w:val="1"/>
          <w:color w:val="auto"/>
        </w:rPr>
        <w:t>Exhibit 10.21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702945</wp:posOffset>
            </wp:positionV>
            <wp:extent cx="2280285" cy="4114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28028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585858"/>
        </w:rPr>
        <w:t>875 Stevenson Street, 5th Floor, San Francisco, CA 94103</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June 25, 2021</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Tim Chen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20"/>
          <w:szCs w:val="20"/>
          <w:b w:val="1"/>
          <w:bCs w:val="1"/>
          <w:color w:val="auto"/>
        </w:rPr>
        <w:t>Employment Terms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Dear Tim:</w:t>
      </w:r>
    </w:p>
    <w:p>
      <w:pPr>
        <w:spacing w:after="0" w:line="196" w:lineRule="exact"/>
        <w:rPr>
          <w:sz w:val="20"/>
          <w:szCs w:val="20"/>
          <w:color w:val="auto"/>
        </w:rPr>
      </w:pPr>
    </w:p>
    <w:p>
      <w:pPr>
        <w:ind w:right="360"/>
        <w:spacing w:after="0" w:line="446" w:lineRule="auto"/>
        <w:rPr>
          <w:sz w:val="20"/>
          <w:szCs w:val="20"/>
          <w:color w:val="auto"/>
        </w:rPr>
      </w:pPr>
      <w:r>
        <w:rPr>
          <w:rFonts w:ascii="Arial" w:cs="Arial" w:eastAsia="Arial" w:hAnsi="Arial"/>
          <w:sz w:val="20"/>
          <w:szCs w:val="20"/>
          <w:b w:val="1"/>
          <w:bCs w:val="1"/>
          <w:color w:val="auto"/>
        </w:rPr>
        <w:t>N</w:t>
      </w:r>
      <w:r>
        <w:rPr>
          <w:rFonts w:ascii="Arial" w:cs="Arial" w:eastAsia="Arial" w:hAnsi="Arial"/>
          <w:sz w:val="16"/>
          <w:szCs w:val="16"/>
          <w:b w:val="1"/>
          <w:bCs w:val="1"/>
          <w:color w:val="auto"/>
        </w:rPr>
        <w:t>ERD</w:t>
      </w:r>
      <w:r>
        <w:rPr>
          <w:rFonts w:ascii="Arial" w:cs="Arial" w:eastAsia="Arial" w:hAnsi="Arial"/>
          <w:sz w:val="20"/>
          <w:szCs w:val="20"/>
          <w:b w:val="1"/>
          <w:bCs w:val="1"/>
          <w:color w:val="auto"/>
        </w:rPr>
        <w:t>W</w:t>
      </w:r>
      <w:r>
        <w:rPr>
          <w:rFonts w:ascii="Arial" w:cs="Arial" w:eastAsia="Arial" w:hAnsi="Arial"/>
          <w:sz w:val="16"/>
          <w:szCs w:val="16"/>
          <w:b w:val="1"/>
          <w:bCs w:val="1"/>
          <w:color w:val="auto"/>
        </w:rPr>
        <w:t>ALLET</w:t>
      </w:r>
      <w:r>
        <w:rPr>
          <w:rFonts w:ascii="Arial" w:cs="Arial" w:eastAsia="Arial" w:hAnsi="Arial"/>
          <w:sz w:val="20"/>
          <w:szCs w:val="20"/>
          <w:b w:val="1"/>
          <w:bCs w:val="1"/>
          <w:color w:val="auto"/>
        </w:rPr>
        <w:t>, I</w:t>
      </w:r>
      <w:r>
        <w:rPr>
          <w:rFonts w:ascii="Arial" w:cs="Arial" w:eastAsia="Arial" w:hAnsi="Arial"/>
          <w:sz w:val="16"/>
          <w:szCs w:val="16"/>
          <w:b w:val="1"/>
          <w:bCs w:val="1"/>
          <w:color w:val="auto"/>
        </w:rPr>
        <w:t>NC</w:t>
      </w:r>
      <w:r>
        <w:rPr>
          <w:rFonts w:ascii="Arial" w:cs="Arial" w:eastAsia="Arial" w:hAnsi="Arial"/>
          <w:sz w:val="20"/>
          <w:szCs w:val="20"/>
          <w:b w:val="1"/>
          <w:bCs w:val="1"/>
          <w:color w:val="auto"/>
        </w:rPr>
        <w:t xml:space="preserve">. </w:t>
      </w:r>
      <w:r>
        <w:rPr>
          <w:rFonts w:ascii="Arial" w:cs="Arial" w:eastAsia="Arial" w:hAnsi="Arial"/>
          <w:sz w:val="20"/>
          <w:szCs w:val="20"/>
          <w:color w:val="auto"/>
        </w:rPr>
        <w:t>(the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is pleased to offer you continued employment on the terms set forth in this offer letter agreement.</w:t>
      </w:r>
      <w:r>
        <w:rPr>
          <w:rFonts w:ascii="Arial" w:cs="Arial" w:eastAsia="Arial" w:hAnsi="Arial"/>
          <w:sz w:val="20"/>
          <w:szCs w:val="20"/>
          <w:b w:val="1"/>
          <w:bCs w:val="1"/>
          <w:color w:val="auto"/>
        </w:rPr>
        <w:t xml:space="preserve"> Position and Compensation</w:t>
      </w:r>
    </w:p>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You will continue in the position of Chief Executive Officer, responsible for performing such duties as are assigned to you from time to time, reporting to the Company’s Board of Directors.</w:t>
      </w:r>
    </w:p>
    <w:p>
      <w:pPr>
        <w:spacing w:after="0" w:line="16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Effective July 1, 2021, your base salary will be paid at the rate of $600,000 per year, less payroll deductions and withholdings, paid on the Company’s normal payroll schedule.</w:t>
      </w:r>
    </w:p>
    <w:p>
      <w:pPr>
        <w:spacing w:after="0" w:line="16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During your employment, you will continue to be eligible to participate in the benefits plans offered to similarly situated employees by the Company from time to time, subject to plan terms and generally applicable Company policies. A full description of current benefits is available for your review.</w:t>
      </w:r>
    </w:p>
    <w:p>
      <w:pPr>
        <w:spacing w:after="0" w:line="159" w:lineRule="exact"/>
        <w:rPr>
          <w:sz w:val="20"/>
          <w:szCs w:val="20"/>
          <w:color w:val="auto"/>
        </w:rPr>
      </w:pPr>
    </w:p>
    <w:p>
      <w:pPr>
        <w:ind w:right="300"/>
        <w:spacing w:after="0" w:line="446" w:lineRule="auto"/>
        <w:rPr>
          <w:sz w:val="20"/>
          <w:szCs w:val="20"/>
          <w:color w:val="auto"/>
        </w:rPr>
      </w:pPr>
      <w:r>
        <w:rPr>
          <w:rFonts w:ascii="Arial" w:cs="Arial" w:eastAsia="Arial" w:hAnsi="Arial"/>
          <w:sz w:val="20"/>
          <w:szCs w:val="20"/>
          <w:color w:val="auto"/>
        </w:rPr>
        <w:t xml:space="preserve">Your previously granted equity awards will continue to be governed by the applicable equity incentive plan and equity awards documents. Of course, the Company may change your position, duties, compensation, benefits and work location from time to time in its discretion. </w:t>
      </w:r>
      <w:r>
        <w:rPr>
          <w:rFonts w:ascii="Arial" w:cs="Arial" w:eastAsia="Arial" w:hAnsi="Arial"/>
          <w:sz w:val="20"/>
          <w:szCs w:val="20"/>
          <w:b w:val="1"/>
          <w:bCs w:val="1"/>
          <w:color w:val="auto"/>
        </w:rPr>
        <w:t>Confidential Information and Company Policies</w:t>
      </w:r>
    </w:p>
    <w:p>
      <w:pPr>
        <w:jc w:val="both"/>
        <w:ind w:right="20"/>
        <w:spacing w:after="0" w:line="250" w:lineRule="auto"/>
        <w:rPr>
          <w:sz w:val="20"/>
          <w:szCs w:val="20"/>
          <w:color w:val="auto"/>
        </w:rPr>
      </w:pPr>
      <w:r>
        <w:rPr>
          <w:rFonts w:ascii="Arial" w:cs="Arial" w:eastAsia="Arial" w:hAnsi="Arial"/>
          <w:sz w:val="20"/>
          <w:szCs w:val="20"/>
          <w:color w:val="auto"/>
        </w:rPr>
        <w:t>As a Company employee, you will continue to be expected to abide by Company rules and policies. Your signed Confidential Information Inventions Assignment and Arbitration Agreement with the Company will continue in full force and effect and continue to be binding on you.</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By signing this letter you are representing that you have full authority to accept this position and perform the duties of the position without conflict with any other obligations and that you are not involved in any situation that might create, or appear to create, a conflict of interest with respect to your loyalty or duties to the Company. You specifically warrant that you are not subject to an employment agreement or restrictive covenant preventing full performance of your duties to the Company. You agree not to bring to the Company or use in the performance of your responsibilities at the Company any materials or documents of a former employer that are not generally available to the public, unless you have obtained express written authorization from the former employer for their possession and use. You also agree to honor all obligations to former employers during your employment with the Company.</w:t>
      </w:r>
    </w:p>
    <w:p>
      <w:pPr>
        <w:sectPr>
          <w:pgSz w:w="11900" w:h="16838" w:orient="portrait"/>
          <w:cols w:equalWidth="0" w:num="1">
            <w:col w:w="11240"/>
          </w:cols>
          <w:pgMar w:left="320" w:top="122" w:right="339" w:bottom="1440" w:gutter="0" w:footer="0" w:header="0"/>
        </w:sectPr>
      </w:pPr>
    </w:p>
    <w:bookmarkStart w:id="625" w:name="page626"/>
    <w:bookmarkEnd w:id="625"/>
    <w:p>
      <w:pPr>
        <w:spacing w:after="0"/>
        <w:rPr>
          <w:sz w:val="20"/>
          <w:szCs w:val="20"/>
          <w:color w:val="auto"/>
        </w:rPr>
      </w:pPr>
      <w:r>
        <w:rPr>
          <w:rFonts w:ascii="Arial" w:cs="Arial" w:eastAsia="Arial" w:hAnsi="Arial"/>
          <w:sz w:val="20"/>
          <w:szCs w:val="20"/>
          <w:b w:val="1"/>
          <w:bCs w:val="1"/>
          <w:color w:val="auto"/>
        </w:rPr>
        <w:t>At-Will Employment and Exempt Status</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Your employment with the Company will continue to be “at-will.” You may terminate your employment with the Company at any time and for any reason whatsoever simply by notifying the Company. Likewise, the Company may terminate your employment at any time, with or without cause or advance notice. Your employment at-will status can only be modified in a written agreement signed by you and by an officer of the Company.</w:t>
      </w:r>
    </w:p>
    <w:p>
      <w:pPr>
        <w:spacing w:after="0" w:line="16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an exempt salaried employee, you will be expected to work the Company’s normal business hours as well as additional hours as required by the nature of your work assignments, and you will not be eligible for overtime compensation.</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Complete Agreement</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This letter, together with your Confidential Information Inventions Assignment and Arbitration Agreement, forms the complete and exclusive statement of your employment agreement with the Company. It supersedes any other agreements or promises made to you by anyone, whether oral or written. Changes in your employment terms, other than those changes expressly reserved to the Company’s discretion in this letter, require a written modification signed by an officer of the Company. If any provision of this offer letter agreement is determined to be invalid or unenforceable, in whole or in part, this determination shall not affect any other provision of this offer letter agreement and the provision in question shall be modified so as to be rendered enforceable in a manner consistent with the intent of the parties insofar as possible under applicable law. This letter may be delivered and executed via facsimile, electronic mail (including pdf or any electronic signature complying with the U.S. federal ESIGN Act of 2000, Uniform Electronic Transactions Act or other applicable law) or other transmission method and shall be deemed to have been duly and validly delivered and executed and be valid and effective for all purposes.</w:t>
      </w:r>
    </w:p>
    <w:p>
      <w:pPr>
        <w:spacing w:after="0" w:line="143" w:lineRule="exact"/>
        <w:rPr>
          <w:sz w:val="20"/>
          <w:szCs w:val="20"/>
          <w:color w:val="auto"/>
        </w:rPr>
      </w:pPr>
    </w:p>
    <w:p>
      <w:pPr>
        <w:ind w:left="4940"/>
        <w:spacing w:after="0"/>
        <w:tabs>
          <w:tab w:leader="none" w:pos="5560" w:val="left"/>
          <w:tab w:leader="none" w:pos="620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p>
    <w:p>
      <w:pPr>
        <w:spacing w:after="0" w:line="20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Please sign and date this letter and return it to me if you wish to accept continued employment at the Company under the terms described above.</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20"/>
          <w:szCs w:val="20"/>
          <w:color w:val="auto"/>
        </w:rPr>
        <w:t>Sincerely,</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Lynee Luque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318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20"/>
          <w:szCs w:val="20"/>
          <w:color w:val="auto"/>
        </w:rPr>
        <w:t>Lynee Luque, VP of People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660" w:type="dxa"/>
            <w:vAlign w:val="bottom"/>
            <w:gridSpan w:val="2"/>
          </w:tcPr>
          <w:p>
            <w:pPr>
              <w:ind w:left="20"/>
              <w:spacing w:after="0"/>
              <w:rPr>
                <w:sz w:val="20"/>
                <w:szCs w:val="20"/>
                <w:color w:val="auto"/>
              </w:rPr>
            </w:pPr>
            <w:r>
              <w:rPr>
                <w:rFonts w:ascii="Arial" w:cs="Arial" w:eastAsia="Arial" w:hAnsi="Arial"/>
                <w:sz w:val="20"/>
                <w:szCs w:val="20"/>
                <w:b w:val="1"/>
                <w:bCs w:val="1"/>
                <w:color w:val="auto"/>
              </w:rPr>
              <w:t>Understood and Accepted:</w:t>
            </w:r>
          </w:p>
        </w:tc>
        <w:tc>
          <w:tcPr>
            <w:tcW w:w="5580" w:type="dxa"/>
            <w:vAlign w:val="bottom"/>
          </w:tcPr>
          <w:p>
            <w:pPr>
              <w:spacing w:after="0"/>
              <w:rPr>
                <w:sz w:val="22"/>
                <w:szCs w:val="22"/>
                <w:color w:val="auto"/>
              </w:rPr>
            </w:pPr>
          </w:p>
        </w:tc>
      </w:tr>
      <w:tr>
        <w:trPr>
          <w:trHeight w:val="293"/>
        </w:trPr>
        <w:tc>
          <w:tcPr>
            <w:tcW w:w="5660" w:type="dxa"/>
            <w:vAlign w:val="bottom"/>
            <w:gridSpan w:val="2"/>
          </w:tcPr>
          <w:p>
            <w:pPr>
              <w:ind w:left="20"/>
              <w:spacing w:after="0"/>
              <w:rPr>
                <w:sz w:val="20"/>
                <w:szCs w:val="20"/>
                <w:color w:val="auto"/>
              </w:rPr>
            </w:pPr>
            <w:r>
              <w:rPr>
                <w:rFonts w:ascii="Arial" w:cs="Arial" w:eastAsia="Arial" w:hAnsi="Arial"/>
                <w:sz w:val="20"/>
                <w:szCs w:val="20"/>
                <w:color w:val="auto"/>
              </w:rPr>
              <w:t>/s/ Tim Chen</w:t>
            </w:r>
          </w:p>
        </w:tc>
        <w:tc>
          <w:tcPr>
            <w:tcW w:w="5580" w:type="dxa"/>
            <w:vAlign w:val="bottom"/>
          </w:tcPr>
          <w:p>
            <w:pPr>
              <w:ind w:left="20"/>
              <w:spacing w:after="0"/>
              <w:rPr>
                <w:sz w:val="20"/>
                <w:szCs w:val="20"/>
                <w:color w:val="auto"/>
              </w:rPr>
            </w:pPr>
            <w:r>
              <w:rPr>
                <w:rFonts w:ascii="Arial" w:cs="Arial" w:eastAsia="Arial" w:hAnsi="Arial"/>
                <w:sz w:val="20"/>
                <w:szCs w:val="20"/>
                <w:color w:val="auto"/>
              </w:rPr>
              <w:t>6/25/2021</w:t>
            </w:r>
          </w:p>
        </w:tc>
      </w:tr>
      <w:tr>
        <w:trPr>
          <w:trHeight w:val="244"/>
        </w:trPr>
        <w:tc>
          <w:tcPr>
            <w:tcW w:w="556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Tim Chen</w:t>
            </w:r>
          </w:p>
        </w:tc>
        <w:tc>
          <w:tcPr>
            <w:tcW w:w="100" w:type="dxa"/>
            <w:vAlign w:val="bottom"/>
          </w:tcPr>
          <w:p>
            <w:pPr>
              <w:spacing w:after="0"/>
              <w:rPr>
                <w:sz w:val="21"/>
                <w:szCs w:val="21"/>
                <w:color w:val="auto"/>
              </w:rPr>
            </w:pPr>
          </w:p>
        </w:tc>
        <w:tc>
          <w:tcPr>
            <w:tcW w:w="558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Date</w:t>
            </w:r>
          </w:p>
        </w:tc>
      </w:tr>
      <w:tr>
        <w:trPr>
          <w:trHeight w:val="510"/>
        </w:trPr>
        <w:tc>
          <w:tcPr>
            <w:tcW w:w="5560" w:type="dxa"/>
            <w:vAlign w:val="bottom"/>
          </w:tcPr>
          <w:p>
            <w:pPr>
              <w:ind w:left="2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55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2</w:t>
      </w:r>
    </w:p>
    <w:p>
      <w:pPr>
        <w:sectPr>
          <w:pgSz w:w="11900" w:h="16838" w:orient="portrait"/>
          <w:cols w:equalWidth="0" w:num="1">
            <w:col w:w="11240"/>
          </w:cols>
          <w:pgMar w:left="320" w:top="1413" w:right="339" w:bottom="1440" w:gutter="0" w:footer="0" w:header="0"/>
        </w:sectPr>
      </w:pPr>
    </w:p>
    <w:bookmarkStart w:id="626" w:name="page627"/>
    <w:bookmarkEnd w:id="626"/>
    <w:p>
      <w:pPr>
        <w:jc w:val="right"/>
        <w:spacing w:after="0"/>
        <w:rPr>
          <w:sz w:val="20"/>
          <w:szCs w:val="20"/>
          <w:color w:val="auto"/>
        </w:rPr>
      </w:pPr>
      <w:r>
        <w:rPr>
          <w:rFonts w:ascii="Arial" w:cs="Arial" w:eastAsia="Arial" w:hAnsi="Arial"/>
          <w:sz w:val="18"/>
          <w:szCs w:val="18"/>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CHANGE OF CONTROL AND SEVERANCE POLICY</w:t>
      </w:r>
    </w:p>
    <w:p>
      <w:pPr>
        <w:spacing w:after="0" w:line="24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This Change of Control and Severance Policy (the “</w:t>
      </w:r>
      <w:r>
        <w:rPr>
          <w:rFonts w:ascii="Arial" w:cs="Arial" w:eastAsia="Arial" w:hAnsi="Arial"/>
          <w:sz w:val="20"/>
          <w:szCs w:val="20"/>
          <w:b w:val="1"/>
          <w:bCs w:val="1"/>
          <w:i w:val="1"/>
          <w:iCs w:val="1"/>
          <w:color w:val="auto"/>
        </w:rPr>
        <w:t>Policy</w:t>
      </w:r>
      <w:r>
        <w:rPr>
          <w:rFonts w:ascii="Arial" w:cs="Arial" w:eastAsia="Arial" w:hAnsi="Arial"/>
          <w:sz w:val="20"/>
          <w:szCs w:val="20"/>
          <w:color w:val="auto"/>
        </w:rPr>
        <w:t>”) of NerdWallet, Inc.,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is effective as of June 16, 2021 (the “</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w:t>
      </w:r>
    </w:p>
    <w:p>
      <w:pPr>
        <w:spacing w:after="0" w:line="171" w:lineRule="exact"/>
        <w:rPr>
          <w:sz w:val="20"/>
          <w:szCs w:val="20"/>
          <w:color w:val="auto"/>
        </w:rPr>
      </w:pPr>
    </w:p>
    <w:p>
      <w:pPr>
        <w:ind w:left="660" w:hanging="652"/>
        <w:spacing w:after="0"/>
        <w:tabs>
          <w:tab w:leader="none" w:pos="660" w:val="left"/>
        </w:tabs>
        <w:numPr>
          <w:ilvl w:val="0"/>
          <w:numId w:val="594"/>
        </w:numPr>
        <w:rPr>
          <w:rFonts w:ascii="Arial" w:cs="Arial" w:eastAsia="Arial" w:hAnsi="Arial"/>
          <w:sz w:val="20"/>
          <w:szCs w:val="20"/>
          <w:b w:val="1"/>
          <w:bCs w:val="1"/>
          <w:color w:val="auto"/>
        </w:rPr>
      </w:pPr>
      <w:r>
        <w:rPr>
          <w:rFonts w:ascii="Arial" w:cs="Arial" w:eastAsia="Arial" w:hAnsi="Arial"/>
          <w:sz w:val="20"/>
          <w:szCs w:val="20"/>
          <w:b w:val="1"/>
          <w:bCs w:val="1"/>
          <w:color w:val="auto"/>
        </w:rPr>
        <w:t>General.</w:t>
      </w:r>
    </w:p>
    <w:p>
      <w:pPr>
        <w:spacing w:after="0" w:line="215" w:lineRule="exact"/>
        <w:rPr>
          <w:rFonts w:ascii="Arial" w:cs="Arial" w:eastAsia="Arial" w:hAnsi="Arial"/>
          <w:sz w:val="20"/>
          <w:szCs w:val="20"/>
          <w:b w:val="1"/>
          <w:bCs w:val="1"/>
          <w:color w:val="auto"/>
        </w:rPr>
      </w:pPr>
    </w:p>
    <w:p>
      <w:pPr>
        <w:jc w:val="both"/>
        <w:ind w:firstLine="656"/>
        <w:spacing w:after="0" w:line="246" w:lineRule="auto"/>
        <w:tabs>
          <w:tab w:leader="none" w:pos="1284" w:val="left"/>
        </w:tabs>
        <w:numPr>
          <w:ilvl w:val="1"/>
          <w:numId w:val="59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Purpose and Participation. </w:t>
      </w:r>
      <w:r>
        <w:rPr>
          <w:rFonts w:ascii="Arial" w:cs="Arial" w:eastAsia="Arial" w:hAnsi="Arial"/>
          <w:sz w:val="20"/>
          <w:szCs w:val="20"/>
          <w:color w:val="auto"/>
        </w:rPr>
        <w:t>The purpose of this Policy is to provide specified benefits to employees designated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Company’s board of directors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or compensation committee thereof (the “</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(such employees, the “</w:t>
      </w:r>
      <w:r>
        <w:rPr>
          <w:rFonts w:ascii="Arial" w:cs="Arial" w:eastAsia="Arial" w:hAnsi="Arial"/>
          <w:sz w:val="20"/>
          <w:szCs w:val="20"/>
          <w:b w:val="1"/>
          <w:bCs w:val="1"/>
          <w:i w:val="1"/>
          <w:iCs w:val="1"/>
          <w:color w:val="auto"/>
        </w:rPr>
        <w:t>Participants</w:t>
      </w:r>
      <w:r>
        <w:rPr>
          <w:rFonts w:ascii="Arial" w:cs="Arial" w:eastAsia="Arial" w:hAnsi="Arial"/>
          <w:sz w:val="20"/>
          <w:szCs w:val="20"/>
          <w:color w:val="auto"/>
        </w:rPr>
        <w:t>”), to induce the Participants to remain employed by the Company. If the Administrator (as defined below) so determines, in its sole discretion, Participants may be provided participation letters or agreements (“</w:t>
      </w:r>
      <w:r>
        <w:rPr>
          <w:rFonts w:ascii="Arial" w:cs="Arial" w:eastAsia="Arial" w:hAnsi="Arial"/>
          <w:sz w:val="20"/>
          <w:szCs w:val="20"/>
          <w:b w:val="1"/>
          <w:bCs w:val="1"/>
          <w:i w:val="1"/>
          <w:iCs w:val="1"/>
          <w:color w:val="auto"/>
        </w:rPr>
        <w:t>Participation Letters</w:t>
      </w:r>
      <w:r>
        <w:rPr>
          <w:rFonts w:ascii="Arial" w:cs="Arial" w:eastAsia="Arial" w:hAnsi="Arial"/>
          <w:sz w:val="20"/>
          <w:szCs w:val="20"/>
          <w:color w:val="auto"/>
        </w:rPr>
        <w:t>”) memorializing their participation in this Policy in accordance with the terms herewith.</w:t>
      </w:r>
    </w:p>
    <w:p>
      <w:pPr>
        <w:spacing w:after="0" w:line="184" w:lineRule="exact"/>
        <w:rPr>
          <w:rFonts w:ascii="Arial" w:cs="Arial" w:eastAsia="Arial" w:hAnsi="Arial"/>
          <w:sz w:val="20"/>
          <w:szCs w:val="20"/>
          <w:b w:val="1"/>
          <w:bCs w:val="1"/>
          <w:color w:val="auto"/>
        </w:rPr>
      </w:pPr>
    </w:p>
    <w:p>
      <w:pPr>
        <w:jc w:val="both"/>
        <w:ind w:firstLine="656"/>
        <w:spacing w:after="0" w:line="262" w:lineRule="auto"/>
        <w:tabs>
          <w:tab w:leader="none" w:pos="1295" w:val="left"/>
        </w:tabs>
        <w:numPr>
          <w:ilvl w:val="1"/>
          <w:numId w:val="59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 and Automatic Renewal. </w:t>
      </w:r>
      <w:r>
        <w:rPr>
          <w:rFonts w:ascii="Arial" w:cs="Arial" w:eastAsia="Arial" w:hAnsi="Arial"/>
          <w:sz w:val="19"/>
          <w:szCs w:val="19"/>
          <w:color w:val="auto"/>
        </w:rPr>
        <w:t>This Policy will terminate the third anniversary of the Effective Date, provided that if a</w:t>
      </w:r>
      <w:r>
        <w:rPr>
          <w:rFonts w:ascii="Arial" w:cs="Arial" w:eastAsia="Arial" w:hAnsi="Arial"/>
          <w:sz w:val="19"/>
          <w:szCs w:val="19"/>
          <w:b w:val="1"/>
          <w:bCs w:val="1"/>
          <w:color w:val="auto"/>
        </w:rPr>
        <w:t xml:space="preserve"> </w:t>
      </w:r>
      <w:r>
        <w:rPr>
          <w:rFonts w:ascii="Arial" w:cs="Arial" w:eastAsia="Arial" w:hAnsi="Arial"/>
          <w:sz w:val="19"/>
          <w:szCs w:val="19"/>
          <w:color w:val="auto"/>
        </w:rPr>
        <w:t>definitive agreement relating to a Change of Control has been signed by the Company on or before the Expiration Date, then this Policy will remain in effect through the date the Company has met all of its obligations hereunder. This Policy will renew automatically and continue in effect for three (3) year periods measured from the initial Expiration Date, unless the Company provides each Participant hereunder notice of nonrenewal at least three (3) months prior to the date on which this Policy would otherwise renew.</w:t>
      </w:r>
    </w:p>
    <w:p>
      <w:pPr>
        <w:spacing w:after="0" w:line="170" w:lineRule="exact"/>
        <w:rPr>
          <w:rFonts w:ascii="Arial" w:cs="Arial" w:eastAsia="Arial" w:hAnsi="Arial"/>
          <w:sz w:val="19"/>
          <w:szCs w:val="19"/>
          <w:b w:val="1"/>
          <w:bCs w:val="1"/>
          <w:color w:val="auto"/>
        </w:rPr>
      </w:pPr>
    </w:p>
    <w:p>
      <w:pPr>
        <w:ind w:right="100" w:firstLine="8"/>
        <w:spacing w:after="0" w:line="267" w:lineRule="auto"/>
        <w:tabs>
          <w:tab w:leader="none" w:pos="648" w:val="left"/>
        </w:tabs>
        <w:numPr>
          <w:ilvl w:val="0"/>
          <w:numId w:val="59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Qualifying Termination. </w:t>
      </w:r>
      <w:r>
        <w:rPr>
          <w:rFonts w:ascii="Arial" w:cs="Arial" w:eastAsia="Arial" w:hAnsi="Arial"/>
          <w:sz w:val="20"/>
          <w:szCs w:val="20"/>
          <w:color w:val="auto"/>
        </w:rPr>
        <w:t>If a Participant is subject to a Qualifying Termination, then subject to the terms and conditions set forth in</w:t>
      </w:r>
      <w:r>
        <w:rPr>
          <w:rFonts w:ascii="Arial" w:cs="Arial" w:eastAsia="Arial" w:hAnsi="Arial"/>
          <w:sz w:val="20"/>
          <w:szCs w:val="20"/>
          <w:b w:val="1"/>
          <w:bCs w:val="1"/>
          <w:color w:val="auto"/>
        </w:rPr>
        <w:t xml:space="preserve"> </w:t>
      </w:r>
      <w:r>
        <w:rPr>
          <w:rFonts w:ascii="Arial" w:cs="Arial" w:eastAsia="Arial" w:hAnsi="Arial"/>
          <w:sz w:val="20"/>
          <w:szCs w:val="20"/>
          <w:color w:val="auto"/>
        </w:rPr>
        <w:t>this Policy, the Participant will be entitled to the following benefits:</w:t>
      </w:r>
    </w:p>
    <w:p>
      <w:pPr>
        <w:spacing w:after="0" w:line="163" w:lineRule="exact"/>
        <w:rPr>
          <w:rFonts w:ascii="Arial" w:cs="Arial" w:eastAsia="Arial" w:hAnsi="Arial"/>
          <w:sz w:val="20"/>
          <w:szCs w:val="20"/>
          <w:b w:val="1"/>
          <w:bCs w:val="1"/>
          <w:color w:val="auto"/>
        </w:rPr>
      </w:pPr>
    </w:p>
    <w:p>
      <w:pPr>
        <w:ind w:left="1300" w:hanging="644"/>
        <w:spacing w:after="0"/>
        <w:tabs>
          <w:tab w:leader="none" w:pos="1300" w:val="left"/>
        </w:tabs>
        <w:numPr>
          <w:ilvl w:val="1"/>
          <w:numId w:val="594"/>
        </w:numPr>
        <w:rPr>
          <w:rFonts w:ascii="Arial" w:cs="Arial" w:eastAsia="Arial" w:hAnsi="Arial"/>
          <w:sz w:val="20"/>
          <w:szCs w:val="20"/>
          <w:b w:val="1"/>
          <w:bCs w:val="1"/>
          <w:color w:val="auto"/>
        </w:rPr>
      </w:pPr>
      <w:r>
        <w:rPr>
          <w:rFonts w:ascii="Arial" w:cs="Arial" w:eastAsia="Arial" w:hAnsi="Arial"/>
          <w:sz w:val="20"/>
          <w:szCs w:val="20"/>
          <w:b w:val="1"/>
          <w:bCs w:val="1"/>
          <w:color w:val="auto"/>
        </w:rPr>
        <w:t>Severance Benefits.</w:t>
      </w:r>
    </w:p>
    <w:p>
      <w:pPr>
        <w:spacing w:after="0" w:line="221" w:lineRule="exact"/>
        <w:rPr>
          <w:rFonts w:ascii="Arial" w:cs="Arial" w:eastAsia="Arial" w:hAnsi="Arial"/>
          <w:sz w:val="20"/>
          <w:szCs w:val="20"/>
          <w:b w:val="1"/>
          <w:bCs w:val="1"/>
          <w:color w:val="auto"/>
        </w:rPr>
      </w:pPr>
    </w:p>
    <w:p>
      <w:pPr>
        <w:jc w:val="both"/>
        <w:ind w:firstLine="1304"/>
        <w:spacing w:after="0" w:line="243" w:lineRule="auto"/>
        <w:tabs>
          <w:tab w:leader="none" w:pos="1694" w:val="left"/>
        </w:tabs>
        <w:numPr>
          <w:ilvl w:val="2"/>
          <w:numId w:val="594"/>
        </w:numPr>
        <w:rPr>
          <w:rFonts w:ascii="Arial" w:cs="Arial" w:eastAsia="Arial" w:hAnsi="Arial"/>
          <w:sz w:val="20"/>
          <w:szCs w:val="20"/>
          <w:color w:val="010000"/>
        </w:rPr>
      </w:pPr>
      <w:r>
        <w:rPr>
          <w:rFonts w:ascii="Arial" w:cs="Arial" w:eastAsia="Arial" w:hAnsi="Arial"/>
          <w:sz w:val="20"/>
          <w:szCs w:val="20"/>
          <w:color w:val="auto"/>
        </w:rPr>
        <w:t>The Company will pay the Participant an aggregate amount equal to the sum of (1) six (6) months of Participant’s base salary at the rate in effect immediately prior to the actions that resulted in the Qualifying Termination plus (2) if the Participant is eligible for a target bonus, a payment equal to the product of (x) the amount payable assuming the bonus would have been earned at 100% of target, multiplied by (y) a fraction, the numerator of which is the number of whole calendar months the Participant provided services during the applicable performance period for that target bonus, and the denominator of which is the total number of months in the performance period for that bonus payment.</w:t>
      </w:r>
    </w:p>
    <w:p>
      <w:pPr>
        <w:spacing w:after="0" w:line="195" w:lineRule="exact"/>
        <w:rPr>
          <w:rFonts w:ascii="Arial" w:cs="Arial" w:eastAsia="Arial" w:hAnsi="Arial"/>
          <w:sz w:val="20"/>
          <w:szCs w:val="20"/>
          <w:color w:val="010000"/>
        </w:rPr>
      </w:pPr>
    </w:p>
    <w:p>
      <w:pPr>
        <w:jc w:val="both"/>
        <w:ind w:firstLine="1304"/>
        <w:spacing w:after="0" w:line="250" w:lineRule="auto"/>
        <w:tabs>
          <w:tab w:leader="none" w:pos="1910" w:val="left"/>
        </w:tabs>
        <w:numPr>
          <w:ilvl w:val="2"/>
          <w:numId w:val="594"/>
        </w:numPr>
        <w:rPr>
          <w:rFonts w:ascii="Arial" w:cs="Arial" w:eastAsia="Arial" w:hAnsi="Arial"/>
          <w:sz w:val="20"/>
          <w:szCs w:val="20"/>
          <w:color w:val="auto"/>
        </w:rPr>
      </w:pPr>
      <w:r>
        <w:rPr>
          <w:rFonts w:ascii="Arial" w:cs="Arial" w:eastAsia="Arial" w:hAnsi="Arial"/>
          <w:sz w:val="20"/>
          <w:szCs w:val="20"/>
          <w:color w:val="auto"/>
        </w:rPr>
        <w:t>The Participant will receive Participant’s cash severance payment in a cash lump sum in accordance with the Company’s standard payroll procedures, which payment will be made no later than the first regular payroll date occurring after the sixtieth day following the Separation, provided that the Release Conditions have been satisfied.</w:t>
      </w:r>
    </w:p>
    <w:p>
      <w:pPr>
        <w:spacing w:after="0" w:line="179" w:lineRule="exact"/>
        <w:rPr>
          <w:rFonts w:ascii="Arial" w:cs="Arial" w:eastAsia="Arial" w:hAnsi="Arial"/>
          <w:sz w:val="20"/>
          <w:szCs w:val="20"/>
          <w:color w:val="auto"/>
        </w:rPr>
      </w:pPr>
    </w:p>
    <w:p>
      <w:pPr>
        <w:ind w:left="1300" w:hanging="644"/>
        <w:spacing w:after="0"/>
        <w:tabs>
          <w:tab w:leader="none" w:pos="1300" w:val="left"/>
        </w:tabs>
        <w:numPr>
          <w:ilvl w:val="1"/>
          <w:numId w:val="594"/>
        </w:numPr>
        <w:rPr>
          <w:rFonts w:ascii="Arial" w:cs="Arial" w:eastAsia="Arial" w:hAnsi="Arial"/>
          <w:sz w:val="20"/>
          <w:szCs w:val="20"/>
          <w:b w:val="1"/>
          <w:bCs w:val="1"/>
          <w:color w:val="auto"/>
        </w:rPr>
      </w:pPr>
      <w:r>
        <w:rPr>
          <w:rFonts w:ascii="Arial" w:cs="Arial" w:eastAsia="Arial" w:hAnsi="Arial"/>
          <w:sz w:val="20"/>
          <w:szCs w:val="20"/>
          <w:b w:val="1"/>
          <w:bCs w:val="1"/>
          <w:color w:val="auto"/>
        </w:rPr>
        <w:t>Continued Employee Benefits.</w:t>
      </w:r>
    </w:p>
    <w:p>
      <w:pPr>
        <w:spacing w:after="0" w:line="221" w:lineRule="exact"/>
        <w:rPr>
          <w:rFonts w:ascii="Arial" w:cs="Arial" w:eastAsia="Arial" w:hAnsi="Arial"/>
          <w:sz w:val="20"/>
          <w:szCs w:val="20"/>
          <w:b w:val="1"/>
          <w:bCs w:val="1"/>
          <w:color w:val="auto"/>
        </w:rPr>
      </w:pPr>
    </w:p>
    <w:p>
      <w:pPr>
        <w:jc w:val="both"/>
        <w:ind w:firstLine="1304"/>
        <w:spacing w:after="0" w:line="276" w:lineRule="auto"/>
        <w:tabs>
          <w:tab w:leader="none" w:pos="1694" w:val="left"/>
        </w:tabs>
        <w:numPr>
          <w:ilvl w:val="2"/>
          <w:numId w:val="594"/>
        </w:numPr>
        <w:rPr>
          <w:rFonts w:ascii="Arial" w:cs="Arial" w:eastAsia="Arial" w:hAnsi="Arial"/>
          <w:sz w:val="18"/>
          <w:szCs w:val="18"/>
          <w:color w:val="010000"/>
        </w:rPr>
      </w:pPr>
      <w:r>
        <w:rPr>
          <w:rFonts w:ascii="Arial" w:cs="Arial" w:eastAsia="Arial" w:hAnsi="Arial"/>
          <w:sz w:val="18"/>
          <w:szCs w:val="18"/>
          <w:color w:val="auto"/>
        </w:rPr>
        <w:t>If Participant timely elects continued coverage under the Consolidated Omnibus Budget Reconciliation Act of 1985, as amended (“</w:t>
      </w:r>
      <w:r>
        <w:rPr>
          <w:rFonts w:ascii="Arial" w:cs="Arial" w:eastAsia="Arial" w:hAnsi="Arial"/>
          <w:sz w:val="18"/>
          <w:szCs w:val="18"/>
          <w:b w:val="1"/>
          <w:bCs w:val="1"/>
          <w:i w:val="1"/>
          <w:iCs w:val="1"/>
          <w:color w:val="auto"/>
        </w:rPr>
        <w:t>COBRA</w:t>
      </w:r>
      <w:r>
        <w:rPr>
          <w:rFonts w:ascii="Arial" w:cs="Arial" w:eastAsia="Arial" w:hAnsi="Arial"/>
          <w:sz w:val="18"/>
          <w:szCs w:val="18"/>
          <w:color w:val="auto"/>
        </w:rPr>
        <w:t xml:space="preserve">”), the Company will continue to pay the employer portion of Participant’s COBRA premiums on behalf of the Participant (and Participant’s eligible dependents) for continued coverage under the Company’s welfare benefit plans for up to six (6) months following the Participant’s Separation, in any case, only until Participant is eligible to be covered under substantially equivalent group insurance plans of a subsequent employer;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if the Release Conditions are not satisfied, then the COBRA subsidies described in this subsection (i) will immediately cease as of the sixtieth day following the Separation, and any COBRA</w:t>
      </w:r>
    </w:p>
    <w:p>
      <w:pPr>
        <w:sectPr>
          <w:pgSz w:w="11900" w:h="16838" w:orient="portrait"/>
          <w:cols w:equalWidth="0" w:num="1">
            <w:col w:w="11240"/>
          </w:cols>
          <w:pgMar w:left="320" w:top="122" w:right="339" w:bottom="1440" w:gutter="0" w:footer="0" w:header="0"/>
        </w:sectPr>
      </w:pPr>
    </w:p>
    <w:bookmarkStart w:id="627" w:name="page628"/>
    <w:bookmarkEnd w:id="627"/>
    <w:p>
      <w:pPr>
        <w:spacing w:after="0" w:line="260" w:lineRule="auto"/>
        <w:rPr>
          <w:sz w:val="20"/>
          <w:szCs w:val="20"/>
          <w:color w:val="auto"/>
        </w:rPr>
      </w:pPr>
      <w:r>
        <w:rPr>
          <w:rFonts w:ascii="Arial" w:cs="Arial" w:eastAsia="Arial" w:hAnsi="Arial"/>
          <w:sz w:val="20"/>
          <w:szCs w:val="20"/>
          <w:color w:val="auto"/>
        </w:rPr>
        <w:t>subsidies previously paid by the Company will immediately become due and repayable in full (gross of any applicable taxes) by the Participant, to the fullest extent permitted by applicable law.</w:t>
      </w:r>
    </w:p>
    <w:p>
      <w:pPr>
        <w:spacing w:after="0" w:line="177" w:lineRule="exact"/>
        <w:rPr>
          <w:sz w:val="20"/>
          <w:szCs w:val="20"/>
          <w:color w:val="auto"/>
        </w:rPr>
      </w:pPr>
    </w:p>
    <w:p>
      <w:pPr>
        <w:jc w:val="both"/>
        <w:ind w:firstLine="1304"/>
        <w:spacing w:after="0" w:line="272" w:lineRule="auto"/>
        <w:tabs>
          <w:tab w:leader="none" w:pos="1784" w:val="left"/>
        </w:tabs>
        <w:numPr>
          <w:ilvl w:val="2"/>
          <w:numId w:val="595"/>
        </w:numPr>
        <w:rPr>
          <w:rFonts w:ascii="Arial" w:cs="Arial" w:eastAsia="Arial" w:hAnsi="Arial"/>
          <w:sz w:val="18"/>
          <w:szCs w:val="18"/>
          <w:color w:val="auto"/>
        </w:rPr>
      </w:pPr>
      <w:r>
        <w:rPr>
          <w:rFonts w:ascii="Arial" w:cs="Arial" w:eastAsia="Arial" w:hAnsi="Arial"/>
          <w:sz w:val="18"/>
          <w:szCs w:val="18"/>
          <w:color w:val="auto"/>
        </w:rPr>
        <w:t>Notwithstanding the foregoing, if the Company, in its sole discretion, determines that it cannot provide the foregoing subsidy of COBRA coverage without potentially violating, or causing the Company to incur additional expense as a result of noncompliance with, applicable law (including, without limitation, Section 2716 of the Public Health Service Act), then the Company instead will provide Participant a taxable monthly payment in an amount equal to the employer portion of the monthly COBRA premium for the Participant (and Participant’s eligible dependents) to continue the coverage in effect on the date of the Separation, which amounts will: (A) be based on the premium for the first month of COBRA coverage, (B) not be grossed up to account for taxes and/or withholding on such amounts, (C) be paid regardless of whether Participant elects COBRA continuation coverage, (D) commence on the later of (1) the first day of the month following the month in which Participant experiences a Separation and (2) the effective date of the Company’s determination of violation of applicable law and (E) end on the effective date on which Participant becomes covered by a group insurance plan of a subsequent employer.</w:t>
      </w:r>
    </w:p>
    <w:p>
      <w:pPr>
        <w:spacing w:after="0" w:line="170" w:lineRule="exact"/>
        <w:rPr>
          <w:rFonts w:ascii="Arial" w:cs="Arial" w:eastAsia="Arial" w:hAnsi="Arial"/>
          <w:sz w:val="18"/>
          <w:szCs w:val="18"/>
          <w:color w:val="auto"/>
        </w:rPr>
      </w:pPr>
    </w:p>
    <w:p>
      <w:pPr>
        <w:jc w:val="both"/>
        <w:ind w:firstLine="1304"/>
        <w:spacing w:after="0" w:line="278" w:lineRule="auto"/>
        <w:tabs>
          <w:tab w:leader="none" w:pos="1802" w:val="left"/>
        </w:tabs>
        <w:numPr>
          <w:ilvl w:val="2"/>
          <w:numId w:val="595"/>
        </w:numPr>
        <w:rPr>
          <w:rFonts w:ascii="Arial" w:cs="Arial" w:eastAsia="Arial" w:hAnsi="Arial"/>
          <w:sz w:val="18"/>
          <w:szCs w:val="18"/>
          <w:color w:val="auto"/>
        </w:rPr>
      </w:pPr>
      <w:r>
        <w:rPr>
          <w:rFonts w:ascii="Arial" w:cs="Arial" w:eastAsia="Arial" w:hAnsi="Arial"/>
          <w:sz w:val="18"/>
          <w:szCs w:val="18"/>
          <w:color w:val="auto"/>
        </w:rPr>
        <w:t>Any taxable payments under the foregoing subsection (ii) will not be paid before the first business day occurring after the sixtieth day following the Separation and, once they commence, will include any unpaid amounts accrued from the date of Participant’s Separation (to the extent not otherwise satisfied with continuation coverage). If the sixty-day period described in the preceding sentence and the ten-day period described in the definition of “Good Reason” below, together span two calendar years, then the payments that constitute deferred compensation subject to Section 409A will be paid in any case in the second calendar year.</w:t>
      </w:r>
    </w:p>
    <w:p>
      <w:pPr>
        <w:spacing w:after="0" w:line="158" w:lineRule="exact"/>
        <w:rPr>
          <w:rFonts w:ascii="Arial" w:cs="Arial" w:eastAsia="Arial" w:hAnsi="Arial"/>
          <w:sz w:val="18"/>
          <w:szCs w:val="18"/>
          <w:color w:val="auto"/>
        </w:rPr>
      </w:pPr>
    </w:p>
    <w:p>
      <w:pPr>
        <w:jc w:val="both"/>
        <w:ind w:firstLine="656"/>
        <w:spacing w:after="0" w:line="285" w:lineRule="auto"/>
        <w:tabs>
          <w:tab w:leader="none" w:pos="1133" w:val="left"/>
        </w:tabs>
        <w:numPr>
          <w:ilvl w:val="1"/>
          <w:numId w:val="596"/>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r>
        <w:rPr>
          <w:rFonts w:ascii="Arial" w:cs="Arial" w:eastAsia="Arial" w:hAnsi="Arial"/>
          <w:sz w:val="18"/>
          <w:szCs w:val="18"/>
          <w:color w:val="auto"/>
        </w:rPr>
        <w:t>. Subject to Section 4 below, Participant’s then-unvested Equity Awards will remain outstanding for a period of three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months following a Qualifying Termination and shall be subject to Section 3 below should a Change of Control occur within three (3) months following such Separation;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Equity Awards shall in any event expire on the expiration date set forth in each applicable agreement evidencing an Equity Award and shall remain subject to the terms and conditions set forth in the Plan.</w:t>
      </w:r>
    </w:p>
    <w:p>
      <w:pPr>
        <w:spacing w:after="0" w:line="150" w:lineRule="exact"/>
        <w:rPr>
          <w:rFonts w:ascii="Arial" w:cs="Arial" w:eastAsia="Arial" w:hAnsi="Arial"/>
          <w:sz w:val="18"/>
          <w:szCs w:val="18"/>
          <w:b w:val="1"/>
          <w:bCs w:val="1"/>
          <w:color w:val="auto"/>
        </w:rPr>
      </w:pPr>
    </w:p>
    <w:p>
      <w:pPr>
        <w:ind w:right="80" w:firstLine="8"/>
        <w:spacing w:after="0" w:line="267" w:lineRule="auto"/>
        <w:tabs>
          <w:tab w:leader="none" w:pos="648" w:val="left"/>
        </w:tabs>
        <w:numPr>
          <w:ilvl w:val="0"/>
          <w:numId w:val="59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COC Qualifying Termination. </w:t>
      </w:r>
      <w:r>
        <w:rPr>
          <w:rFonts w:ascii="Arial" w:cs="Arial" w:eastAsia="Arial" w:hAnsi="Arial"/>
          <w:sz w:val="20"/>
          <w:szCs w:val="20"/>
          <w:color w:val="auto"/>
        </w:rPr>
        <w:t>If a Participant is subject to a COC Qualifying Termination, then subject to the terms and conditions</w:t>
      </w:r>
      <w:r>
        <w:rPr>
          <w:rFonts w:ascii="Arial" w:cs="Arial" w:eastAsia="Arial" w:hAnsi="Arial"/>
          <w:sz w:val="20"/>
          <w:szCs w:val="20"/>
          <w:b w:val="1"/>
          <w:bCs w:val="1"/>
          <w:color w:val="auto"/>
        </w:rPr>
        <w:t xml:space="preserve"> </w:t>
      </w:r>
      <w:r>
        <w:rPr>
          <w:rFonts w:ascii="Arial" w:cs="Arial" w:eastAsia="Arial" w:hAnsi="Arial"/>
          <w:sz w:val="20"/>
          <w:szCs w:val="20"/>
          <w:color w:val="auto"/>
        </w:rPr>
        <w:t>set forth in this Policy, the Participant will be entitled to the following benefits:</w:t>
      </w:r>
    </w:p>
    <w:p>
      <w:pPr>
        <w:spacing w:after="0" w:line="163" w:lineRule="exact"/>
        <w:rPr>
          <w:rFonts w:ascii="Arial" w:cs="Arial" w:eastAsia="Arial" w:hAnsi="Arial"/>
          <w:sz w:val="20"/>
          <w:szCs w:val="20"/>
          <w:b w:val="1"/>
          <w:bCs w:val="1"/>
          <w:color w:val="auto"/>
        </w:rPr>
      </w:pPr>
    </w:p>
    <w:p>
      <w:pPr>
        <w:ind w:left="1300" w:hanging="644"/>
        <w:spacing w:after="0"/>
        <w:tabs>
          <w:tab w:leader="none" w:pos="1300" w:val="left"/>
        </w:tabs>
        <w:numPr>
          <w:ilvl w:val="1"/>
          <w:numId w:val="597"/>
        </w:numPr>
        <w:rPr>
          <w:rFonts w:ascii="Arial" w:cs="Arial" w:eastAsia="Arial" w:hAnsi="Arial"/>
          <w:sz w:val="20"/>
          <w:szCs w:val="20"/>
          <w:b w:val="1"/>
          <w:bCs w:val="1"/>
          <w:color w:val="auto"/>
        </w:rPr>
      </w:pPr>
      <w:r>
        <w:rPr>
          <w:rFonts w:ascii="Arial" w:cs="Arial" w:eastAsia="Arial" w:hAnsi="Arial"/>
          <w:sz w:val="20"/>
          <w:szCs w:val="20"/>
          <w:b w:val="1"/>
          <w:bCs w:val="1"/>
          <w:color w:val="auto"/>
        </w:rPr>
        <w:t>Severance Benefits.</w:t>
      </w:r>
    </w:p>
    <w:p>
      <w:pPr>
        <w:spacing w:after="0" w:line="221" w:lineRule="exact"/>
        <w:rPr>
          <w:rFonts w:ascii="Arial" w:cs="Arial" w:eastAsia="Arial" w:hAnsi="Arial"/>
          <w:sz w:val="20"/>
          <w:szCs w:val="20"/>
          <w:b w:val="1"/>
          <w:bCs w:val="1"/>
          <w:color w:val="auto"/>
        </w:rPr>
      </w:pPr>
    </w:p>
    <w:p>
      <w:pPr>
        <w:jc w:val="both"/>
        <w:ind w:firstLine="1304"/>
        <w:spacing w:after="0" w:line="291" w:lineRule="auto"/>
        <w:tabs>
          <w:tab w:leader="none" w:pos="1694" w:val="left"/>
        </w:tabs>
        <w:numPr>
          <w:ilvl w:val="2"/>
          <w:numId w:val="597"/>
        </w:numPr>
        <w:rPr>
          <w:rFonts w:ascii="Arial" w:cs="Arial" w:eastAsia="Arial" w:hAnsi="Arial"/>
          <w:sz w:val="18"/>
          <w:szCs w:val="18"/>
          <w:color w:val="010000"/>
        </w:rPr>
      </w:pPr>
      <w:r>
        <w:rPr>
          <w:rFonts w:ascii="Arial" w:cs="Arial" w:eastAsia="Arial" w:hAnsi="Arial"/>
          <w:sz w:val="18"/>
          <w:szCs w:val="18"/>
          <w:color w:val="auto"/>
        </w:rPr>
        <w:t>The Company will pay the Participant an aggregate amount equal to the sum of (1) twelve (12) months of Participant’s base salary at the rate in effect immediately prior to the actions that resulted in the COC Qualifying Termination plus (2) an amount equal to such Participant’s annual target bonus (if applicable), calculated assuming that the annual bonus would have been earned at 100% of target.</w:t>
      </w:r>
    </w:p>
    <w:p>
      <w:pPr>
        <w:spacing w:after="0" w:line="151" w:lineRule="exact"/>
        <w:rPr>
          <w:rFonts w:ascii="Arial" w:cs="Arial" w:eastAsia="Arial" w:hAnsi="Arial"/>
          <w:sz w:val="18"/>
          <w:szCs w:val="18"/>
          <w:color w:val="010000"/>
        </w:rPr>
      </w:pPr>
    </w:p>
    <w:p>
      <w:pPr>
        <w:jc w:val="both"/>
        <w:ind w:firstLine="1304"/>
        <w:spacing w:after="0" w:line="250" w:lineRule="auto"/>
        <w:tabs>
          <w:tab w:leader="none" w:pos="1911" w:val="left"/>
        </w:tabs>
        <w:numPr>
          <w:ilvl w:val="2"/>
          <w:numId w:val="597"/>
        </w:numPr>
        <w:rPr>
          <w:rFonts w:ascii="Arial" w:cs="Arial" w:eastAsia="Arial" w:hAnsi="Arial"/>
          <w:sz w:val="20"/>
          <w:szCs w:val="20"/>
          <w:color w:val="010000"/>
        </w:rPr>
      </w:pPr>
      <w:r>
        <w:rPr>
          <w:rFonts w:ascii="Arial" w:cs="Arial" w:eastAsia="Arial" w:hAnsi="Arial"/>
          <w:sz w:val="20"/>
          <w:szCs w:val="20"/>
          <w:color w:val="auto"/>
        </w:rPr>
        <w:t>The Participant will receive Participant’s cash severance payment in a cash lump sum in accordance with the Company’s standard payroll procedures, which payment will be made no later than the first regular payroll date occurring after the sixtieth day following the Separation, provided that the Release Conditions have been satisfied.</w:t>
      </w:r>
    </w:p>
    <w:p>
      <w:pPr>
        <w:sectPr>
          <w:pgSz w:w="11900" w:h="16838" w:orient="portrait"/>
          <w:cols w:equalWidth="0" w:num="1">
            <w:col w:w="11240"/>
          </w:cols>
          <w:pgMar w:left="320" w:top="1419" w:right="339" w:bottom="1440" w:gutter="0" w:footer="0" w:header="0"/>
        </w:sectPr>
      </w:pPr>
    </w:p>
    <w:bookmarkStart w:id="628" w:name="page629"/>
    <w:bookmarkEnd w:id="628"/>
    <w:p>
      <w:pPr>
        <w:ind w:left="1292" w:hanging="644"/>
        <w:spacing w:after="0"/>
        <w:tabs>
          <w:tab w:leader="none" w:pos="1292" w:val="left"/>
        </w:tabs>
        <w:numPr>
          <w:ilvl w:val="1"/>
          <w:numId w:val="598"/>
        </w:numPr>
        <w:rPr>
          <w:rFonts w:ascii="Arial" w:cs="Arial" w:eastAsia="Arial" w:hAnsi="Arial"/>
          <w:sz w:val="20"/>
          <w:szCs w:val="20"/>
          <w:b w:val="1"/>
          <w:bCs w:val="1"/>
          <w:color w:val="auto"/>
        </w:rPr>
      </w:pPr>
      <w:r>
        <w:rPr>
          <w:rFonts w:ascii="Arial" w:cs="Arial" w:eastAsia="Arial" w:hAnsi="Arial"/>
          <w:sz w:val="20"/>
          <w:szCs w:val="20"/>
          <w:b w:val="1"/>
          <w:bCs w:val="1"/>
          <w:color w:val="auto"/>
        </w:rPr>
        <w:t>Continued Employee Benefits.</w:t>
      </w:r>
    </w:p>
    <w:p>
      <w:pPr>
        <w:spacing w:after="0" w:line="221" w:lineRule="exact"/>
        <w:rPr>
          <w:rFonts w:ascii="Arial" w:cs="Arial" w:eastAsia="Arial" w:hAnsi="Arial"/>
          <w:sz w:val="20"/>
          <w:szCs w:val="20"/>
          <w:b w:val="1"/>
          <w:bCs w:val="1"/>
          <w:color w:val="auto"/>
        </w:rPr>
      </w:pPr>
    </w:p>
    <w:p>
      <w:pPr>
        <w:jc w:val="both"/>
        <w:ind w:left="-8" w:firstLine="1304"/>
        <w:spacing w:after="0" w:line="257" w:lineRule="auto"/>
        <w:tabs>
          <w:tab w:leader="none" w:pos="1700" w:val="left"/>
        </w:tabs>
        <w:numPr>
          <w:ilvl w:val="2"/>
          <w:numId w:val="598"/>
        </w:numPr>
        <w:rPr>
          <w:rFonts w:ascii="Arial" w:cs="Arial" w:eastAsia="Arial" w:hAnsi="Arial"/>
          <w:sz w:val="19"/>
          <w:szCs w:val="19"/>
          <w:color w:val="010000"/>
        </w:rPr>
      </w:pPr>
      <w:r>
        <w:rPr>
          <w:rFonts w:ascii="Arial" w:cs="Arial" w:eastAsia="Arial" w:hAnsi="Arial"/>
          <w:sz w:val="19"/>
          <w:szCs w:val="19"/>
          <w:color w:val="auto"/>
        </w:rPr>
        <w:t>If Participant timely elects continued coverage under COBRA, the Company will continue to pay the employer portion of Participant’s COBRA premiums on behalf of the Participant (and Participant’s eligible dependents) for continued coverage under the Company’s welfare benefit plans for up to twelve (12) months following the Participant’s Separation, in any case, only until Participant is eligible to be covered under substantially equivalent group insurance plans of a subsequent employer, provided, however, that if the Release Conditions are not satisfied, then the COBRA subsidies described in this subsection (i) will immediately cease as of the sixtieth day following the Separation, and any COBRA subsidies previously paid by the Company will immediately become due and repayable in full (gross of any applicable taxes) by the Participant, to the fullest extent permitted by applicable law.</w:t>
      </w:r>
    </w:p>
    <w:p>
      <w:pPr>
        <w:spacing w:after="0" w:line="184" w:lineRule="exact"/>
        <w:rPr>
          <w:rFonts w:ascii="Arial" w:cs="Arial" w:eastAsia="Arial" w:hAnsi="Arial"/>
          <w:sz w:val="19"/>
          <w:szCs w:val="19"/>
          <w:color w:val="010000"/>
        </w:rPr>
      </w:pPr>
    </w:p>
    <w:p>
      <w:pPr>
        <w:jc w:val="both"/>
        <w:ind w:left="-8" w:firstLine="1304"/>
        <w:spacing w:after="0" w:line="272" w:lineRule="auto"/>
        <w:tabs>
          <w:tab w:leader="none" w:pos="1768" w:val="left"/>
        </w:tabs>
        <w:numPr>
          <w:ilvl w:val="2"/>
          <w:numId w:val="598"/>
        </w:numPr>
        <w:rPr>
          <w:rFonts w:ascii="Arial" w:cs="Arial" w:eastAsia="Arial" w:hAnsi="Arial"/>
          <w:sz w:val="18"/>
          <w:szCs w:val="18"/>
          <w:color w:val="010000"/>
        </w:rPr>
      </w:pPr>
      <w:r>
        <w:rPr>
          <w:rFonts w:ascii="Arial" w:cs="Arial" w:eastAsia="Arial" w:hAnsi="Arial"/>
          <w:sz w:val="18"/>
          <w:szCs w:val="18"/>
          <w:color w:val="auto"/>
        </w:rPr>
        <w:t>Notwithstanding the foregoing, if the Company, in its sole discretion, determines that it cannot provide the foregoing subsidy of COBRA coverage without potentially violating, or causing the Company to incur additional expense as a result of noncompliance with, applicable law (including, without limitation, Section 2716 of the Public Health Service Act), then the Company instead will provide Participant a taxable monthly payment in an amount equal to the employer portion of the monthly COBRA premium for the Participant (and Participant’s eligible dependents) to continue the coverage in effect on the date of the Separation, which amounts will: (A) be based on the premium for the first month of COBRA coverage, (B) not be grossed up to account for taxes and/or withholding on such amounts, (C) be paid regardless of whether Participant elects COBRA continuation coverage, (D) commence on the later of (1) the first day of the month following the month in which Participant experiences a Separation and (2) the effective date of the Company’s determination of violation of applicable law and (E) end on the effective date on which Participant becomes covered by a group insurance plan of a subsequent employer.</w:t>
      </w:r>
    </w:p>
    <w:p>
      <w:pPr>
        <w:spacing w:after="0" w:line="170" w:lineRule="exact"/>
        <w:rPr>
          <w:rFonts w:ascii="Arial" w:cs="Arial" w:eastAsia="Arial" w:hAnsi="Arial"/>
          <w:sz w:val="18"/>
          <w:szCs w:val="18"/>
          <w:color w:val="010000"/>
        </w:rPr>
      </w:pPr>
    </w:p>
    <w:p>
      <w:pPr>
        <w:jc w:val="both"/>
        <w:ind w:left="-8" w:firstLine="1304"/>
        <w:spacing w:after="0" w:line="278" w:lineRule="auto"/>
        <w:tabs>
          <w:tab w:leader="none" w:pos="1796" w:val="left"/>
        </w:tabs>
        <w:numPr>
          <w:ilvl w:val="2"/>
          <w:numId w:val="598"/>
        </w:numPr>
        <w:rPr>
          <w:rFonts w:ascii="Arial" w:cs="Arial" w:eastAsia="Arial" w:hAnsi="Arial"/>
          <w:sz w:val="18"/>
          <w:szCs w:val="18"/>
          <w:color w:val="010000"/>
        </w:rPr>
      </w:pPr>
      <w:r>
        <w:rPr>
          <w:rFonts w:ascii="Arial" w:cs="Arial" w:eastAsia="Arial" w:hAnsi="Arial"/>
          <w:sz w:val="18"/>
          <w:szCs w:val="18"/>
          <w:color w:val="auto"/>
        </w:rPr>
        <w:t>Any taxable payments under the foregoing subsection (ii) will not be paid before the first business day occurring after the sixtieth day following the Separation and, once they commence, will include any unpaid amounts accrued from the date of Participant’s Separation (to the extent not otherwise satisfied with continuation coverage). If the sixty-day period described in the preceding sentence and the ten-day period described in the definition of “Good Reason” below, together, span two calendar years, then the payments that constitute deferred compensation subject to Section 409A will be paid in any case in the second calendar year.</w:t>
      </w:r>
    </w:p>
    <w:p>
      <w:pPr>
        <w:spacing w:after="0" w:line="158" w:lineRule="exact"/>
        <w:rPr>
          <w:rFonts w:ascii="Arial" w:cs="Arial" w:eastAsia="Arial" w:hAnsi="Arial"/>
          <w:sz w:val="18"/>
          <w:szCs w:val="18"/>
          <w:color w:val="010000"/>
        </w:rPr>
      </w:pPr>
    </w:p>
    <w:p>
      <w:pPr>
        <w:jc w:val="both"/>
        <w:ind w:left="-8" w:firstLine="656"/>
        <w:spacing w:after="0" w:line="253" w:lineRule="auto"/>
        <w:tabs>
          <w:tab w:leader="none" w:pos="1278" w:val="left"/>
        </w:tabs>
        <w:numPr>
          <w:ilvl w:val="1"/>
          <w:numId w:val="59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Equity. </w:t>
      </w:r>
      <w:r>
        <w:rPr>
          <w:rFonts w:ascii="Arial" w:cs="Arial" w:eastAsia="Arial" w:hAnsi="Arial"/>
          <w:sz w:val="20"/>
          <w:szCs w:val="20"/>
          <w:color w:val="auto"/>
        </w:rPr>
        <w:t>Each of Participant’s then-outstanding Equity Awards, excluding awards that would otherwise vest only upon</w:t>
      </w:r>
      <w:r>
        <w:rPr>
          <w:rFonts w:ascii="Arial" w:cs="Arial" w:eastAsia="Arial" w:hAnsi="Arial"/>
          <w:sz w:val="20"/>
          <w:szCs w:val="20"/>
          <w:b w:val="1"/>
          <w:bCs w:val="1"/>
          <w:color w:val="auto"/>
        </w:rPr>
        <w:t xml:space="preserve"> </w:t>
      </w:r>
      <w:r>
        <w:rPr>
          <w:rFonts w:ascii="Arial" w:cs="Arial" w:eastAsia="Arial" w:hAnsi="Arial"/>
          <w:sz w:val="20"/>
          <w:szCs w:val="20"/>
          <w:color w:val="auto"/>
        </w:rPr>
        <w:t>satisfaction of performance criteria, will accelerate and become vested and exercisable as if such Participant had completed an additional 12 months of continuous service following the date of such Separation.</w:t>
      </w:r>
    </w:p>
    <w:p>
      <w:pPr>
        <w:spacing w:after="0" w:line="177" w:lineRule="exact"/>
        <w:rPr>
          <w:rFonts w:ascii="Arial" w:cs="Arial" w:eastAsia="Arial" w:hAnsi="Arial"/>
          <w:sz w:val="20"/>
          <w:szCs w:val="20"/>
          <w:b w:val="1"/>
          <w:bCs w:val="1"/>
          <w:color w:val="auto"/>
        </w:rPr>
      </w:pPr>
    </w:p>
    <w:p>
      <w:pPr>
        <w:ind w:left="-8" w:right="80" w:firstLine="8"/>
        <w:spacing w:after="0" w:line="258" w:lineRule="auto"/>
        <w:tabs>
          <w:tab w:leader="none" w:pos="640" w:val="left"/>
        </w:tabs>
        <w:numPr>
          <w:ilvl w:val="0"/>
          <w:numId w:val="59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Release Conditions. </w:t>
      </w:r>
      <w:r>
        <w:rPr>
          <w:rFonts w:ascii="Arial" w:cs="Arial" w:eastAsia="Arial" w:hAnsi="Arial"/>
          <w:sz w:val="19"/>
          <w:szCs w:val="19"/>
          <w:color w:val="auto"/>
        </w:rPr>
        <w:t>The benefits under Section 2 and Section 3 will not apply unless the Participant (i) has executed a general</w:t>
      </w:r>
      <w:r>
        <w:rPr>
          <w:rFonts w:ascii="Arial" w:cs="Arial" w:eastAsia="Arial" w:hAnsi="Arial"/>
          <w:sz w:val="19"/>
          <w:szCs w:val="19"/>
          <w:b w:val="1"/>
          <w:bCs w:val="1"/>
          <w:color w:val="auto"/>
        </w:rPr>
        <w:t xml:space="preserve"> </w:t>
      </w:r>
      <w:r>
        <w:rPr>
          <w:rFonts w:ascii="Arial" w:cs="Arial" w:eastAsia="Arial" w:hAnsi="Arial"/>
          <w:sz w:val="19"/>
          <w:szCs w:val="19"/>
          <w:color w:val="auto"/>
        </w:rPr>
        <w:t>release (in a form prescribed by the Company) of all known and unknown claims that Participant may then have against the Company and/or persons affiliated with the Company and such release has become effective and (ii) has agreed not to prosecute any legal action or other proceeding based upon any of such claims. The release must be in the form prescribed by the Company (to include, in the Company’s sole discretion, such standard clauses as confidentiality, cooperation and non-disparagement) without alterations (this document effecting the foregoing, the “</w:t>
      </w:r>
      <w:r>
        <w:rPr>
          <w:rFonts w:ascii="Arial" w:cs="Arial" w:eastAsia="Arial" w:hAnsi="Arial"/>
          <w:sz w:val="19"/>
          <w:szCs w:val="19"/>
          <w:b w:val="1"/>
          <w:bCs w:val="1"/>
          <w:i w:val="1"/>
          <w:iCs w:val="1"/>
          <w:color w:val="auto"/>
        </w:rPr>
        <w:t>Release</w:t>
      </w:r>
      <w:r>
        <w:rPr>
          <w:rFonts w:ascii="Arial" w:cs="Arial" w:eastAsia="Arial" w:hAnsi="Arial"/>
          <w:sz w:val="19"/>
          <w:szCs w:val="19"/>
          <w:color w:val="auto"/>
        </w:rPr>
        <w:t>”). The Participant must execute and return the Release within the time period specified in the form and, in any case, within fifty (50) days following Participant’s Separation. “</w:t>
      </w:r>
      <w:r>
        <w:rPr>
          <w:rFonts w:ascii="Arial" w:cs="Arial" w:eastAsia="Arial" w:hAnsi="Arial"/>
          <w:sz w:val="19"/>
          <w:szCs w:val="19"/>
          <w:b w:val="1"/>
          <w:bCs w:val="1"/>
          <w:i w:val="1"/>
          <w:iCs w:val="1"/>
          <w:color w:val="auto"/>
        </w:rPr>
        <w:t>Release Conditions</w:t>
      </w:r>
      <w:r>
        <w:rPr>
          <w:rFonts w:ascii="Arial" w:cs="Arial" w:eastAsia="Arial" w:hAnsi="Arial"/>
          <w:sz w:val="19"/>
          <w:szCs w:val="19"/>
          <w:color w:val="auto"/>
        </w:rPr>
        <w:t>” means: (i) Company has timely received the Participant’s executed Release, (ii) any rescission period</w:t>
      </w:r>
    </w:p>
    <w:p>
      <w:pPr>
        <w:sectPr>
          <w:pgSz w:w="11900" w:h="16838" w:orient="portrait"/>
          <w:cols w:equalWidth="0" w:num="1">
            <w:col w:w="11232"/>
          </w:cols>
          <w:pgMar w:left="328" w:top="1414" w:right="339" w:bottom="1440" w:gutter="0" w:footer="0" w:header="0"/>
        </w:sectPr>
      </w:pPr>
    </w:p>
    <w:bookmarkStart w:id="629" w:name="page630"/>
    <w:bookmarkEnd w:id="629"/>
    <w:p>
      <w:pPr>
        <w:spacing w:after="0" w:line="273" w:lineRule="auto"/>
        <w:rPr>
          <w:sz w:val="20"/>
          <w:szCs w:val="20"/>
          <w:color w:val="auto"/>
        </w:rPr>
      </w:pPr>
      <w:r>
        <w:rPr>
          <w:rFonts w:ascii="Arial" w:cs="Arial" w:eastAsia="Arial" w:hAnsi="Arial"/>
          <w:sz w:val="18"/>
          <w:szCs w:val="18"/>
          <w:color w:val="auto"/>
        </w:rPr>
        <w:t>applicable to the Participant’s executed Release has expired (without Participant having rescinded the executed Release) and (iii) the Participant has returned all Company Property. For this purpose, “Company Property” means all Company documents (and all copies thereof) and other Company property which the Participant had in Participant’s possession at any time, including, but not limited to, Company files, notes, drawings, records, plans, forecasts, reports, studies, analyses, proposals, agreements, financial information, research and development information, sales and marketing information, operational and personnel information, specifications, code, software, databases, computer-recorded information, tangible property and equipment (including, but not limited to, computers, facsimile machines, mobile telephones, servers), credit cards, entry cards, identification badges and keys; and any materials of any kind which contain or embody any proprietary or confidential information of the Company (and all reproductions thereof in whole or in part).</w:t>
      </w:r>
    </w:p>
    <w:p>
      <w:pPr>
        <w:spacing w:after="0" w:line="162" w:lineRule="exact"/>
        <w:rPr>
          <w:sz w:val="20"/>
          <w:szCs w:val="20"/>
          <w:color w:val="auto"/>
        </w:rPr>
      </w:pPr>
    </w:p>
    <w:p>
      <w:pPr>
        <w:ind w:right="60" w:firstLine="8"/>
        <w:spacing w:after="0" w:line="243" w:lineRule="auto"/>
        <w:tabs>
          <w:tab w:leader="none" w:pos="648" w:val="left"/>
        </w:tabs>
        <w:numPr>
          <w:ilvl w:val="0"/>
          <w:numId w:val="60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Accrued Compensation and Benefits. </w:t>
      </w:r>
      <w:r>
        <w:rPr>
          <w:rFonts w:ascii="Arial" w:cs="Arial" w:eastAsia="Arial" w:hAnsi="Arial"/>
          <w:sz w:val="20"/>
          <w:szCs w:val="20"/>
          <w:color w:val="auto"/>
        </w:rPr>
        <w:t>In connection with any termination of employment, whether a Qualifying Termination, COC</w:t>
      </w:r>
      <w:r>
        <w:rPr>
          <w:rFonts w:ascii="Arial" w:cs="Arial" w:eastAsia="Arial" w:hAnsi="Arial"/>
          <w:sz w:val="20"/>
          <w:szCs w:val="20"/>
          <w:b w:val="1"/>
          <w:bCs w:val="1"/>
          <w:color w:val="auto"/>
        </w:rPr>
        <w:t xml:space="preserve"> </w:t>
      </w:r>
      <w:r>
        <w:rPr>
          <w:rFonts w:ascii="Arial" w:cs="Arial" w:eastAsia="Arial" w:hAnsi="Arial"/>
          <w:sz w:val="20"/>
          <w:szCs w:val="20"/>
          <w:color w:val="auto"/>
        </w:rPr>
        <w:t>Qualifying Termination or otherwise, the Company will pay Participant’s earned but unpaid base salary and other vested but unpaid cash entitlements for the period through and including the termination of employment, including unreimbursed documented business expenses incurred by Participant through and including the date of termination (all the foregoing, collectively, “</w:t>
      </w:r>
      <w:r>
        <w:rPr>
          <w:rFonts w:ascii="Arial" w:cs="Arial" w:eastAsia="Arial" w:hAnsi="Arial"/>
          <w:sz w:val="20"/>
          <w:szCs w:val="20"/>
          <w:b w:val="1"/>
          <w:bCs w:val="1"/>
          <w:i w:val="1"/>
          <w:iCs w:val="1"/>
          <w:color w:val="auto"/>
        </w:rPr>
        <w:t>Accrued Compensation and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Expenses</w:t>
      </w:r>
      <w:r>
        <w:rPr>
          <w:rFonts w:ascii="Arial" w:cs="Arial" w:eastAsia="Arial" w:hAnsi="Arial"/>
          <w:sz w:val="20"/>
          <w:szCs w:val="20"/>
          <w:color w:val="auto"/>
        </w:rPr>
        <w:t>”), as required by law and the applicable Company plan or policy. Participant will also be entitled to any other vested benefits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earned by Participant for the period through and including the termination date of Participant’s employment under any other employee benefit plans and arrangements maintained by the Company, in accordance with the terms of such plans and arrangements, except as modified herein.</w:t>
      </w:r>
    </w:p>
    <w:p>
      <w:pPr>
        <w:spacing w:after="0" w:line="189" w:lineRule="exact"/>
        <w:rPr>
          <w:rFonts w:ascii="Arial" w:cs="Arial" w:eastAsia="Arial" w:hAnsi="Arial"/>
          <w:sz w:val="20"/>
          <w:szCs w:val="20"/>
          <w:b w:val="1"/>
          <w:bCs w:val="1"/>
          <w:color w:val="auto"/>
        </w:rPr>
      </w:pPr>
    </w:p>
    <w:p>
      <w:pPr>
        <w:ind w:left="660" w:hanging="652"/>
        <w:spacing w:after="0"/>
        <w:tabs>
          <w:tab w:leader="none" w:pos="660" w:val="left"/>
        </w:tabs>
        <w:numPr>
          <w:ilvl w:val="0"/>
          <w:numId w:val="600"/>
        </w:numPr>
        <w:rPr>
          <w:rFonts w:ascii="Arial" w:cs="Arial" w:eastAsia="Arial" w:hAnsi="Arial"/>
          <w:sz w:val="20"/>
          <w:szCs w:val="20"/>
          <w:b w:val="1"/>
          <w:bCs w:val="1"/>
          <w:color w:val="auto"/>
        </w:rPr>
      </w:pPr>
      <w:r>
        <w:rPr>
          <w:rFonts w:ascii="Arial" w:cs="Arial" w:eastAsia="Arial" w:hAnsi="Arial"/>
          <w:sz w:val="20"/>
          <w:szCs w:val="20"/>
          <w:b w:val="1"/>
          <w:bCs w:val="1"/>
          <w:color w:val="auto"/>
        </w:rPr>
        <w:t>Certain Definitions.</w:t>
      </w:r>
    </w:p>
    <w:p>
      <w:pPr>
        <w:spacing w:after="0" w:line="221" w:lineRule="exact"/>
        <w:rPr>
          <w:rFonts w:ascii="Arial" w:cs="Arial" w:eastAsia="Arial" w:hAnsi="Arial"/>
          <w:sz w:val="20"/>
          <w:szCs w:val="20"/>
          <w:b w:val="1"/>
          <w:bCs w:val="1"/>
          <w:color w:val="auto"/>
        </w:rPr>
      </w:pPr>
    </w:p>
    <w:p>
      <w:pPr>
        <w:jc w:val="both"/>
        <w:ind w:firstLine="656"/>
        <w:spacing w:after="0" w:line="244" w:lineRule="auto"/>
        <w:tabs>
          <w:tab w:leader="none" w:pos="1284" w:val="left"/>
        </w:tabs>
        <w:numPr>
          <w:ilvl w:val="1"/>
          <w:numId w:val="600"/>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Cause</w:t>
      </w:r>
      <w:r>
        <w:rPr>
          <w:rFonts w:ascii="Arial" w:cs="Arial" w:eastAsia="Arial" w:hAnsi="Arial"/>
          <w:sz w:val="20"/>
          <w:szCs w:val="20"/>
          <w:color w:val="auto"/>
        </w:rPr>
        <w:t>” means, with respect to a Participant, any of the following: (1) conviction of any felony or any crime involving moral turpitude or dishonesty, (2) participation in a material fraud or material act of dishonesty against the Company, (3) willful and material breach of Participant’s duties that has not been cured within thirty (30) days after written notice from the Company of such breach, (4) intentional and material damage to the Company’s property, or (5) material breach of Participant’s Confidential Information and Inventions Assignment Agreement.</w:t>
      </w:r>
    </w:p>
    <w:p>
      <w:pPr>
        <w:spacing w:after="0" w:line="194" w:lineRule="exact"/>
        <w:rPr>
          <w:rFonts w:ascii="Arial" w:cs="Arial" w:eastAsia="Arial" w:hAnsi="Arial"/>
          <w:sz w:val="20"/>
          <w:szCs w:val="20"/>
          <w:b w:val="1"/>
          <w:bCs w:val="1"/>
          <w:color w:val="auto"/>
        </w:rPr>
      </w:pPr>
    </w:p>
    <w:p>
      <w:pPr>
        <w:ind w:left="1300" w:hanging="644"/>
        <w:spacing w:after="0"/>
        <w:tabs>
          <w:tab w:leader="none" w:pos="1300" w:val="left"/>
        </w:tabs>
        <w:numPr>
          <w:ilvl w:val="1"/>
          <w:numId w:val="600"/>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Code</w:t>
      </w:r>
      <w:r>
        <w:rPr>
          <w:rFonts w:ascii="Arial" w:cs="Arial" w:eastAsia="Arial" w:hAnsi="Arial"/>
          <w:sz w:val="20"/>
          <w:szCs w:val="20"/>
          <w:color w:val="auto"/>
        </w:rPr>
        <w:t>” means the U.S. Internal Revenue Code of 1986, as amended.</w:t>
      </w:r>
    </w:p>
    <w:p>
      <w:pPr>
        <w:spacing w:after="0" w:line="215" w:lineRule="exact"/>
        <w:rPr>
          <w:rFonts w:ascii="Arial" w:cs="Arial" w:eastAsia="Arial" w:hAnsi="Arial"/>
          <w:sz w:val="20"/>
          <w:szCs w:val="20"/>
          <w:b w:val="1"/>
          <w:bCs w:val="1"/>
          <w:color w:val="auto"/>
        </w:rPr>
      </w:pPr>
    </w:p>
    <w:p>
      <w:pPr>
        <w:jc w:val="both"/>
        <w:ind w:firstLine="656"/>
        <w:spacing w:after="0" w:line="250" w:lineRule="auto"/>
        <w:tabs>
          <w:tab w:leader="none" w:pos="1286" w:val="left"/>
        </w:tabs>
        <w:numPr>
          <w:ilvl w:val="1"/>
          <w:numId w:val="600"/>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“Change of Control</w:t>
      </w:r>
      <w:r>
        <w:rPr>
          <w:rFonts w:ascii="Arial" w:cs="Arial" w:eastAsia="Arial" w:hAnsi="Arial"/>
          <w:sz w:val="20"/>
          <w:szCs w:val="20"/>
          <w:color w:val="auto"/>
        </w:rPr>
        <w:t>” has the meaning assigned to such term under the Plan, excluding Clause (iv) of such definition,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provided that the transaction or series of transactions also qualifies as a “change in control event” under U.S. Treasury Regulation 1.409A-3(i)(5).</w:t>
      </w:r>
    </w:p>
    <w:p>
      <w:pPr>
        <w:spacing w:after="0" w:line="185" w:lineRule="exact"/>
        <w:rPr>
          <w:rFonts w:ascii="Arial" w:cs="Arial" w:eastAsia="Arial" w:hAnsi="Arial"/>
          <w:sz w:val="20"/>
          <w:szCs w:val="20"/>
          <w:b w:val="1"/>
          <w:bCs w:val="1"/>
          <w:color w:val="auto"/>
        </w:rPr>
      </w:pPr>
    </w:p>
    <w:p>
      <w:pPr>
        <w:jc w:val="both"/>
        <w:ind w:firstLine="656"/>
        <w:spacing w:after="0" w:line="244" w:lineRule="auto"/>
        <w:tabs>
          <w:tab w:leader="none" w:pos="1295" w:val="left"/>
        </w:tabs>
        <w:numPr>
          <w:ilvl w:val="1"/>
          <w:numId w:val="600"/>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COC Qualifying Termination</w:t>
      </w:r>
      <w:r>
        <w:rPr>
          <w:rFonts w:ascii="Arial" w:cs="Arial" w:eastAsia="Arial" w:hAnsi="Arial"/>
          <w:sz w:val="20"/>
          <w:szCs w:val="20"/>
          <w:color w:val="auto"/>
        </w:rPr>
        <w:t xml:space="preserve">” means, with respect to a Participant, Participant’s Separation (i) occurring within three (3) months before or twelve (12) months after a Change of Control and (ii) resulting from (A) the Company or its successor terminating the Participant’s employment for any reason other than Cause or (B) the Participant voluntarily resigning Participant’s employment for Good Reason, provided, in any case, that a termination or resignation due to the Participant’s death or disability will </w:t>
      </w:r>
      <w:r>
        <w:rPr>
          <w:rFonts w:ascii="Arial" w:cs="Arial" w:eastAsia="Arial" w:hAnsi="Arial"/>
          <w:sz w:val="20"/>
          <w:szCs w:val="20"/>
          <w:u w:val="single" w:color="auto"/>
          <w:color w:val="auto"/>
        </w:rPr>
        <w:t>not</w:t>
      </w:r>
      <w:r>
        <w:rPr>
          <w:rFonts w:ascii="Arial" w:cs="Arial" w:eastAsia="Arial" w:hAnsi="Arial"/>
          <w:sz w:val="20"/>
          <w:szCs w:val="20"/>
          <w:color w:val="auto"/>
        </w:rPr>
        <w:t xml:space="preserve"> constitute a COC Qualifying Termination.</w:t>
      </w:r>
    </w:p>
    <w:p>
      <w:pPr>
        <w:spacing w:after="0" w:line="194" w:lineRule="exact"/>
        <w:rPr>
          <w:rFonts w:ascii="Arial" w:cs="Arial" w:eastAsia="Arial" w:hAnsi="Arial"/>
          <w:sz w:val="20"/>
          <w:szCs w:val="20"/>
          <w:b w:val="1"/>
          <w:bCs w:val="1"/>
          <w:color w:val="auto"/>
        </w:rPr>
      </w:pPr>
    </w:p>
    <w:p>
      <w:pPr>
        <w:ind w:firstLine="656"/>
        <w:spacing w:after="0" w:line="316" w:lineRule="auto"/>
        <w:tabs>
          <w:tab w:leader="none" w:pos="1286" w:val="left"/>
        </w:tabs>
        <w:numPr>
          <w:ilvl w:val="1"/>
          <w:numId w:val="60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Equity Awards</w:t>
      </w:r>
      <w:r>
        <w:rPr>
          <w:rFonts w:ascii="Arial" w:cs="Arial" w:eastAsia="Arial" w:hAnsi="Arial"/>
          <w:sz w:val="18"/>
          <w:szCs w:val="18"/>
          <w:color w:val="auto"/>
        </w:rPr>
        <w:t>” means all Participants’ options to purchase shares of Company common stock, as well as all other stock-based awards, including, but not limited to, stock bonus awards, restricted stock, restricted stock units and stock appreciation rights.</w:t>
      </w:r>
    </w:p>
    <w:p>
      <w:pPr>
        <w:sectPr>
          <w:pgSz w:w="11900" w:h="16838" w:orient="portrait"/>
          <w:cols w:equalWidth="0" w:num="1">
            <w:col w:w="11240"/>
          </w:cols>
          <w:pgMar w:left="320" w:top="1419" w:right="339" w:bottom="1440" w:gutter="0" w:footer="0" w:header="0"/>
        </w:sectPr>
      </w:pPr>
    </w:p>
    <w:bookmarkStart w:id="630" w:name="page631"/>
    <w:bookmarkEnd w:id="630"/>
    <w:p>
      <w:pPr>
        <w:jc w:val="both"/>
        <w:ind w:left="-8" w:firstLine="656"/>
        <w:spacing w:after="0" w:line="255" w:lineRule="auto"/>
        <w:tabs>
          <w:tab w:leader="none" w:pos="1283" w:val="left"/>
        </w:tabs>
        <w:numPr>
          <w:ilvl w:val="1"/>
          <w:numId w:val="601"/>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Good Reason</w:t>
      </w:r>
      <w:r>
        <w:rPr>
          <w:rFonts w:ascii="Arial" w:cs="Arial" w:eastAsia="Arial" w:hAnsi="Arial"/>
          <w:sz w:val="19"/>
          <w:szCs w:val="19"/>
          <w:color w:val="auto"/>
        </w:rPr>
        <w:t xml:space="preserve">” means, with respect to a Participant, any of the following actions taken by the Company or a successor corporation or entity without Participant’s consent: (1) reduction of base compensation by 10% or more, excluding any reduction that is either (A) replaced with a bonus plan of comparable value or (B) generally applicable to all Chief Executive Officer direct reports (provided that such exclusion under (B) shall not apply if such reduction occurs within three (3) months before or twelve (12) months after a Change of Control); (2) material reduction in Participant’s authority, duties or responsibilities; </w:t>
      </w:r>
      <w:r>
        <w:rPr>
          <w:rFonts w:ascii="Arial" w:cs="Arial" w:eastAsia="Arial" w:hAnsi="Arial"/>
          <w:sz w:val="19"/>
          <w:szCs w:val="19"/>
          <w:u w:val="single" w:color="auto"/>
          <w:color w:val="auto"/>
        </w:rPr>
        <w:t>provided, however</w:t>
      </w:r>
      <w:r>
        <w:rPr>
          <w:rFonts w:ascii="Arial" w:cs="Arial" w:eastAsia="Arial" w:hAnsi="Arial"/>
          <w:sz w:val="19"/>
          <w:szCs w:val="19"/>
          <w:color w:val="auto"/>
        </w:rPr>
        <w:t>, that a change in job position (including a change in title) shall not be deemed a “material reduction” unless Participant’s new authority, duties or responsibilities are materially reduced from the prior authority, duties or responsibilities; (3) failure or refusal of a successor to the Company to assume the Company’s obligations under this Policy in the event of a Change of Control; or (4) relocation of Participant’s principal place of employment that results in an increase in Participant’s one-way driving distance by more than fifty miles from Participant’s then-current principal residence. In order to resign for Good Reason, Participant must provide written notice of the event giving rise to Good Reason to the Company within thirty (30) days after the condition arises, allow the Company thirty (30) days to cure such condition, and if the Company fails to cure the condition within such period, resign from all positions then held with the Company effective not later than thirty (30) days after the end of the Company’s cure period.</w:t>
      </w:r>
    </w:p>
    <w:p>
      <w:pPr>
        <w:spacing w:after="0" w:line="181" w:lineRule="exact"/>
        <w:rPr>
          <w:rFonts w:ascii="Arial" w:cs="Arial" w:eastAsia="Arial" w:hAnsi="Arial"/>
          <w:sz w:val="19"/>
          <w:szCs w:val="19"/>
          <w:b w:val="1"/>
          <w:bCs w:val="1"/>
          <w:color w:val="auto"/>
        </w:rPr>
      </w:pPr>
    </w:p>
    <w:p>
      <w:pPr>
        <w:ind w:left="1292" w:hanging="644"/>
        <w:spacing w:after="0"/>
        <w:tabs>
          <w:tab w:leader="none" w:pos="1292" w:val="left"/>
        </w:tabs>
        <w:numPr>
          <w:ilvl w:val="1"/>
          <w:numId w:val="601"/>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Plan</w:t>
      </w:r>
      <w:r>
        <w:rPr>
          <w:rFonts w:ascii="Arial" w:cs="Arial" w:eastAsia="Arial" w:hAnsi="Arial"/>
          <w:sz w:val="20"/>
          <w:szCs w:val="20"/>
          <w:color w:val="auto"/>
        </w:rPr>
        <w:t>” means the Company’s 2021 Equity Incentive Plan, as may be amended from time to time.</w:t>
      </w:r>
    </w:p>
    <w:p>
      <w:pPr>
        <w:spacing w:after="0" w:line="215" w:lineRule="exact"/>
        <w:rPr>
          <w:rFonts w:ascii="Arial" w:cs="Arial" w:eastAsia="Arial" w:hAnsi="Arial"/>
          <w:sz w:val="20"/>
          <w:szCs w:val="20"/>
          <w:b w:val="1"/>
          <w:bCs w:val="1"/>
          <w:color w:val="auto"/>
        </w:rPr>
      </w:pPr>
    </w:p>
    <w:p>
      <w:pPr>
        <w:jc w:val="both"/>
        <w:ind w:left="-8" w:firstLine="656"/>
        <w:spacing w:after="0" w:line="244" w:lineRule="auto"/>
        <w:tabs>
          <w:tab w:leader="none" w:pos="1287" w:val="left"/>
        </w:tabs>
        <w:numPr>
          <w:ilvl w:val="1"/>
          <w:numId w:val="601"/>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Qualifying Termination”</w:t>
      </w:r>
      <w:r>
        <w:rPr>
          <w:rFonts w:ascii="Arial" w:cs="Arial" w:eastAsia="Arial" w:hAnsi="Arial"/>
          <w:sz w:val="20"/>
          <w:szCs w:val="20"/>
          <w:color w:val="auto"/>
        </w:rPr>
        <w:t xml:space="preserve"> means, with respect to a Participant, Participant’s Separation resulting from (i) the Company terminating the Participant’s employment for any reason other than Cause or (ii) the Participant voluntarily resigning Participant’s employment for Good Reason, in each case, occurring outside of the three (3) months prior to or twelve (12) months following a Change of Control, provided, in any case, that a termination or resignation due to the Participant’s death or disability will </w:t>
      </w:r>
      <w:r>
        <w:rPr>
          <w:rFonts w:ascii="Arial" w:cs="Arial" w:eastAsia="Arial" w:hAnsi="Arial"/>
          <w:sz w:val="20"/>
          <w:szCs w:val="20"/>
          <w:u w:val="single" w:color="auto"/>
          <w:color w:val="auto"/>
        </w:rPr>
        <w:t>not</w:t>
      </w:r>
      <w:r>
        <w:rPr>
          <w:rFonts w:ascii="Arial" w:cs="Arial" w:eastAsia="Arial" w:hAnsi="Arial"/>
          <w:sz w:val="20"/>
          <w:szCs w:val="20"/>
          <w:color w:val="auto"/>
        </w:rPr>
        <w:t xml:space="preserve"> constitute a Qualifying Termination.</w:t>
      </w:r>
    </w:p>
    <w:p>
      <w:pPr>
        <w:spacing w:after="0" w:line="194" w:lineRule="exact"/>
        <w:rPr>
          <w:rFonts w:ascii="Arial" w:cs="Arial" w:eastAsia="Arial" w:hAnsi="Arial"/>
          <w:sz w:val="20"/>
          <w:szCs w:val="20"/>
          <w:b w:val="1"/>
          <w:bCs w:val="1"/>
          <w:color w:val="auto"/>
        </w:rPr>
      </w:pPr>
    </w:p>
    <w:p>
      <w:pPr>
        <w:ind w:left="1292" w:hanging="644"/>
        <w:spacing w:after="0"/>
        <w:tabs>
          <w:tab w:leader="none" w:pos="1292" w:val="left"/>
        </w:tabs>
        <w:numPr>
          <w:ilvl w:val="1"/>
          <w:numId w:val="60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Separation</w:t>
      </w:r>
      <w:r>
        <w:rPr>
          <w:rFonts w:ascii="Arial" w:cs="Arial" w:eastAsia="Arial" w:hAnsi="Arial"/>
          <w:sz w:val="18"/>
          <w:szCs w:val="18"/>
          <w:color w:val="auto"/>
        </w:rPr>
        <w:t>” means a “separation from service” (as such term is defined in the regulations under Section 409A of the Code).</w:t>
      </w:r>
    </w:p>
    <w:p>
      <w:pPr>
        <w:spacing w:after="0" w:line="232" w:lineRule="exact"/>
        <w:rPr>
          <w:rFonts w:ascii="Arial" w:cs="Arial" w:eastAsia="Arial" w:hAnsi="Arial"/>
          <w:sz w:val="18"/>
          <w:szCs w:val="18"/>
          <w:b w:val="1"/>
          <w:bCs w:val="1"/>
          <w:color w:val="auto"/>
        </w:rPr>
      </w:pPr>
    </w:p>
    <w:p>
      <w:pPr>
        <w:ind w:left="652" w:hanging="652"/>
        <w:spacing w:after="0"/>
        <w:tabs>
          <w:tab w:leader="none" w:pos="652" w:val="left"/>
        </w:tabs>
        <w:numPr>
          <w:ilvl w:val="0"/>
          <w:numId w:val="602"/>
        </w:numPr>
        <w:rPr>
          <w:rFonts w:ascii="Arial" w:cs="Arial" w:eastAsia="Arial" w:hAnsi="Arial"/>
          <w:sz w:val="20"/>
          <w:szCs w:val="20"/>
          <w:b w:val="1"/>
          <w:bCs w:val="1"/>
          <w:color w:val="auto"/>
        </w:rPr>
      </w:pPr>
      <w:r>
        <w:rPr>
          <w:rFonts w:ascii="Arial" w:cs="Arial" w:eastAsia="Arial" w:hAnsi="Arial"/>
          <w:sz w:val="20"/>
          <w:szCs w:val="20"/>
          <w:b w:val="1"/>
          <w:bCs w:val="1"/>
          <w:color w:val="auto"/>
        </w:rPr>
        <w:t>Golden Parachute Taxes.</w:t>
      </w:r>
    </w:p>
    <w:p>
      <w:pPr>
        <w:spacing w:after="0" w:line="221" w:lineRule="exact"/>
        <w:rPr>
          <w:rFonts w:ascii="Arial" w:cs="Arial" w:eastAsia="Arial" w:hAnsi="Arial"/>
          <w:sz w:val="20"/>
          <w:szCs w:val="20"/>
          <w:b w:val="1"/>
          <w:bCs w:val="1"/>
          <w:color w:val="auto"/>
        </w:rPr>
      </w:pPr>
    </w:p>
    <w:p>
      <w:pPr>
        <w:jc w:val="both"/>
        <w:ind w:left="-8" w:firstLine="656"/>
        <w:spacing w:after="0" w:line="270" w:lineRule="auto"/>
        <w:tabs>
          <w:tab w:leader="none" w:pos="1278" w:val="left"/>
        </w:tabs>
        <w:numPr>
          <w:ilvl w:val="1"/>
          <w:numId w:val="602"/>
        </w:numPr>
        <w:rPr>
          <w:rFonts w:ascii="Arial" w:cs="Arial" w:eastAsia="Arial" w:hAnsi="Arial"/>
          <w:sz w:val="18"/>
          <w:szCs w:val="18"/>
          <w:color w:val="auto"/>
        </w:rPr>
      </w:pPr>
      <w:r>
        <w:rPr>
          <w:rFonts w:ascii="Arial" w:cs="Arial" w:eastAsia="Arial" w:hAnsi="Arial"/>
          <w:sz w:val="18"/>
          <w:szCs w:val="18"/>
          <w:color w:val="auto"/>
        </w:rPr>
        <w:t>If any payment or benefit Participant would receive from the Company or otherwise in connection with a Change of Control or other similar transaction (a “</w:t>
      </w:r>
      <w:r>
        <w:rPr>
          <w:rFonts w:ascii="Arial" w:cs="Arial" w:eastAsia="Arial" w:hAnsi="Arial"/>
          <w:sz w:val="18"/>
          <w:szCs w:val="18"/>
          <w:b w:val="1"/>
          <w:bCs w:val="1"/>
          <w:i w:val="1"/>
          <w:iCs w:val="1"/>
          <w:color w:val="auto"/>
        </w:rPr>
        <w:t>280G Payment</w:t>
      </w:r>
      <w:r>
        <w:rPr>
          <w:rFonts w:ascii="Arial" w:cs="Arial" w:eastAsia="Arial" w:hAnsi="Arial"/>
          <w:sz w:val="18"/>
          <w:szCs w:val="18"/>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8"/>
          <w:szCs w:val="18"/>
          <w:b w:val="1"/>
          <w:bCs w:val="1"/>
          <w:i w:val="1"/>
          <w:iCs w:val="1"/>
          <w:color w:val="auto"/>
        </w:rPr>
        <w:t>Excise Tax</w:t>
      </w:r>
      <w:r>
        <w:rPr>
          <w:rFonts w:ascii="Arial" w:cs="Arial" w:eastAsia="Arial" w:hAnsi="Arial"/>
          <w:sz w:val="18"/>
          <w:szCs w:val="18"/>
          <w:color w:val="auto"/>
        </w:rPr>
        <w:t>”), then any such 280G Payment (a “</w:t>
      </w:r>
      <w:r>
        <w:rPr>
          <w:rFonts w:ascii="Arial" w:cs="Arial" w:eastAsia="Arial" w:hAnsi="Arial"/>
          <w:sz w:val="18"/>
          <w:szCs w:val="18"/>
          <w:b w:val="1"/>
          <w:bCs w:val="1"/>
          <w:i w:val="1"/>
          <w:iCs w:val="1"/>
          <w:color w:val="auto"/>
        </w:rPr>
        <w:t>Payment</w:t>
      </w:r>
      <w:r>
        <w:rPr>
          <w:rFonts w:ascii="Arial" w:cs="Arial" w:eastAsia="Arial" w:hAnsi="Arial"/>
          <w:sz w:val="18"/>
          <w:szCs w:val="18"/>
          <w:color w:val="auto"/>
        </w:rPr>
        <w:t>”) shall be equal to the Reduced Amount. The “Reduced Amount”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Participant’s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Arial" w:cs="Arial" w:eastAsia="Arial" w:hAnsi="Arial"/>
          <w:sz w:val="18"/>
          <w:szCs w:val="18"/>
          <w:b w:val="1"/>
          <w:bCs w:val="1"/>
          <w:i w:val="1"/>
          <w:iCs w:val="1"/>
          <w:color w:val="auto"/>
        </w:rPr>
        <w:t>Reduction Method</w:t>
      </w:r>
      <w:r>
        <w:rPr>
          <w:rFonts w:ascii="Arial" w:cs="Arial" w:eastAsia="Arial" w:hAnsi="Arial"/>
          <w:sz w:val="18"/>
          <w:szCs w:val="18"/>
          <w:color w:val="auto"/>
        </w:rPr>
        <w:t>”) that results in the greatest economic benefit for Participant. If more than one method of reduction will result in the same economic benefit, the items so reduced will be reduced pro rata (the “</w:t>
      </w:r>
      <w:r>
        <w:rPr>
          <w:rFonts w:ascii="Arial" w:cs="Arial" w:eastAsia="Arial" w:hAnsi="Arial"/>
          <w:sz w:val="18"/>
          <w:szCs w:val="18"/>
          <w:b w:val="1"/>
          <w:bCs w:val="1"/>
          <w:i w:val="1"/>
          <w:iCs w:val="1"/>
          <w:color w:val="auto"/>
        </w:rPr>
        <w:t>Pro Rata Reduction Method</w:t>
      </w:r>
      <w:r>
        <w:rPr>
          <w:rFonts w:ascii="Arial" w:cs="Arial" w:eastAsia="Arial" w:hAnsi="Arial"/>
          <w:sz w:val="18"/>
          <w:szCs w:val="18"/>
          <w:color w:val="auto"/>
        </w:rPr>
        <w:t>”).</w:t>
      </w:r>
    </w:p>
    <w:p>
      <w:pPr>
        <w:sectPr>
          <w:pgSz w:w="11900" w:h="16838" w:orient="portrait"/>
          <w:cols w:equalWidth="0" w:num="1">
            <w:col w:w="11232"/>
          </w:cols>
          <w:pgMar w:left="328" w:top="1420" w:right="339" w:bottom="1440" w:gutter="0" w:footer="0" w:header="0"/>
        </w:sectPr>
      </w:pPr>
    </w:p>
    <w:bookmarkStart w:id="631" w:name="page632"/>
    <w:bookmarkEnd w:id="631"/>
    <w:p>
      <w:pPr>
        <w:jc w:val="both"/>
        <w:ind w:left="-8" w:firstLine="656"/>
        <w:spacing w:after="0" w:line="273" w:lineRule="auto"/>
        <w:tabs>
          <w:tab w:leader="none" w:pos="1276" w:val="left"/>
        </w:tabs>
        <w:numPr>
          <w:ilvl w:val="1"/>
          <w:numId w:val="603"/>
        </w:numPr>
        <w:rPr>
          <w:rFonts w:ascii="Arial" w:cs="Arial" w:eastAsia="Arial" w:hAnsi="Arial"/>
          <w:sz w:val="18"/>
          <w:szCs w:val="18"/>
          <w:color w:val="auto"/>
        </w:rPr>
      </w:pPr>
      <w:r>
        <w:rPr>
          <w:rFonts w:ascii="Arial" w:cs="Arial" w:eastAsia="Arial" w:hAnsi="Arial"/>
          <w:sz w:val="18"/>
          <w:szCs w:val="18"/>
          <w:color w:val="auto"/>
        </w:rPr>
        <w:t>Notwithstanding the foregoing, if the Reduction Method or the Pro Rata Reduction Method would result in any portion of the Payment being subject to taxes pursuant to Section 409A of the Code that would not otherwise be subject to taxes pursuant to Section 409A of the Code, then the Reduction Method and/or the Pro Rata Reduction Method, as the case may be, shall be modified so as to avoid the imposition of taxes pursuant to Section 409A of the Code as follows: (A) as a first priority, the modification shall preserve to the greatest extent possible, the greatest economic benefit for Participant as determined on an after-tax basis; (B) as a second priority, Payments that are contingent on future events (e.g., being terminated without cause), shall be reduced (or eliminated) before Payments that are not contingent on future events; and (C) as a third priority, Payments that are “deferred compensation” within the meaning of Section 409A of the Code shall be reduced (or eliminated) before Payments that are not deferred compensation within the meaning of Section 409A of the Code.</w:t>
      </w:r>
    </w:p>
    <w:p>
      <w:pPr>
        <w:spacing w:after="0" w:line="168" w:lineRule="exact"/>
        <w:rPr>
          <w:rFonts w:ascii="Arial" w:cs="Arial" w:eastAsia="Arial" w:hAnsi="Arial"/>
          <w:sz w:val="18"/>
          <w:szCs w:val="18"/>
          <w:color w:val="auto"/>
        </w:rPr>
      </w:pPr>
    </w:p>
    <w:p>
      <w:pPr>
        <w:jc w:val="both"/>
        <w:ind w:left="-8" w:firstLine="656"/>
        <w:spacing w:after="0" w:line="272" w:lineRule="auto"/>
        <w:tabs>
          <w:tab w:leader="none" w:pos="1278" w:val="left"/>
        </w:tabs>
        <w:numPr>
          <w:ilvl w:val="1"/>
          <w:numId w:val="603"/>
        </w:numPr>
        <w:rPr>
          <w:rFonts w:ascii="Arial" w:cs="Arial" w:eastAsia="Arial" w:hAnsi="Arial"/>
          <w:sz w:val="18"/>
          <w:szCs w:val="18"/>
          <w:color w:val="auto"/>
        </w:rPr>
      </w:pPr>
      <w:r>
        <w:rPr>
          <w:rFonts w:ascii="Arial" w:cs="Arial" w:eastAsia="Arial" w:hAnsi="Arial"/>
          <w:sz w:val="18"/>
          <w:szCs w:val="18"/>
          <w:color w:val="auto"/>
        </w:rPr>
        <w:t>Unless Participant and the Company agree on an alternative accounting firm, the accounting firm engaged by the Company for general tax compliance purposes as of the day prior to the effective date of the change of control transaction triggering the Payment shall perform the foregoing calculations. If the accounting firm so engaged by the Company is serving as accountant or auditor for the individual, entity or group effecting the change of control transaction, the Company shall appoint a nationally recognized accounting firm to make the determinations required hereunder. The Company shall bear all expenses with respect to the determinations by such accounting firm required to be made hereunder. The Company shall use commercially reasonable efforts to cause the accounting firm engaged to make the determinations hereunder to provide its calculations, together with detailed supporting documentation, to Participant and the Company within fifteen (15) calendar days after the date on which Participant’s right to a 280G Payment becomes reasonably likely to occur (if requested at that time by Participant or the Company) or such other time as requested by Participant or the Company.</w:t>
      </w:r>
    </w:p>
    <w:p>
      <w:pPr>
        <w:spacing w:after="0" w:line="170" w:lineRule="exact"/>
        <w:rPr>
          <w:rFonts w:ascii="Arial" w:cs="Arial" w:eastAsia="Arial" w:hAnsi="Arial"/>
          <w:sz w:val="18"/>
          <w:szCs w:val="18"/>
          <w:color w:val="auto"/>
        </w:rPr>
      </w:pPr>
    </w:p>
    <w:p>
      <w:pPr>
        <w:jc w:val="both"/>
        <w:ind w:left="-8" w:firstLine="656"/>
        <w:spacing w:after="0" w:line="278" w:lineRule="auto"/>
        <w:tabs>
          <w:tab w:leader="none" w:pos="1276" w:val="left"/>
        </w:tabs>
        <w:numPr>
          <w:ilvl w:val="1"/>
          <w:numId w:val="603"/>
        </w:numPr>
        <w:rPr>
          <w:rFonts w:ascii="Arial" w:cs="Arial" w:eastAsia="Arial" w:hAnsi="Arial"/>
          <w:sz w:val="18"/>
          <w:szCs w:val="18"/>
          <w:color w:val="auto"/>
        </w:rPr>
      </w:pPr>
      <w:r>
        <w:rPr>
          <w:rFonts w:ascii="Arial" w:cs="Arial" w:eastAsia="Arial" w:hAnsi="Arial"/>
          <w:sz w:val="18"/>
          <w:szCs w:val="18"/>
          <w:color w:val="auto"/>
        </w:rPr>
        <w:t>If Participant receives a Payment for which the Reduced Amount was determined pursuant to clause (x) of Section 7(a) and the Internal Revenue Service determines thereafter that some portion of the Payment is subject to the Excise Tax, Participant shall promptly return to the Company a sufficient amount of the Payment (after reduction pursuant to clause (x) of Section 7(a) so that no portion of the remaining Payment is subject to the Excise Tax. For the avoidance of doubt, if the Reduced Amount was determined pursuant to clause (y) of Section 7(a), Participant shall have no obligation to return any portion of the Payment pursuant to the preceding sentence.</w:t>
      </w:r>
    </w:p>
    <w:p>
      <w:pPr>
        <w:spacing w:after="0" w:line="158" w:lineRule="exact"/>
        <w:rPr>
          <w:rFonts w:ascii="Arial" w:cs="Arial" w:eastAsia="Arial" w:hAnsi="Arial"/>
          <w:sz w:val="18"/>
          <w:szCs w:val="18"/>
          <w:color w:val="auto"/>
        </w:rPr>
      </w:pPr>
    </w:p>
    <w:p>
      <w:pPr>
        <w:ind w:left="652" w:hanging="652"/>
        <w:spacing w:after="0"/>
        <w:tabs>
          <w:tab w:leader="none" w:pos="652" w:val="left"/>
        </w:tabs>
        <w:numPr>
          <w:ilvl w:val="0"/>
          <w:numId w:val="604"/>
        </w:numPr>
        <w:rPr>
          <w:rFonts w:ascii="Arial" w:cs="Arial" w:eastAsia="Arial" w:hAnsi="Arial"/>
          <w:sz w:val="20"/>
          <w:szCs w:val="20"/>
          <w:b w:val="1"/>
          <w:bCs w:val="1"/>
          <w:color w:val="auto"/>
        </w:rPr>
      </w:pPr>
      <w:r>
        <w:rPr>
          <w:rFonts w:ascii="Arial" w:cs="Arial" w:eastAsia="Arial" w:hAnsi="Arial"/>
          <w:sz w:val="20"/>
          <w:szCs w:val="20"/>
          <w:b w:val="1"/>
          <w:bCs w:val="1"/>
          <w:color w:val="auto"/>
        </w:rPr>
        <w:t>Section 409A.</w:t>
      </w:r>
    </w:p>
    <w:p>
      <w:pPr>
        <w:spacing w:after="0" w:line="215" w:lineRule="exact"/>
        <w:rPr>
          <w:rFonts w:ascii="Arial" w:cs="Arial" w:eastAsia="Arial" w:hAnsi="Arial"/>
          <w:sz w:val="20"/>
          <w:szCs w:val="20"/>
          <w:b w:val="1"/>
          <w:bCs w:val="1"/>
          <w:color w:val="auto"/>
        </w:rPr>
      </w:pPr>
    </w:p>
    <w:p>
      <w:pPr>
        <w:jc w:val="both"/>
        <w:ind w:left="-8" w:firstLine="656"/>
        <w:spacing w:after="0" w:line="242" w:lineRule="auto"/>
        <w:tabs>
          <w:tab w:leader="none" w:pos="1276" w:val="left"/>
        </w:tabs>
        <w:numPr>
          <w:ilvl w:val="1"/>
          <w:numId w:val="60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Specified Employees. </w:t>
      </w:r>
      <w:r>
        <w:rPr>
          <w:rFonts w:ascii="Arial" w:cs="Arial" w:eastAsia="Arial" w:hAnsi="Arial"/>
          <w:sz w:val="20"/>
          <w:szCs w:val="20"/>
          <w:color w:val="auto"/>
        </w:rPr>
        <w:t>To the extent (i) any payments to which a Participant becomes entitled under this Policy, or any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agreement or plan referenced herein, in connection with the Participant’s Separation constitute deferred compensation subject to Section 409A of the Code and (ii) the Participant is deemed at the time of such termination of employment to be a “specified” employee under Section 409A of the Code, then such payment or payments will not be made or commence until the earlier of (i) six (6) months after the Participant’s Separation and (ii) the Participant’s death following such Separation, </w:t>
      </w:r>
      <w:r>
        <w:rPr>
          <w:rFonts w:ascii="Arial" w:cs="Arial" w:eastAsia="Arial" w:hAnsi="Arial"/>
          <w:sz w:val="20"/>
          <w:szCs w:val="20"/>
          <w:u w:val="single" w:color="auto"/>
          <w:color w:val="auto"/>
        </w:rPr>
        <w:t>provided, however</w:t>
      </w:r>
      <w:r>
        <w:rPr>
          <w:rFonts w:ascii="Arial" w:cs="Arial" w:eastAsia="Arial" w:hAnsi="Arial"/>
          <w:sz w:val="20"/>
          <w:szCs w:val="20"/>
          <w:color w:val="auto"/>
        </w:rPr>
        <w:t>, that such deferral will be effected only to the extent required to avoid adverse tax treatment to the Participant, including (without limitation) the additional twenty percent (20%) tax for which the Participant would otherwise be liable under Section 409A(a)(1)(B) of the Code in the absence of such deferral. Upon the expiration of the applicable deferral period, any payments which would have otherwise been made during that period (whether in a single sum or in installments) in the absence of this paragraph will be paid to the Participant (or Participant’s beneficiary) in one lump sum without interest.</w:t>
      </w:r>
    </w:p>
    <w:p>
      <w:pPr>
        <w:sectPr>
          <w:pgSz w:w="11900" w:h="16838" w:orient="portrait"/>
          <w:cols w:equalWidth="0" w:num="1">
            <w:col w:w="11232"/>
          </w:cols>
          <w:pgMar w:left="328" w:top="1419" w:right="339" w:bottom="1440" w:gutter="0" w:footer="0" w:header="0"/>
        </w:sectPr>
      </w:pPr>
    </w:p>
    <w:bookmarkStart w:id="632" w:name="page633"/>
    <w:bookmarkEnd w:id="632"/>
    <w:p>
      <w:pPr>
        <w:jc w:val="both"/>
        <w:ind w:left="-8" w:firstLine="656"/>
        <w:spacing w:after="0" w:line="259" w:lineRule="auto"/>
        <w:tabs>
          <w:tab w:leader="none" w:pos="1287" w:val="left"/>
        </w:tabs>
        <w:numPr>
          <w:ilvl w:val="1"/>
          <w:numId w:val="60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Expense Reimbursements and In-Kind Benefits. </w:t>
      </w:r>
      <w:r>
        <w:rPr>
          <w:rFonts w:ascii="Arial" w:cs="Arial" w:eastAsia="Arial" w:hAnsi="Arial"/>
          <w:sz w:val="19"/>
          <w:szCs w:val="19"/>
          <w:color w:val="auto"/>
        </w:rPr>
        <w:t>Except as otherwise expressly provided herein, to the extent any expense</w:t>
      </w:r>
      <w:r>
        <w:rPr>
          <w:rFonts w:ascii="Arial" w:cs="Arial" w:eastAsia="Arial" w:hAnsi="Arial"/>
          <w:sz w:val="19"/>
          <w:szCs w:val="19"/>
          <w:b w:val="1"/>
          <w:bCs w:val="1"/>
          <w:color w:val="auto"/>
        </w:rPr>
        <w:t xml:space="preserve"> </w:t>
      </w:r>
      <w:r>
        <w:rPr>
          <w:rFonts w:ascii="Arial" w:cs="Arial" w:eastAsia="Arial" w:hAnsi="Arial"/>
          <w:sz w:val="19"/>
          <w:szCs w:val="19"/>
          <w:color w:val="auto"/>
        </w:rPr>
        <w:t>reimbursement, or the provision of any in-kind benefit, under this Policy (or otherwise referenced herein) is determined to be subject to (and not exempt from) Section 409A of the Code, the amount of any such expenses eligible for reimbursement, or the provision of any in-kind benefit, in one calendar year will not affect the expenses eligible for reimbursement or in kind benefits to be provided in any other calendar year. In no event will any expenses be reimbursed for a Participant after the last day of the calendar year following the calendar year in which the Participant incurred such expenses, and in no event will any right to reimbursement or the provision of any in-kind benefit be subject to liquidation or exchange for another benefit.</w:t>
      </w:r>
    </w:p>
    <w:p>
      <w:pPr>
        <w:spacing w:after="0" w:line="172" w:lineRule="exact"/>
        <w:rPr>
          <w:rFonts w:ascii="Arial" w:cs="Arial" w:eastAsia="Arial" w:hAnsi="Arial"/>
          <w:sz w:val="19"/>
          <w:szCs w:val="19"/>
          <w:b w:val="1"/>
          <w:bCs w:val="1"/>
          <w:color w:val="auto"/>
        </w:rPr>
      </w:pPr>
    </w:p>
    <w:p>
      <w:pPr>
        <w:jc w:val="both"/>
        <w:ind w:left="-8" w:firstLine="656"/>
        <w:spacing w:after="0" w:line="259" w:lineRule="auto"/>
        <w:tabs>
          <w:tab w:leader="none" w:pos="1278" w:val="left"/>
        </w:tabs>
        <w:numPr>
          <w:ilvl w:val="1"/>
          <w:numId w:val="60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Interpretation. </w:t>
      </w:r>
      <w:r>
        <w:rPr>
          <w:rFonts w:ascii="Arial" w:cs="Arial" w:eastAsia="Arial" w:hAnsi="Arial"/>
          <w:sz w:val="19"/>
          <w:szCs w:val="19"/>
          <w:color w:val="auto"/>
        </w:rPr>
        <w:t>To the extent that any provision of this Policy is ambiguous as to its exemption or compliance with</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409A, the provision will be read in such a manner so that all payments hereunder are exempt from Section 409A to the maximum permissible extent, and for any payments where such construction is not tenable, that those payments comply with Section 409A to the maximum permissible extent. To the extent any payment under this Policy may be classified as a “short-term deferral” within the meaning of Section 409A, such payment will be deemed a short-term deferral, even if it may also qualify for an exemption from Section 409A under another provision of Section 409A. Payments pursuant to this Policy (or referenced in this Policy) are intended to constitute separate payments for purposes of Section 1.409A-2(b)(2) of the regulations under Section 409A.</w:t>
      </w:r>
    </w:p>
    <w:p>
      <w:pPr>
        <w:spacing w:after="0" w:line="172" w:lineRule="exact"/>
        <w:rPr>
          <w:rFonts w:ascii="Arial" w:cs="Arial" w:eastAsia="Arial" w:hAnsi="Arial"/>
          <w:sz w:val="19"/>
          <w:szCs w:val="19"/>
          <w:b w:val="1"/>
          <w:bCs w:val="1"/>
          <w:color w:val="auto"/>
        </w:rPr>
      </w:pPr>
    </w:p>
    <w:p>
      <w:pPr>
        <w:ind w:left="652" w:hanging="652"/>
        <w:spacing w:after="0"/>
        <w:tabs>
          <w:tab w:leader="none" w:pos="652" w:val="left"/>
        </w:tabs>
        <w:numPr>
          <w:ilvl w:val="0"/>
          <w:numId w:val="606"/>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 Provisions.</w:t>
      </w:r>
    </w:p>
    <w:p>
      <w:pPr>
        <w:spacing w:after="0" w:line="215" w:lineRule="exact"/>
        <w:rPr>
          <w:rFonts w:ascii="Arial" w:cs="Arial" w:eastAsia="Arial" w:hAnsi="Arial"/>
          <w:sz w:val="20"/>
          <w:szCs w:val="20"/>
          <w:b w:val="1"/>
          <w:bCs w:val="1"/>
          <w:color w:val="auto"/>
        </w:rPr>
      </w:pPr>
    </w:p>
    <w:p>
      <w:pPr>
        <w:jc w:val="both"/>
        <w:ind w:left="-8" w:firstLine="656"/>
        <w:spacing w:after="0" w:line="246" w:lineRule="auto"/>
        <w:tabs>
          <w:tab w:leader="none" w:pos="1276" w:val="left"/>
        </w:tabs>
        <w:numPr>
          <w:ilvl w:val="1"/>
          <w:numId w:val="60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Administration. </w:t>
      </w:r>
      <w:r>
        <w:rPr>
          <w:rFonts w:ascii="Arial" w:cs="Arial" w:eastAsia="Arial" w:hAnsi="Arial"/>
          <w:sz w:val="20"/>
          <w:szCs w:val="20"/>
          <w:color w:val="auto"/>
        </w:rPr>
        <w:t>This Policy shall be administered by the Board or the Committee (either of these, as applicable,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i w:val="1"/>
          <w:iCs w:val="1"/>
          <w:color w:val="auto"/>
        </w:rPr>
        <w:t>Administrator</w:t>
      </w:r>
      <w:r>
        <w:rPr>
          <w:rFonts w:ascii="Arial" w:cs="Arial" w:eastAsia="Arial" w:hAnsi="Arial"/>
          <w:sz w:val="20"/>
          <w:szCs w:val="20"/>
          <w:color w:val="auto"/>
        </w:rPr>
        <w:t>”). All questions of interpretation or application of this Policy shall be determined by the Administrator, and every finding, decision and determination made by the Administrator will, to the full extent permitted by law, be final and binding upon all Participants. The Administrator will have full and exclusive discretionary authority to construe, interpret and apply the terms of the Policy, to determine eligibility, to designate the Participants and to decide claims filed under the Policy.</w:t>
      </w:r>
    </w:p>
    <w:p>
      <w:pPr>
        <w:spacing w:after="0" w:line="184" w:lineRule="exact"/>
        <w:rPr>
          <w:rFonts w:ascii="Arial" w:cs="Arial" w:eastAsia="Arial" w:hAnsi="Arial"/>
          <w:sz w:val="20"/>
          <w:szCs w:val="20"/>
          <w:b w:val="1"/>
          <w:bCs w:val="1"/>
          <w:color w:val="auto"/>
        </w:rPr>
      </w:pPr>
    </w:p>
    <w:p>
      <w:pPr>
        <w:jc w:val="both"/>
        <w:ind w:left="-8" w:firstLine="656"/>
        <w:spacing w:after="0" w:line="245" w:lineRule="auto"/>
        <w:tabs>
          <w:tab w:leader="none" w:pos="1287" w:val="left"/>
        </w:tabs>
        <w:numPr>
          <w:ilvl w:val="1"/>
          <w:numId w:val="60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Other Arrangements. </w:t>
      </w:r>
      <w:r>
        <w:rPr>
          <w:rFonts w:ascii="Arial" w:cs="Arial" w:eastAsia="Arial" w:hAnsi="Arial"/>
          <w:sz w:val="20"/>
          <w:szCs w:val="20"/>
          <w:color w:val="auto"/>
        </w:rPr>
        <w:t>This Policy expressly supersedes all cash severance arrangements and vesting acceleration</w:t>
      </w:r>
      <w:r>
        <w:rPr>
          <w:rFonts w:ascii="Arial" w:cs="Arial" w:eastAsia="Arial" w:hAnsi="Arial"/>
          <w:sz w:val="20"/>
          <w:szCs w:val="20"/>
          <w:b w:val="1"/>
          <w:bCs w:val="1"/>
          <w:color w:val="auto"/>
        </w:rPr>
        <w:t xml:space="preserve"> </w:t>
      </w:r>
      <w:r>
        <w:rPr>
          <w:rFonts w:ascii="Arial" w:cs="Arial" w:eastAsia="Arial" w:hAnsi="Arial"/>
          <w:sz w:val="20"/>
          <w:szCs w:val="20"/>
          <w:color w:val="auto"/>
        </w:rPr>
        <w:t>arrangements (if any) under any agreement governing Equity Awards, severance and salary continuation arrangements, programs and plans that were granted prior to the Effective Date or previously offered by the Company to Participants, including employment agreements and offer letters, and by participating in this Policy, Participants waive their rights to such other benefits. In no event will any individual receive benefits under both this Policy and any other vesting acceleration, severance pay or salary continuation program, plan or other arrangement with the Company.</w:t>
      </w:r>
    </w:p>
    <w:p>
      <w:pPr>
        <w:spacing w:after="0" w:line="184" w:lineRule="exact"/>
        <w:rPr>
          <w:rFonts w:ascii="Arial" w:cs="Arial" w:eastAsia="Arial" w:hAnsi="Arial"/>
          <w:sz w:val="20"/>
          <w:szCs w:val="20"/>
          <w:b w:val="1"/>
          <w:bCs w:val="1"/>
          <w:color w:val="auto"/>
        </w:rPr>
      </w:pPr>
    </w:p>
    <w:p>
      <w:pPr>
        <w:jc w:val="both"/>
        <w:ind w:left="-8" w:firstLine="656"/>
        <w:spacing w:after="0" w:line="275" w:lineRule="auto"/>
        <w:tabs>
          <w:tab w:leader="none" w:pos="1278" w:val="left"/>
        </w:tabs>
        <w:numPr>
          <w:ilvl w:val="1"/>
          <w:numId w:val="6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Dispute Resolution. </w:t>
      </w:r>
      <w:r>
        <w:rPr>
          <w:rFonts w:ascii="Arial" w:cs="Arial" w:eastAsia="Arial" w:hAnsi="Arial"/>
          <w:sz w:val="18"/>
          <w:szCs w:val="18"/>
          <w:color w:val="auto"/>
        </w:rPr>
        <w:t>To ensure rapid and economical resolution of any and all disputes that might arise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this Policy, the Participants and the Company agree that any and all disputes, claims, and causes of action, in law or equity, arising from or relating to this Policy or its enforcement, performance, breach or interpretation, will be resolved solely and exclusively by final, binding and individual arbitration, by a single arbitrator in accordance with the Confidential Information and Inventions Assignment Agreement (or similar agreement) Participant signed at the start of Participant’s employment. Nothing in this section, however, is intended to prevent either party from obtaining injunctive relief in court to prevent irreparable harm pending the conclusion of any such arbitration. Each party to an arbitration or litigation hereunder will be responsible for the payment of its own attorneys’ fees.</w:t>
      </w:r>
    </w:p>
    <w:p>
      <w:pPr>
        <w:sectPr>
          <w:pgSz w:w="11900" w:h="16838" w:orient="portrait"/>
          <w:cols w:equalWidth="0" w:num="1">
            <w:col w:w="11232"/>
          </w:cols>
          <w:pgMar w:left="328" w:top="1414" w:right="339" w:bottom="1440" w:gutter="0" w:footer="0" w:header="0"/>
        </w:sectPr>
      </w:pPr>
    </w:p>
    <w:bookmarkStart w:id="633" w:name="page634"/>
    <w:bookmarkEnd w:id="633"/>
    <w:p>
      <w:pPr>
        <w:jc w:val="both"/>
        <w:ind w:left="-656" w:firstLine="656"/>
        <w:spacing w:after="0" w:line="280" w:lineRule="auto"/>
        <w:tabs>
          <w:tab w:leader="none" w:pos="639" w:val="left"/>
        </w:tabs>
        <w:numPr>
          <w:ilvl w:val="0"/>
          <w:numId w:val="6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Notices and all other communications contemplated by this Policy will be in writing and will be deemed to have</w:t>
      </w:r>
      <w:r>
        <w:rPr>
          <w:rFonts w:ascii="Arial" w:cs="Arial" w:eastAsia="Arial" w:hAnsi="Arial"/>
          <w:sz w:val="18"/>
          <w:szCs w:val="18"/>
          <w:b w:val="1"/>
          <w:bCs w:val="1"/>
          <w:color w:val="auto"/>
        </w:rPr>
        <w:t xml:space="preserve"> </w:t>
      </w:r>
      <w:r>
        <w:rPr>
          <w:rFonts w:ascii="Arial" w:cs="Arial" w:eastAsia="Arial" w:hAnsi="Arial"/>
          <w:sz w:val="18"/>
          <w:szCs w:val="18"/>
          <w:color w:val="auto"/>
        </w:rPr>
        <w:t>been duly given when personally delivered or when mailed by U.S. registered or certified mail, return receipt requested and postage prepaid or deposited with Federal Express Corporation, with shipping charges prepaid. Notices mailed to Participants will be addressed to each of them at the respective home address that Participant most recently communicated to the Company in writing. Notices mailed to the Company will be addressed to its corporate headquarters, and all notices will be directed to the attention of its Secretary.</w:t>
      </w:r>
    </w:p>
    <w:p>
      <w:pPr>
        <w:spacing w:after="0" w:line="156" w:lineRule="exact"/>
        <w:rPr>
          <w:rFonts w:ascii="Arial" w:cs="Arial" w:eastAsia="Arial" w:hAnsi="Arial"/>
          <w:sz w:val="18"/>
          <w:szCs w:val="18"/>
          <w:b w:val="1"/>
          <w:bCs w:val="1"/>
          <w:color w:val="auto"/>
        </w:rPr>
      </w:pPr>
    </w:p>
    <w:p>
      <w:pPr>
        <w:jc w:val="both"/>
        <w:ind w:left="-656" w:firstLine="656"/>
        <w:spacing w:after="0" w:line="277" w:lineRule="auto"/>
        <w:tabs>
          <w:tab w:leader="none" w:pos="630" w:val="left"/>
        </w:tabs>
        <w:numPr>
          <w:ilvl w:val="0"/>
          <w:numId w:val="607"/>
        </w:numPr>
        <w:rPr>
          <w:rFonts w:ascii="Arial" w:cs="Arial" w:eastAsia="Arial" w:hAnsi="Arial"/>
          <w:sz w:val="18"/>
          <w:szCs w:val="18"/>
          <w:b w:val="1"/>
          <w:bCs w:val="1"/>
          <w:color w:val="010000"/>
        </w:rPr>
      </w:pPr>
      <w:r>
        <w:rPr>
          <w:rFonts w:ascii="Arial" w:cs="Arial" w:eastAsia="Arial" w:hAnsi="Arial"/>
          <w:sz w:val="18"/>
          <w:szCs w:val="18"/>
          <w:b w:val="1"/>
          <w:bCs w:val="1"/>
          <w:color w:val="auto"/>
        </w:rPr>
        <w:t xml:space="preserve">Waiver. </w:t>
      </w:r>
      <w:r>
        <w:rPr>
          <w:rFonts w:ascii="Arial" w:cs="Arial" w:eastAsia="Arial" w:hAnsi="Arial"/>
          <w:sz w:val="18"/>
          <w:szCs w:val="18"/>
          <w:color w:val="auto"/>
        </w:rPr>
        <w:t>The Administrator may modify and/or terminate this Policy, in whole or in part, and/or add/remove Participants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 provided that no such modification and/or termination will adversely affect any Participant’s rights under this Policy without such Participant’s prior written consent. No provision of this Policy, as applicable to any Participant, will be modified, waived or discharged unless the modification, waiver or discharge is agreed to in writing and signed by the Participant and by an authorized officer of the Company (other than the Participant). No waiver by either party of any breach of, or of compliance with, any condition or provision of this Policy will be considered a waiver of any other condition or provision or of the same condition or provision at another time.</w:t>
      </w:r>
    </w:p>
    <w:p>
      <w:pPr>
        <w:spacing w:after="0" w:line="159" w:lineRule="exact"/>
        <w:rPr>
          <w:rFonts w:ascii="Arial" w:cs="Arial" w:eastAsia="Arial" w:hAnsi="Arial"/>
          <w:sz w:val="18"/>
          <w:szCs w:val="18"/>
          <w:b w:val="1"/>
          <w:bCs w:val="1"/>
          <w:color w:val="010000"/>
        </w:rPr>
      </w:pPr>
    </w:p>
    <w:p>
      <w:pPr>
        <w:ind w:left="-656" w:firstLine="656"/>
        <w:spacing w:after="0" w:line="267" w:lineRule="auto"/>
        <w:tabs>
          <w:tab w:leader="none" w:pos="635" w:val="left"/>
        </w:tabs>
        <w:numPr>
          <w:ilvl w:val="0"/>
          <w:numId w:val="607"/>
        </w:numPr>
        <w:rPr>
          <w:rFonts w:ascii="Arial" w:cs="Arial" w:eastAsia="Arial" w:hAnsi="Arial"/>
          <w:sz w:val="20"/>
          <w:szCs w:val="20"/>
          <w:b w:val="1"/>
          <w:bCs w:val="1"/>
          <w:color w:val="010000"/>
        </w:rPr>
      </w:pPr>
      <w:r>
        <w:rPr>
          <w:rFonts w:ascii="Arial" w:cs="Arial" w:eastAsia="Arial" w:hAnsi="Arial"/>
          <w:sz w:val="20"/>
          <w:szCs w:val="20"/>
          <w:b w:val="1"/>
          <w:bCs w:val="1"/>
          <w:color w:val="auto"/>
        </w:rPr>
        <w:t xml:space="preserve">Withholding Taxes. </w:t>
      </w:r>
      <w:r>
        <w:rPr>
          <w:rFonts w:ascii="Arial" w:cs="Arial" w:eastAsia="Arial" w:hAnsi="Arial"/>
          <w:sz w:val="20"/>
          <w:szCs w:val="20"/>
          <w:color w:val="auto"/>
        </w:rPr>
        <w:t>All payments made under this Policy will be subject to all such taxes and/or withholding as may be</w:t>
      </w:r>
      <w:r>
        <w:rPr>
          <w:rFonts w:ascii="Arial" w:cs="Arial" w:eastAsia="Arial" w:hAnsi="Arial"/>
          <w:sz w:val="20"/>
          <w:szCs w:val="20"/>
          <w:b w:val="1"/>
          <w:bCs w:val="1"/>
          <w:color w:val="auto"/>
        </w:rPr>
        <w:t xml:space="preserve"> </w:t>
      </w:r>
      <w:r>
        <w:rPr>
          <w:rFonts w:ascii="Arial" w:cs="Arial" w:eastAsia="Arial" w:hAnsi="Arial"/>
          <w:sz w:val="20"/>
          <w:szCs w:val="20"/>
          <w:color w:val="auto"/>
        </w:rPr>
        <w:t>required by applicable federal, state and local law.</w:t>
      </w:r>
    </w:p>
    <w:p>
      <w:pPr>
        <w:spacing w:after="0" w:line="163" w:lineRule="exact"/>
        <w:rPr>
          <w:rFonts w:ascii="Arial" w:cs="Arial" w:eastAsia="Arial" w:hAnsi="Arial"/>
          <w:sz w:val="20"/>
          <w:szCs w:val="20"/>
          <w:b w:val="1"/>
          <w:bCs w:val="1"/>
          <w:color w:val="010000"/>
        </w:rPr>
      </w:pPr>
    </w:p>
    <w:p>
      <w:pPr>
        <w:ind w:left="-656" w:right="20" w:firstLine="656"/>
        <w:spacing w:after="0" w:line="267" w:lineRule="auto"/>
        <w:tabs>
          <w:tab w:leader="none" w:pos="628" w:val="left"/>
        </w:tabs>
        <w:numPr>
          <w:ilvl w:val="0"/>
          <w:numId w:val="607"/>
        </w:numPr>
        <w:rPr>
          <w:rFonts w:ascii="Arial" w:cs="Arial" w:eastAsia="Arial" w:hAnsi="Arial"/>
          <w:sz w:val="20"/>
          <w:szCs w:val="20"/>
          <w:b w:val="1"/>
          <w:bCs w:val="1"/>
          <w:color w:val="010000"/>
        </w:rPr>
      </w:pPr>
      <w:r>
        <w:rPr>
          <w:rFonts w:ascii="Arial" w:cs="Arial" w:eastAsia="Arial" w:hAnsi="Arial"/>
          <w:sz w:val="20"/>
          <w:szCs w:val="20"/>
          <w:b w:val="1"/>
          <w:bCs w:val="1"/>
          <w:color w:val="auto"/>
        </w:rPr>
        <w:t xml:space="preserve">Severability. </w:t>
      </w:r>
      <w:r>
        <w:rPr>
          <w:rFonts w:ascii="Arial" w:cs="Arial" w:eastAsia="Arial" w:hAnsi="Arial"/>
          <w:sz w:val="20"/>
          <w:szCs w:val="20"/>
          <w:color w:val="auto"/>
        </w:rPr>
        <w:t>The invalidity or unenforceability of any provision or provisions of this Policy will not affect the validity or</w:t>
      </w:r>
      <w:r>
        <w:rPr>
          <w:rFonts w:ascii="Arial" w:cs="Arial" w:eastAsia="Arial" w:hAnsi="Arial"/>
          <w:sz w:val="20"/>
          <w:szCs w:val="20"/>
          <w:b w:val="1"/>
          <w:bCs w:val="1"/>
          <w:color w:val="auto"/>
        </w:rPr>
        <w:t xml:space="preserve"> </w:t>
      </w:r>
      <w:r>
        <w:rPr>
          <w:rFonts w:ascii="Arial" w:cs="Arial" w:eastAsia="Arial" w:hAnsi="Arial"/>
          <w:sz w:val="20"/>
          <w:szCs w:val="20"/>
          <w:color w:val="auto"/>
        </w:rPr>
        <w:t>enforceability of any other provision hereof, which will remain in full force and effect.</w:t>
      </w:r>
    </w:p>
    <w:p>
      <w:pPr>
        <w:spacing w:after="0" w:line="163" w:lineRule="exact"/>
        <w:rPr>
          <w:rFonts w:ascii="Arial" w:cs="Arial" w:eastAsia="Arial" w:hAnsi="Arial"/>
          <w:sz w:val="20"/>
          <w:szCs w:val="20"/>
          <w:b w:val="1"/>
          <w:bCs w:val="1"/>
          <w:color w:val="010000"/>
        </w:rPr>
      </w:pPr>
    </w:p>
    <w:p>
      <w:pPr>
        <w:ind w:left="644" w:hanging="644"/>
        <w:spacing w:after="0"/>
        <w:tabs>
          <w:tab w:leader="none" w:pos="644" w:val="left"/>
        </w:tabs>
        <w:numPr>
          <w:ilvl w:val="0"/>
          <w:numId w:val="607"/>
        </w:numPr>
        <w:rPr>
          <w:rFonts w:ascii="Arial" w:cs="Arial" w:eastAsia="Arial" w:hAnsi="Arial"/>
          <w:sz w:val="18"/>
          <w:szCs w:val="18"/>
          <w:b w:val="1"/>
          <w:bCs w:val="1"/>
          <w:color w:val="010000"/>
        </w:rPr>
      </w:pPr>
      <w:r>
        <w:rPr>
          <w:rFonts w:ascii="Arial" w:cs="Arial" w:eastAsia="Arial" w:hAnsi="Arial"/>
          <w:sz w:val="18"/>
          <w:szCs w:val="18"/>
          <w:b w:val="1"/>
          <w:bCs w:val="1"/>
          <w:color w:val="auto"/>
        </w:rPr>
        <w:t xml:space="preserve">Unfunded Obligations. </w:t>
      </w:r>
      <w:r>
        <w:rPr>
          <w:rFonts w:ascii="Arial" w:cs="Arial" w:eastAsia="Arial" w:hAnsi="Arial"/>
          <w:sz w:val="18"/>
          <w:szCs w:val="18"/>
          <w:color w:val="auto"/>
        </w:rPr>
        <w:t>The obligations of the Company under this Policy are funded from the Company’s general assets.</w:t>
      </w:r>
    </w:p>
    <w:p>
      <w:pPr>
        <w:spacing w:after="0" w:line="238" w:lineRule="exact"/>
        <w:rPr>
          <w:rFonts w:ascii="Arial" w:cs="Arial" w:eastAsia="Arial" w:hAnsi="Arial"/>
          <w:sz w:val="18"/>
          <w:szCs w:val="18"/>
          <w:b w:val="1"/>
          <w:bCs w:val="1"/>
          <w:color w:val="010000"/>
        </w:rPr>
      </w:pPr>
    </w:p>
    <w:p>
      <w:pPr>
        <w:jc w:val="both"/>
        <w:ind w:left="-656" w:firstLine="656"/>
        <w:spacing w:after="0" w:line="244" w:lineRule="auto"/>
        <w:tabs>
          <w:tab w:leader="none" w:pos="638" w:val="left"/>
        </w:tabs>
        <w:numPr>
          <w:ilvl w:val="0"/>
          <w:numId w:val="607"/>
        </w:numPr>
        <w:rPr>
          <w:rFonts w:ascii="Arial" w:cs="Arial" w:eastAsia="Arial" w:hAnsi="Arial"/>
          <w:sz w:val="20"/>
          <w:szCs w:val="20"/>
          <w:b w:val="1"/>
          <w:bCs w:val="1"/>
          <w:color w:val="010000"/>
        </w:rPr>
      </w:pPr>
      <w:r>
        <w:rPr>
          <w:rFonts w:ascii="Arial" w:cs="Arial" w:eastAsia="Arial" w:hAnsi="Arial"/>
          <w:sz w:val="20"/>
          <w:szCs w:val="20"/>
          <w:b w:val="1"/>
          <w:bCs w:val="1"/>
          <w:color w:val="auto"/>
        </w:rPr>
        <w:t xml:space="preserve">Successors. </w:t>
      </w:r>
      <w:r>
        <w:rPr>
          <w:rFonts w:ascii="Arial" w:cs="Arial" w:eastAsia="Arial" w:hAnsi="Arial"/>
          <w:sz w:val="20"/>
          <w:szCs w:val="20"/>
          <w:color w:val="auto"/>
        </w:rPr>
        <w:t>The Company will require any successor (whether direct or indirect and whether by purchase, lease, merger,</w:t>
      </w:r>
      <w:r>
        <w:rPr>
          <w:rFonts w:ascii="Arial" w:cs="Arial" w:eastAsia="Arial" w:hAnsi="Arial"/>
          <w:sz w:val="20"/>
          <w:szCs w:val="20"/>
          <w:b w:val="1"/>
          <w:bCs w:val="1"/>
          <w:color w:val="auto"/>
        </w:rPr>
        <w:t xml:space="preserve"> </w:t>
      </w:r>
      <w:r>
        <w:rPr>
          <w:rFonts w:ascii="Arial" w:cs="Arial" w:eastAsia="Arial" w:hAnsi="Arial"/>
          <w:sz w:val="20"/>
          <w:szCs w:val="20"/>
          <w:color w:val="auto"/>
        </w:rPr>
        <w:t>consolidation, liquidation or otherwise) to all or substantially all of the Company’s business and/or assets to assume this Policy and to agree expressly to perform this Policy in the same manner and to the same extent as the Company would be required to perform it in the absence of a succession. For all purposes under this Policy, the term “Company” will include any successor to the Company’s business and/or assets or which becomes bound by this Policy by operation of law. This Policy and all rights of Participants hereunder will inure to the benefit of, and be enforceable by, the Participants’ respective personal or legal representatives, executors, administrators, successors, heirs, distributees, devisees and legatees.</w:t>
      </w:r>
    </w:p>
    <w:p>
      <w:pPr>
        <w:spacing w:after="0" w:line="185" w:lineRule="exact"/>
        <w:rPr>
          <w:rFonts w:ascii="Arial" w:cs="Arial" w:eastAsia="Arial" w:hAnsi="Arial"/>
          <w:sz w:val="20"/>
          <w:szCs w:val="20"/>
          <w:b w:val="1"/>
          <w:bCs w:val="1"/>
          <w:color w:val="010000"/>
        </w:rPr>
      </w:pPr>
    </w:p>
    <w:p>
      <w:pPr>
        <w:jc w:val="both"/>
        <w:ind w:left="-656" w:firstLine="656"/>
        <w:spacing w:after="0" w:line="246" w:lineRule="auto"/>
        <w:tabs>
          <w:tab w:leader="none" w:pos="635" w:val="left"/>
        </w:tabs>
        <w:numPr>
          <w:ilvl w:val="0"/>
          <w:numId w:val="607"/>
        </w:numPr>
        <w:rPr>
          <w:rFonts w:ascii="Arial" w:cs="Arial" w:eastAsia="Arial" w:hAnsi="Arial"/>
          <w:sz w:val="20"/>
          <w:szCs w:val="20"/>
          <w:b w:val="1"/>
          <w:bCs w:val="1"/>
          <w:color w:val="010000"/>
        </w:rPr>
      </w:pPr>
      <w:r>
        <w:rPr>
          <w:rFonts w:ascii="Arial" w:cs="Arial" w:eastAsia="Arial" w:hAnsi="Arial"/>
          <w:sz w:val="20"/>
          <w:szCs w:val="20"/>
          <w:b w:val="1"/>
          <w:bCs w:val="1"/>
          <w:color w:val="auto"/>
        </w:rPr>
        <w:t xml:space="preserve">Employment At Will. </w:t>
      </w:r>
      <w:r>
        <w:rPr>
          <w:rFonts w:ascii="Arial" w:cs="Arial" w:eastAsia="Arial" w:hAnsi="Arial"/>
          <w:sz w:val="20"/>
          <w:szCs w:val="20"/>
          <w:color w:val="auto"/>
        </w:rPr>
        <w:t>This Policy does not obligate the Company to continue to employ any Participant for any specific</w:t>
      </w:r>
      <w:r>
        <w:rPr>
          <w:rFonts w:ascii="Arial" w:cs="Arial" w:eastAsia="Arial" w:hAnsi="Arial"/>
          <w:sz w:val="20"/>
          <w:szCs w:val="20"/>
          <w:b w:val="1"/>
          <w:bCs w:val="1"/>
          <w:color w:val="auto"/>
        </w:rPr>
        <w:t xml:space="preserve"> </w:t>
      </w:r>
      <w:r>
        <w:rPr>
          <w:rFonts w:ascii="Arial" w:cs="Arial" w:eastAsia="Arial" w:hAnsi="Arial"/>
          <w:sz w:val="20"/>
          <w:szCs w:val="20"/>
          <w:color w:val="auto"/>
        </w:rPr>
        <w:t>period of time or in any specific role or geographic location. Nothing in this Policy will confer upon any Participant any right to continue in service for any period of specific duration or interfere with or otherwise restrict in any way the rights of the Company or any subsidiary of the Company or of the Participant to terminate the Participant’s service at any time and for any reason or no reason, with or without Cause, and such rights are hereby expressly reserved.</w:t>
      </w:r>
    </w:p>
    <w:p>
      <w:pPr>
        <w:spacing w:after="0" w:line="184" w:lineRule="exact"/>
        <w:rPr>
          <w:rFonts w:ascii="Arial" w:cs="Arial" w:eastAsia="Arial" w:hAnsi="Arial"/>
          <w:sz w:val="20"/>
          <w:szCs w:val="20"/>
          <w:b w:val="1"/>
          <w:bCs w:val="1"/>
          <w:color w:val="010000"/>
        </w:rPr>
      </w:pPr>
    </w:p>
    <w:p>
      <w:pPr>
        <w:ind w:left="-656" w:right="20" w:firstLine="656"/>
        <w:spacing w:after="0" w:line="267" w:lineRule="auto"/>
        <w:tabs>
          <w:tab w:leader="none" w:pos="639" w:val="left"/>
        </w:tabs>
        <w:numPr>
          <w:ilvl w:val="0"/>
          <w:numId w:val="607"/>
        </w:numPr>
        <w:rPr>
          <w:rFonts w:ascii="Arial" w:cs="Arial" w:eastAsia="Arial" w:hAnsi="Arial"/>
          <w:sz w:val="20"/>
          <w:szCs w:val="20"/>
          <w:b w:val="1"/>
          <w:bCs w:val="1"/>
          <w:color w:val="010000"/>
        </w:rPr>
      </w:pPr>
      <w:r>
        <w:rPr>
          <w:rFonts w:ascii="Arial" w:cs="Arial" w:eastAsia="Arial" w:hAnsi="Arial"/>
          <w:sz w:val="20"/>
          <w:szCs w:val="20"/>
          <w:b w:val="1"/>
          <w:bCs w:val="1"/>
          <w:color w:val="auto"/>
        </w:rPr>
        <w:t xml:space="preserve">Choice of Law. </w:t>
      </w:r>
      <w:r>
        <w:rPr>
          <w:rFonts w:ascii="Arial" w:cs="Arial" w:eastAsia="Arial" w:hAnsi="Arial"/>
          <w:sz w:val="20"/>
          <w:szCs w:val="20"/>
          <w:color w:val="auto"/>
        </w:rPr>
        <w:t>The validity, interpretation, construction and performance of this Policy will be governed by the laws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State of Delaware (other than its choice-of-law provisions).</w:t>
      </w:r>
    </w:p>
    <w:p>
      <w:pPr>
        <w:spacing w:after="0" w:line="163" w:lineRule="exact"/>
        <w:rPr>
          <w:rFonts w:ascii="Arial" w:cs="Arial" w:eastAsia="Arial" w:hAnsi="Arial"/>
          <w:sz w:val="20"/>
          <w:szCs w:val="20"/>
          <w:b w:val="1"/>
          <w:bCs w:val="1"/>
          <w:color w:val="010000"/>
        </w:rPr>
      </w:pPr>
    </w:p>
    <w:p>
      <w:pPr>
        <w:ind w:left="-656" w:firstLine="656"/>
        <w:spacing w:after="0" w:line="267" w:lineRule="auto"/>
        <w:tabs>
          <w:tab w:leader="none" w:pos="638" w:val="left"/>
        </w:tabs>
        <w:numPr>
          <w:ilvl w:val="0"/>
          <w:numId w:val="607"/>
        </w:numPr>
        <w:rPr>
          <w:rFonts w:ascii="Arial" w:cs="Arial" w:eastAsia="Arial" w:hAnsi="Arial"/>
          <w:sz w:val="20"/>
          <w:szCs w:val="20"/>
          <w:b w:val="1"/>
          <w:bCs w:val="1"/>
          <w:color w:val="010000"/>
        </w:rPr>
      </w:pPr>
      <w:r>
        <w:rPr>
          <w:rFonts w:ascii="Arial" w:cs="Arial" w:eastAsia="Arial" w:hAnsi="Arial"/>
          <w:sz w:val="20"/>
          <w:szCs w:val="20"/>
          <w:b w:val="1"/>
          <w:bCs w:val="1"/>
          <w:color w:val="auto"/>
        </w:rPr>
        <w:t xml:space="preserve">Entire Agreement. </w:t>
      </w:r>
      <w:r>
        <w:rPr>
          <w:rFonts w:ascii="Arial" w:cs="Arial" w:eastAsia="Arial" w:hAnsi="Arial"/>
          <w:sz w:val="20"/>
          <w:szCs w:val="20"/>
          <w:color w:val="auto"/>
        </w:rPr>
        <w:t>This Policy represents the entire agreement between the Participants and the Company with respect to</w:t>
      </w:r>
      <w:r>
        <w:rPr>
          <w:rFonts w:ascii="Arial" w:cs="Arial" w:eastAsia="Arial" w:hAnsi="Arial"/>
          <w:sz w:val="20"/>
          <w:szCs w:val="20"/>
          <w:b w:val="1"/>
          <w:bCs w:val="1"/>
          <w:color w:val="auto"/>
        </w:rPr>
        <w:t xml:space="preserve"> </w:t>
      </w:r>
      <w:r>
        <w:rPr>
          <w:rFonts w:ascii="Arial" w:cs="Arial" w:eastAsia="Arial" w:hAnsi="Arial"/>
          <w:sz w:val="20"/>
          <w:szCs w:val="20"/>
          <w:color w:val="auto"/>
        </w:rPr>
        <w:t>the Participants’ severance rights. This Policy otherwise supersedes and</w:t>
      </w:r>
    </w:p>
    <w:p>
      <w:pPr>
        <w:sectPr>
          <w:pgSz w:w="11900" w:h="16838" w:orient="portrait"/>
          <w:cols w:equalWidth="0" w:num="1">
            <w:col w:w="10584"/>
          </w:cols>
          <w:pgMar w:left="976" w:top="1413" w:right="339" w:bottom="1440" w:gutter="0" w:footer="0" w:header="0"/>
        </w:sectPr>
      </w:pPr>
    </w:p>
    <w:bookmarkStart w:id="634" w:name="page635"/>
    <w:bookmarkEnd w:id="634"/>
    <w:p>
      <w:pPr>
        <w:ind w:right="20"/>
        <w:spacing w:after="0" w:line="260" w:lineRule="auto"/>
        <w:rPr>
          <w:sz w:val="20"/>
          <w:szCs w:val="20"/>
          <w:color w:val="auto"/>
        </w:rPr>
      </w:pPr>
      <w:r>
        <w:rPr>
          <w:rFonts w:ascii="Arial" w:cs="Arial" w:eastAsia="Arial" w:hAnsi="Arial"/>
          <w:sz w:val="20"/>
          <w:szCs w:val="20"/>
          <w:color w:val="auto"/>
        </w:rPr>
        <w:t>replaces all the Company’s prior severance policies (if any), including, but not limited to, prior versions of this Policy, applicable to the Participants.</w:t>
      </w:r>
    </w:p>
    <w:p>
      <w:pPr>
        <w:spacing w:after="0" w:line="171" w:lineRule="exact"/>
        <w:rPr>
          <w:sz w:val="20"/>
          <w:szCs w:val="20"/>
          <w:color w:val="auto"/>
        </w:rPr>
      </w:pPr>
    </w:p>
    <w:p>
      <w:pPr>
        <w:ind w:left="640" w:hanging="632"/>
        <w:spacing w:after="0"/>
        <w:tabs>
          <w:tab w:leader="none" w:pos="640" w:val="left"/>
        </w:tabs>
        <w:numPr>
          <w:ilvl w:val="0"/>
          <w:numId w:val="608"/>
        </w:numPr>
        <w:rPr>
          <w:rFonts w:ascii="Arial" w:cs="Arial" w:eastAsia="Arial" w:hAnsi="Arial"/>
          <w:sz w:val="20"/>
          <w:szCs w:val="20"/>
          <w:b w:val="1"/>
          <w:bCs w:val="1"/>
          <w:color w:val="auto"/>
        </w:rPr>
      </w:pPr>
      <w:r>
        <w:rPr>
          <w:rFonts w:ascii="Arial" w:cs="Arial" w:eastAsia="Arial" w:hAnsi="Arial"/>
          <w:sz w:val="20"/>
          <w:szCs w:val="20"/>
          <w:b w:val="1"/>
          <w:bCs w:val="1"/>
          <w:color w:val="auto"/>
        </w:rPr>
        <w:t>Legal Construction.</w:t>
      </w:r>
    </w:p>
    <w:p>
      <w:pPr>
        <w:spacing w:after="0" w:line="222" w:lineRule="exact"/>
        <w:rPr>
          <w:sz w:val="20"/>
          <w:szCs w:val="20"/>
          <w:color w:val="auto"/>
        </w:rPr>
      </w:pPr>
    </w:p>
    <w:p>
      <w:pPr>
        <w:ind w:right="500" w:firstLine="1377"/>
        <w:spacing w:after="0" w:line="287" w:lineRule="auto"/>
        <w:rPr>
          <w:sz w:val="20"/>
          <w:szCs w:val="20"/>
          <w:color w:val="auto"/>
        </w:rPr>
      </w:pPr>
      <w:r>
        <w:rPr>
          <w:rFonts w:ascii="Arial" w:cs="Arial" w:eastAsia="Arial" w:hAnsi="Arial"/>
          <w:sz w:val="19"/>
          <w:szCs w:val="19"/>
          <w:color w:val="auto"/>
        </w:rPr>
        <w:t>This Policy is intended to be governed by and shall be construed in accordance with the Employee Retirement Income Security Act of 1974 (“</w:t>
      </w:r>
      <w:r>
        <w:rPr>
          <w:rFonts w:ascii="Arial" w:cs="Arial" w:eastAsia="Arial" w:hAnsi="Arial"/>
          <w:sz w:val="19"/>
          <w:szCs w:val="19"/>
          <w:b w:val="1"/>
          <w:bCs w:val="1"/>
          <w:i w:val="1"/>
          <w:iCs w:val="1"/>
          <w:color w:val="auto"/>
        </w:rPr>
        <w:t>ERISA</w:t>
      </w:r>
      <w:r>
        <w:rPr>
          <w:rFonts w:ascii="Arial" w:cs="Arial" w:eastAsia="Arial" w:hAnsi="Arial"/>
          <w:sz w:val="19"/>
          <w:szCs w:val="19"/>
          <w:color w:val="auto"/>
        </w:rPr>
        <w:t>”) and, to the extent not preempted by ERISA, the laws of the State of California.</w:t>
      </w:r>
    </w:p>
    <w:p>
      <w:pPr>
        <w:spacing w:after="0" w:line="146" w:lineRule="exact"/>
        <w:rPr>
          <w:sz w:val="20"/>
          <w:szCs w:val="20"/>
          <w:color w:val="auto"/>
        </w:rPr>
      </w:pPr>
    </w:p>
    <w:p>
      <w:pPr>
        <w:ind w:left="640" w:hanging="632"/>
        <w:spacing w:after="0"/>
        <w:tabs>
          <w:tab w:leader="none" w:pos="640" w:val="left"/>
        </w:tabs>
        <w:numPr>
          <w:ilvl w:val="0"/>
          <w:numId w:val="609"/>
        </w:numPr>
        <w:rPr>
          <w:rFonts w:ascii="Arial" w:cs="Arial" w:eastAsia="Arial" w:hAnsi="Arial"/>
          <w:sz w:val="20"/>
          <w:szCs w:val="20"/>
          <w:b w:val="1"/>
          <w:bCs w:val="1"/>
          <w:color w:val="auto"/>
        </w:rPr>
      </w:pPr>
      <w:r>
        <w:rPr>
          <w:rFonts w:ascii="Arial" w:cs="Arial" w:eastAsia="Arial" w:hAnsi="Arial"/>
          <w:sz w:val="20"/>
          <w:szCs w:val="20"/>
          <w:b w:val="1"/>
          <w:bCs w:val="1"/>
          <w:color w:val="auto"/>
        </w:rPr>
        <w:t>Claims, Inquiries and Appeals.</w:t>
      </w:r>
    </w:p>
    <w:p>
      <w:pPr>
        <w:spacing w:after="0" w:line="215" w:lineRule="exact"/>
        <w:rPr>
          <w:rFonts w:ascii="Arial" w:cs="Arial" w:eastAsia="Arial" w:hAnsi="Arial"/>
          <w:sz w:val="20"/>
          <w:szCs w:val="20"/>
          <w:b w:val="1"/>
          <w:bCs w:val="1"/>
          <w:color w:val="auto"/>
        </w:rPr>
      </w:pPr>
    </w:p>
    <w:p>
      <w:pPr>
        <w:jc w:val="both"/>
        <w:ind w:firstLine="656"/>
        <w:spacing w:after="0" w:line="253" w:lineRule="auto"/>
        <w:tabs>
          <w:tab w:leader="none" w:pos="1284" w:val="left"/>
        </w:tabs>
        <w:numPr>
          <w:ilvl w:val="1"/>
          <w:numId w:val="60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Applications for Benefits and Inquiries. </w:t>
      </w:r>
      <w:r>
        <w:rPr>
          <w:rFonts w:ascii="Arial" w:cs="Arial" w:eastAsia="Arial" w:hAnsi="Arial"/>
          <w:sz w:val="20"/>
          <w:szCs w:val="20"/>
          <w:color w:val="auto"/>
        </w:rPr>
        <w:t>Any application for benefits, inquiries Policy or inquiries about present or future</w:t>
      </w:r>
      <w:r>
        <w:rPr>
          <w:rFonts w:ascii="Arial" w:cs="Arial" w:eastAsia="Arial" w:hAnsi="Arial"/>
          <w:sz w:val="20"/>
          <w:szCs w:val="20"/>
          <w:b w:val="1"/>
          <w:bCs w:val="1"/>
          <w:color w:val="auto"/>
        </w:rPr>
        <w:t xml:space="preserve"> </w:t>
      </w:r>
      <w:r>
        <w:rPr>
          <w:rFonts w:ascii="Arial" w:cs="Arial" w:eastAsia="Arial" w:hAnsi="Arial"/>
          <w:sz w:val="20"/>
          <w:szCs w:val="20"/>
          <w:color w:val="auto"/>
        </w:rPr>
        <w:t>rights under the Policy must be submitted to the Administrator in writing by an applicant (or their authorized representative). The Administrator can be contacted at: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NerdWallet,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Change of Control and Severance Policy Administrator</w:t>
      </w:r>
    </w:p>
    <w:p>
      <w:pPr>
        <w:jc w:val="center"/>
        <w:spacing w:after="0"/>
        <w:rPr>
          <w:sz w:val="20"/>
          <w:szCs w:val="20"/>
          <w:color w:val="auto"/>
        </w:rPr>
      </w:pPr>
      <w:r>
        <w:rPr>
          <w:rFonts w:ascii="Arial" w:cs="Arial" w:eastAsia="Arial" w:hAnsi="Arial"/>
          <w:sz w:val="20"/>
          <w:szCs w:val="20"/>
          <w:color w:val="auto"/>
        </w:rPr>
        <w:t>875 Stevenson Street, Fifth Floor</w:t>
      </w:r>
    </w:p>
    <w:p>
      <w:pPr>
        <w:jc w:val="center"/>
        <w:spacing w:after="0"/>
        <w:rPr>
          <w:sz w:val="20"/>
          <w:szCs w:val="20"/>
          <w:color w:val="auto"/>
        </w:rPr>
      </w:pPr>
      <w:r>
        <w:rPr>
          <w:rFonts w:ascii="Arial" w:cs="Arial" w:eastAsia="Arial" w:hAnsi="Arial"/>
          <w:sz w:val="20"/>
          <w:szCs w:val="20"/>
          <w:color w:val="auto"/>
        </w:rPr>
        <w:t>San Francisco, CA 94103</w:t>
      </w:r>
    </w:p>
    <w:p>
      <w:pPr>
        <w:jc w:val="both"/>
        <w:ind w:firstLine="656"/>
        <w:spacing w:after="0" w:line="241" w:lineRule="auto"/>
        <w:tabs>
          <w:tab w:leader="none" w:pos="1295" w:val="left"/>
        </w:tabs>
        <w:numPr>
          <w:ilvl w:val="0"/>
          <w:numId w:val="61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Denial of Claims. </w:t>
      </w:r>
      <w:r>
        <w:rPr>
          <w:rFonts w:ascii="Arial" w:cs="Arial" w:eastAsia="Arial" w:hAnsi="Arial"/>
          <w:sz w:val="20"/>
          <w:szCs w:val="20"/>
          <w:color w:val="auto"/>
        </w:rPr>
        <w:t>In the event that any application for benefits is denied in whole or in part, the Administrator must provide</w:t>
      </w:r>
      <w:r>
        <w:rPr>
          <w:rFonts w:ascii="Arial" w:cs="Arial" w:eastAsia="Arial" w:hAnsi="Arial"/>
          <w:sz w:val="20"/>
          <w:szCs w:val="20"/>
          <w:b w:val="1"/>
          <w:bCs w:val="1"/>
          <w:color w:val="auto"/>
        </w:rPr>
        <w:t xml:space="preserve"> </w:t>
      </w:r>
      <w:r>
        <w:rPr>
          <w:rFonts w:ascii="Arial" w:cs="Arial" w:eastAsia="Arial" w:hAnsi="Arial"/>
          <w:sz w:val="20"/>
          <w:szCs w:val="20"/>
          <w:color w:val="auto"/>
        </w:rPr>
        <w:t>the applicant with written or electronic notice of the denial of the application, and of the applicant’s right to review the denial. Any electronic notice will comply with the regulations of the U.S. Department of Labor. The notice of denial will be set forth in a manner designed to be understood by the applicant and will include the following:</w:t>
      </w:r>
    </w:p>
    <w:p>
      <w:pPr>
        <w:spacing w:after="0" w:line="194" w:lineRule="exact"/>
        <w:rPr>
          <w:rFonts w:ascii="Arial" w:cs="Arial" w:eastAsia="Arial" w:hAnsi="Arial"/>
          <w:sz w:val="20"/>
          <w:szCs w:val="20"/>
          <w:b w:val="1"/>
          <w:bCs w:val="1"/>
          <w:color w:val="auto"/>
        </w:rPr>
      </w:pPr>
    </w:p>
    <w:p>
      <w:pPr>
        <w:ind w:left="1720" w:hanging="280"/>
        <w:spacing w:after="0"/>
        <w:tabs>
          <w:tab w:leader="none" w:pos="1720" w:val="left"/>
        </w:tabs>
        <w:numPr>
          <w:ilvl w:val="1"/>
          <w:numId w:val="610"/>
        </w:numPr>
        <w:rPr>
          <w:rFonts w:ascii="Arial" w:cs="Arial" w:eastAsia="Arial" w:hAnsi="Arial"/>
          <w:sz w:val="20"/>
          <w:szCs w:val="20"/>
          <w:b w:val="1"/>
          <w:bCs w:val="1"/>
          <w:color w:val="auto"/>
        </w:rPr>
      </w:pPr>
      <w:r>
        <w:rPr>
          <w:rFonts w:ascii="Arial" w:cs="Arial" w:eastAsia="Arial" w:hAnsi="Arial"/>
          <w:sz w:val="20"/>
          <w:szCs w:val="20"/>
          <w:color w:val="auto"/>
        </w:rPr>
        <w:t>the specific reason or reasons for the denial;</w:t>
      </w:r>
    </w:p>
    <w:p>
      <w:pPr>
        <w:spacing w:after="0" w:line="215" w:lineRule="exact"/>
        <w:rPr>
          <w:rFonts w:ascii="Arial" w:cs="Arial" w:eastAsia="Arial" w:hAnsi="Arial"/>
          <w:sz w:val="20"/>
          <w:szCs w:val="20"/>
          <w:b w:val="1"/>
          <w:bCs w:val="1"/>
          <w:color w:val="auto"/>
        </w:rPr>
      </w:pPr>
    </w:p>
    <w:p>
      <w:pPr>
        <w:ind w:left="1720" w:hanging="280"/>
        <w:spacing w:after="0"/>
        <w:tabs>
          <w:tab w:leader="none" w:pos="1720" w:val="left"/>
        </w:tabs>
        <w:numPr>
          <w:ilvl w:val="1"/>
          <w:numId w:val="610"/>
        </w:numPr>
        <w:rPr>
          <w:rFonts w:ascii="Arial" w:cs="Arial" w:eastAsia="Arial" w:hAnsi="Arial"/>
          <w:sz w:val="20"/>
          <w:szCs w:val="20"/>
          <w:b w:val="1"/>
          <w:bCs w:val="1"/>
          <w:color w:val="auto"/>
        </w:rPr>
      </w:pPr>
      <w:r>
        <w:rPr>
          <w:rFonts w:ascii="Arial" w:cs="Arial" w:eastAsia="Arial" w:hAnsi="Arial"/>
          <w:sz w:val="20"/>
          <w:szCs w:val="20"/>
          <w:color w:val="auto"/>
        </w:rPr>
        <w:t>references to the specific Policy provisions upon which the denial is based;</w:t>
      </w:r>
    </w:p>
    <w:p>
      <w:pPr>
        <w:spacing w:after="0" w:line="215" w:lineRule="exact"/>
        <w:rPr>
          <w:rFonts w:ascii="Arial" w:cs="Arial" w:eastAsia="Arial" w:hAnsi="Arial"/>
          <w:sz w:val="20"/>
          <w:szCs w:val="20"/>
          <w:b w:val="1"/>
          <w:bCs w:val="1"/>
          <w:color w:val="auto"/>
        </w:rPr>
      </w:pPr>
    </w:p>
    <w:p>
      <w:pPr>
        <w:ind w:right="500" w:firstLine="1440"/>
        <w:spacing w:after="0" w:line="260" w:lineRule="auto"/>
        <w:tabs>
          <w:tab w:leader="none" w:pos="1712" w:val="left"/>
        </w:tabs>
        <w:numPr>
          <w:ilvl w:val="1"/>
          <w:numId w:val="610"/>
        </w:numPr>
        <w:rPr>
          <w:rFonts w:ascii="Arial" w:cs="Arial" w:eastAsia="Arial" w:hAnsi="Arial"/>
          <w:sz w:val="20"/>
          <w:szCs w:val="20"/>
          <w:b w:val="1"/>
          <w:bCs w:val="1"/>
          <w:color w:val="auto"/>
        </w:rPr>
      </w:pPr>
      <w:r>
        <w:rPr>
          <w:rFonts w:ascii="Arial" w:cs="Arial" w:eastAsia="Arial" w:hAnsi="Arial"/>
          <w:sz w:val="20"/>
          <w:szCs w:val="20"/>
          <w:color w:val="auto"/>
        </w:rPr>
        <w:t>a description of any additional information or material that the Administrator needs to complete the review and an explanation of why such information or material is necessary; and</w:t>
      </w:r>
    </w:p>
    <w:p>
      <w:pPr>
        <w:spacing w:after="0" w:line="176" w:lineRule="exact"/>
        <w:rPr>
          <w:rFonts w:ascii="Arial" w:cs="Arial" w:eastAsia="Arial" w:hAnsi="Arial"/>
          <w:sz w:val="20"/>
          <w:szCs w:val="20"/>
          <w:b w:val="1"/>
          <w:bCs w:val="1"/>
          <w:color w:val="auto"/>
        </w:rPr>
      </w:pPr>
    </w:p>
    <w:p>
      <w:pPr>
        <w:jc w:val="both"/>
        <w:ind w:right="760" w:firstLine="1440"/>
        <w:spacing w:after="0" w:line="250" w:lineRule="auto"/>
        <w:tabs>
          <w:tab w:leader="none" w:pos="1712" w:val="left"/>
        </w:tabs>
        <w:numPr>
          <w:ilvl w:val="1"/>
          <w:numId w:val="610"/>
        </w:numPr>
        <w:rPr>
          <w:rFonts w:ascii="Arial" w:cs="Arial" w:eastAsia="Arial" w:hAnsi="Arial"/>
          <w:sz w:val="20"/>
          <w:szCs w:val="20"/>
          <w:b w:val="1"/>
          <w:bCs w:val="1"/>
          <w:color w:val="auto"/>
        </w:rPr>
      </w:pPr>
      <w:r>
        <w:rPr>
          <w:rFonts w:ascii="Arial" w:cs="Arial" w:eastAsia="Arial" w:hAnsi="Arial"/>
          <w:sz w:val="20"/>
          <w:szCs w:val="20"/>
          <w:color w:val="auto"/>
        </w:rPr>
        <w:t>an explanation of the Policy’s review procedures and the time limits applicable to such procedures, including a statement of the applicant’s right to bring a civil action under Section 502(a) of ERISA following a denial on review of the claim, as described in Section 11(d) below.</w:t>
      </w:r>
    </w:p>
    <w:p>
      <w:pPr>
        <w:spacing w:after="0" w:line="186" w:lineRule="exact"/>
        <w:rPr>
          <w:sz w:val="20"/>
          <w:szCs w:val="20"/>
          <w:color w:val="auto"/>
        </w:rPr>
      </w:pPr>
    </w:p>
    <w:p>
      <w:pPr>
        <w:ind w:right="40" w:firstLine="992"/>
        <w:spacing w:after="0" w:line="246" w:lineRule="auto"/>
        <w:rPr>
          <w:sz w:val="20"/>
          <w:szCs w:val="20"/>
          <w:color w:val="auto"/>
        </w:rPr>
      </w:pPr>
      <w:r>
        <w:rPr>
          <w:rFonts w:ascii="Arial" w:cs="Arial" w:eastAsia="Arial" w:hAnsi="Arial"/>
          <w:sz w:val="20"/>
          <w:szCs w:val="20"/>
          <w:color w:val="auto"/>
        </w:rPr>
        <w:t>This notice of denial will be given to the applicant within ninety (90) days after the Administrator receives the application, unless special circumstances require an extension of time, in which case, the Administrator has up to an additional ninety (90) days for processing the application. If an extension of time for processing is required, written notice of the extension will be furnished to the applicant before the end of the initial ninety (90) day period.</w:t>
      </w:r>
    </w:p>
    <w:p>
      <w:pPr>
        <w:spacing w:after="0" w:line="191" w:lineRule="exact"/>
        <w:rPr>
          <w:sz w:val="20"/>
          <w:szCs w:val="20"/>
          <w:color w:val="auto"/>
        </w:rPr>
      </w:pPr>
    </w:p>
    <w:p>
      <w:pPr>
        <w:ind w:right="520" w:firstLine="992"/>
        <w:spacing w:after="0" w:line="260" w:lineRule="auto"/>
        <w:rPr>
          <w:sz w:val="20"/>
          <w:szCs w:val="20"/>
          <w:color w:val="auto"/>
        </w:rPr>
      </w:pPr>
      <w:r>
        <w:rPr>
          <w:rFonts w:ascii="Arial" w:cs="Arial" w:eastAsia="Arial" w:hAnsi="Arial"/>
          <w:sz w:val="20"/>
          <w:szCs w:val="20"/>
          <w:color w:val="auto"/>
        </w:rPr>
        <w:t>This notice of extension will describe the special circumstances necessitating the additional time and the date by which the Administrator is to render its decision on the application.</w:t>
      </w:r>
    </w:p>
    <w:p>
      <w:pPr>
        <w:spacing w:after="0" w:line="171" w:lineRule="exact"/>
        <w:rPr>
          <w:sz w:val="20"/>
          <w:szCs w:val="20"/>
          <w:color w:val="auto"/>
        </w:rPr>
      </w:pPr>
    </w:p>
    <w:p>
      <w:pPr>
        <w:ind w:firstLine="656"/>
        <w:spacing w:after="0" w:line="267" w:lineRule="auto"/>
        <w:tabs>
          <w:tab w:leader="none" w:pos="1286" w:val="left"/>
        </w:tabs>
        <w:numPr>
          <w:ilvl w:val="0"/>
          <w:numId w:val="61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Request for a Review. </w:t>
      </w:r>
      <w:r>
        <w:rPr>
          <w:rFonts w:ascii="Arial" w:cs="Arial" w:eastAsia="Arial" w:hAnsi="Arial"/>
          <w:sz w:val="20"/>
          <w:szCs w:val="20"/>
          <w:color w:val="auto"/>
        </w:rPr>
        <w:t>Any person (or that person’s authorized representative) for whom an application for benefits is</w:t>
      </w:r>
      <w:r>
        <w:rPr>
          <w:rFonts w:ascii="Arial" w:cs="Arial" w:eastAsia="Arial" w:hAnsi="Arial"/>
          <w:sz w:val="20"/>
          <w:szCs w:val="20"/>
          <w:b w:val="1"/>
          <w:bCs w:val="1"/>
          <w:color w:val="auto"/>
        </w:rPr>
        <w:t xml:space="preserve"> </w:t>
      </w:r>
      <w:r>
        <w:rPr>
          <w:rFonts w:ascii="Arial" w:cs="Arial" w:eastAsia="Arial" w:hAnsi="Arial"/>
          <w:sz w:val="20"/>
          <w:szCs w:val="20"/>
          <w:color w:val="auto"/>
        </w:rPr>
        <w:t>denied, in whole or in part, may appeal the denial by submitting a request for</w:t>
      </w:r>
    </w:p>
    <w:p>
      <w:pPr>
        <w:sectPr>
          <w:pgSz w:w="11900" w:h="16838" w:orient="portrait"/>
          <w:cols w:equalWidth="0" w:num="1">
            <w:col w:w="11240"/>
          </w:cols>
          <w:pgMar w:left="320" w:top="1420" w:right="339" w:bottom="1440" w:gutter="0" w:footer="0" w:header="0"/>
        </w:sectPr>
      </w:pPr>
    </w:p>
    <w:bookmarkStart w:id="635" w:name="page636"/>
    <w:bookmarkEnd w:id="635"/>
    <w:p>
      <w:pPr>
        <w:spacing w:after="0" w:line="260" w:lineRule="auto"/>
        <w:rPr>
          <w:sz w:val="20"/>
          <w:szCs w:val="20"/>
          <w:color w:val="auto"/>
        </w:rPr>
      </w:pPr>
      <w:r>
        <w:rPr>
          <w:rFonts w:ascii="Arial" w:cs="Arial" w:eastAsia="Arial" w:hAnsi="Arial"/>
          <w:sz w:val="20"/>
          <w:szCs w:val="20"/>
          <w:color w:val="auto"/>
        </w:rPr>
        <w:t>a review to the Administrator within sixty (60) days after the application is denied. A request for a review shall be in writing and shall be addressed to:</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NerdWallet,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Change of Control and Severance Policy Administrator</w:t>
      </w:r>
    </w:p>
    <w:p>
      <w:pPr>
        <w:jc w:val="center"/>
        <w:ind w:right="-19"/>
        <w:spacing w:after="0"/>
        <w:rPr>
          <w:sz w:val="20"/>
          <w:szCs w:val="20"/>
          <w:color w:val="auto"/>
        </w:rPr>
      </w:pPr>
      <w:r>
        <w:rPr>
          <w:rFonts w:ascii="Arial" w:cs="Arial" w:eastAsia="Arial" w:hAnsi="Arial"/>
          <w:sz w:val="20"/>
          <w:szCs w:val="20"/>
          <w:color w:val="auto"/>
        </w:rPr>
        <w:t>875 Stevenson Street, Fifth Floor</w:t>
      </w:r>
    </w:p>
    <w:p>
      <w:pPr>
        <w:jc w:val="center"/>
        <w:ind w:right="-19"/>
        <w:spacing w:after="0"/>
        <w:rPr>
          <w:sz w:val="20"/>
          <w:szCs w:val="20"/>
          <w:color w:val="auto"/>
        </w:rPr>
      </w:pPr>
      <w:r>
        <w:rPr>
          <w:rFonts w:ascii="Arial" w:cs="Arial" w:eastAsia="Arial" w:hAnsi="Arial"/>
          <w:sz w:val="20"/>
          <w:szCs w:val="20"/>
          <w:color w:val="auto"/>
        </w:rPr>
        <w:t>San Francisco, CA 94103</w:t>
      </w:r>
    </w:p>
    <w:p>
      <w:pPr>
        <w:spacing w:after="0" w:line="200"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A request for review must set forth all of the grounds on which it is based, all facts in support of the request and any other matters that the applicant feels are pertinent. The applicant (or a representative) shall have the opportunity to submit (or the Administrator may require the applicant to submit) written comments, documents, records, and other information relating to his or her claim. The applicant (or a representative) shall be provided, upon request and free of charge, reasonable access to, and copies of, all documents, records and other information relevant to such claim. The review shall take into account all comments, documents, records and other information submitted by the applicant (or a representative) relating to the claim, without regard to whether such information was submitted or considered in the initial benefit determination.</w:t>
      </w:r>
    </w:p>
    <w:p>
      <w:pPr>
        <w:spacing w:after="0" w:line="187" w:lineRule="exact"/>
        <w:rPr>
          <w:sz w:val="20"/>
          <w:szCs w:val="20"/>
          <w:color w:val="auto"/>
        </w:rPr>
      </w:pPr>
    </w:p>
    <w:p>
      <w:pPr>
        <w:jc w:val="both"/>
        <w:ind w:firstLine="656"/>
        <w:spacing w:after="0" w:line="243" w:lineRule="auto"/>
        <w:tabs>
          <w:tab w:leader="none" w:pos="1295" w:val="left"/>
        </w:tabs>
        <w:numPr>
          <w:ilvl w:val="0"/>
          <w:numId w:val="61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Decision on Review. </w:t>
      </w:r>
      <w:r>
        <w:rPr>
          <w:rFonts w:ascii="Arial" w:cs="Arial" w:eastAsia="Arial" w:hAnsi="Arial"/>
          <w:sz w:val="20"/>
          <w:szCs w:val="20"/>
          <w:color w:val="auto"/>
        </w:rPr>
        <w:t>The Administrator will act on each request for review within sixty (60) days after receipt of the request,</w:t>
      </w:r>
      <w:r>
        <w:rPr>
          <w:rFonts w:ascii="Arial" w:cs="Arial" w:eastAsia="Arial" w:hAnsi="Arial"/>
          <w:sz w:val="20"/>
          <w:szCs w:val="20"/>
          <w:b w:val="1"/>
          <w:bCs w:val="1"/>
          <w:color w:val="auto"/>
        </w:rPr>
        <w:t xml:space="preserve"> </w:t>
      </w:r>
      <w:r>
        <w:rPr>
          <w:rFonts w:ascii="Arial" w:cs="Arial" w:eastAsia="Arial" w:hAnsi="Arial"/>
          <w:sz w:val="20"/>
          <w:szCs w:val="20"/>
          <w:color w:val="auto"/>
        </w:rPr>
        <w:t>unless special circumstances require an extension of time (not to exceed an additional sixty (60) days), for processing the request for a review. If an extension for review is required, written notice of the extension will be furnished to the applicant within the initial sixty (60) day period. This notice of extension will describe the special circumstances necessitating the additional time and the date by which the Administrator is to render its decision on the review. The Administrator will give prompt, written or electronic notice of its decision to the applicant. Any electronic notice will comply with the regulations of the U.S. Department of Labor. In the event that the Administrator confirms the denial of the application for benefits in whole or in part, the notice will set forth, in a manner calculated to be understood by the applicant, the following:</w:t>
      </w:r>
    </w:p>
    <w:p>
      <w:pPr>
        <w:spacing w:after="0" w:line="195" w:lineRule="exact"/>
        <w:rPr>
          <w:rFonts w:ascii="Arial" w:cs="Arial" w:eastAsia="Arial" w:hAnsi="Arial"/>
          <w:sz w:val="20"/>
          <w:szCs w:val="20"/>
          <w:b w:val="1"/>
          <w:bCs w:val="1"/>
          <w:color w:val="auto"/>
        </w:rPr>
      </w:pPr>
    </w:p>
    <w:p>
      <w:pPr>
        <w:ind w:left="1720" w:hanging="280"/>
        <w:spacing w:after="0"/>
        <w:tabs>
          <w:tab w:leader="none" w:pos="1720" w:val="left"/>
        </w:tabs>
        <w:numPr>
          <w:ilvl w:val="1"/>
          <w:numId w:val="612"/>
        </w:numPr>
        <w:rPr>
          <w:rFonts w:ascii="Arial" w:cs="Arial" w:eastAsia="Arial" w:hAnsi="Arial"/>
          <w:sz w:val="20"/>
          <w:szCs w:val="20"/>
          <w:b w:val="1"/>
          <w:bCs w:val="1"/>
          <w:color w:val="auto"/>
        </w:rPr>
      </w:pPr>
      <w:r>
        <w:rPr>
          <w:rFonts w:ascii="Arial" w:cs="Arial" w:eastAsia="Arial" w:hAnsi="Arial"/>
          <w:sz w:val="20"/>
          <w:szCs w:val="20"/>
          <w:color w:val="auto"/>
        </w:rPr>
        <w:t>the specific reason or reasons for the denial;</w:t>
      </w:r>
    </w:p>
    <w:p>
      <w:pPr>
        <w:spacing w:after="0" w:line="215" w:lineRule="exact"/>
        <w:rPr>
          <w:rFonts w:ascii="Arial" w:cs="Arial" w:eastAsia="Arial" w:hAnsi="Arial"/>
          <w:sz w:val="20"/>
          <w:szCs w:val="20"/>
          <w:b w:val="1"/>
          <w:bCs w:val="1"/>
          <w:color w:val="auto"/>
        </w:rPr>
      </w:pPr>
    </w:p>
    <w:p>
      <w:pPr>
        <w:ind w:left="1720" w:hanging="280"/>
        <w:spacing w:after="0"/>
        <w:tabs>
          <w:tab w:leader="none" w:pos="1720" w:val="left"/>
        </w:tabs>
        <w:numPr>
          <w:ilvl w:val="1"/>
          <w:numId w:val="612"/>
        </w:numPr>
        <w:rPr>
          <w:rFonts w:ascii="Arial" w:cs="Arial" w:eastAsia="Arial" w:hAnsi="Arial"/>
          <w:sz w:val="20"/>
          <w:szCs w:val="20"/>
          <w:b w:val="1"/>
          <w:bCs w:val="1"/>
          <w:color w:val="auto"/>
        </w:rPr>
      </w:pPr>
      <w:r>
        <w:rPr>
          <w:rFonts w:ascii="Arial" w:cs="Arial" w:eastAsia="Arial" w:hAnsi="Arial"/>
          <w:sz w:val="20"/>
          <w:szCs w:val="20"/>
          <w:color w:val="auto"/>
        </w:rPr>
        <w:t>references to the specific Policy provisions upon which the denial is based;</w:t>
      </w:r>
    </w:p>
    <w:p>
      <w:pPr>
        <w:spacing w:after="0" w:line="215" w:lineRule="exact"/>
        <w:rPr>
          <w:rFonts w:ascii="Arial" w:cs="Arial" w:eastAsia="Arial" w:hAnsi="Arial"/>
          <w:sz w:val="20"/>
          <w:szCs w:val="20"/>
          <w:b w:val="1"/>
          <w:bCs w:val="1"/>
          <w:color w:val="auto"/>
        </w:rPr>
      </w:pPr>
    </w:p>
    <w:p>
      <w:pPr>
        <w:ind w:right="60" w:firstLine="1440"/>
        <w:spacing w:after="0" w:line="260" w:lineRule="auto"/>
        <w:tabs>
          <w:tab w:leader="none" w:pos="1712" w:val="left"/>
        </w:tabs>
        <w:numPr>
          <w:ilvl w:val="1"/>
          <w:numId w:val="612"/>
        </w:numPr>
        <w:rPr>
          <w:rFonts w:ascii="Arial" w:cs="Arial" w:eastAsia="Arial" w:hAnsi="Arial"/>
          <w:sz w:val="20"/>
          <w:szCs w:val="20"/>
          <w:b w:val="1"/>
          <w:bCs w:val="1"/>
          <w:color w:val="auto"/>
        </w:rPr>
      </w:pPr>
      <w:r>
        <w:rPr>
          <w:rFonts w:ascii="Arial" w:cs="Arial" w:eastAsia="Arial" w:hAnsi="Arial"/>
          <w:sz w:val="20"/>
          <w:szCs w:val="20"/>
          <w:color w:val="auto"/>
        </w:rPr>
        <w:t>a statement that the applicant is entitled to receive, upon request and free of charge, reasonable access to, and copies of, all documents, records and other information relevant to his or her claim; and</w:t>
      </w:r>
    </w:p>
    <w:p>
      <w:pPr>
        <w:spacing w:after="0" w:line="176" w:lineRule="exact"/>
        <w:rPr>
          <w:rFonts w:ascii="Arial" w:cs="Arial" w:eastAsia="Arial" w:hAnsi="Arial"/>
          <w:sz w:val="20"/>
          <w:szCs w:val="20"/>
          <w:b w:val="1"/>
          <w:bCs w:val="1"/>
          <w:color w:val="auto"/>
        </w:rPr>
      </w:pPr>
    </w:p>
    <w:p>
      <w:pPr>
        <w:ind w:left="1720" w:hanging="280"/>
        <w:spacing w:after="0"/>
        <w:tabs>
          <w:tab w:leader="none" w:pos="1720" w:val="left"/>
        </w:tabs>
        <w:numPr>
          <w:ilvl w:val="1"/>
          <w:numId w:val="612"/>
        </w:numPr>
        <w:rPr>
          <w:rFonts w:ascii="Arial" w:cs="Arial" w:eastAsia="Arial" w:hAnsi="Arial"/>
          <w:sz w:val="20"/>
          <w:szCs w:val="20"/>
          <w:b w:val="1"/>
          <w:bCs w:val="1"/>
          <w:color w:val="auto"/>
        </w:rPr>
      </w:pPr>
      <w:r>
        <w:rPr>
          <w:rFonts w:ascii="Arial" w:cs="Arial" w:eastAsia="Arial" w:hAnsi="Arial"/>
          <w:sz w:val="20"/>
          <w:szCs w:val="20"/>
          <w:color w:val="auto"/>
        </w:rPr>
        <w:t>a statement of the applicant’s right to bring a civil action under Section 502(a) of ERISA.</w:t>
      </w:r>
    </w:p>
    <w:p>
      <w:pPr>
        <w:spacing w:after="0" w:line="209" w:lineRule="exact"/>
        <w:rPr>
          <w:rFonts w:ascii="Arial" w:cs="Arial" w:eastAsia="Arial" w:hAnsi="Arial"/>
          <w:sz w:val="20"/>
          <w:szCs w:val="20"/>
          <w:b w:val="1"/>
          <w:bCs w:val="1"/>
          <w:color w:val="auto"/>
        </w:rPr>
      </w:pPr>
    </w:p>
    <w:p>
      <w:pPr>
        <w:jc w:val="both"/>
        <w:ind w:firstLine="656"/>
        <w:spacing w:after="0" w:line="294" w:lineRule="auto"/>
        <w:tabs>
          <w:tab w:leader="none" w:pos="1286" w:val="left"/>
        </w:tabs>
        <w:numPr>
          <w:ilvl w:val="0"/>
          <w:numId w:val="6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Rules and Procedures. </w:t>
      </w:r>
      <w:r>
        <w:rPr>
          <w:rFonts w:ascii="Arial" w:cs="Arial" w:eastAsia="Arial" w:hAnsi="Arial"/>
          <w:sz w:val="18"/>
          <w:szCs w:val="18"/>
          <w:color w:val="auto"/>
        </w:rPr>
        <w:t>The Administrator will establish rules and procedures, consistent with the Policy and with ERISA,</w:t>
      </w:r>
      <w:r>
        <w:rPr>
          <w:rFonts w:ascii="Arial" w:cs="Arial" w:eastAsia="Arial" w:hAnsi="Arial"/>
          <w:sz w:val="18"/>
          <w:szCs w:val="18"/>
          <w:b w:val="1"/>
          <w:bCs w:val="1"/>
          <w:color w:val="auto"/>
        </w:rPr>
        <w:t xml:space="preserve"> </w:t>
      </w:r>
      <w:r>
        <w:rPr>
          <w:rFonts w:ascii="Arial" w:cs="Arial" w:eastAsia="Arial" w:hAnsi="Arial"/>
          <w:sz w:val="18"/>
          <w:szCs w:val="18"/>
          <w:color w:val="auto"/>
        </w:rPr>
        <w:t>as necessary and appropriate in carrying out its responsibilities in reviewing benefit claims. The Administrator may require an applicant who wishes to submit additional information in connection with an appeal from the denial of benefits to do so at the applicant’s own expense.</w:t>
      </w:r>
    </w:p>
    <w:p>
      <w:pPr>
        <w:spacing w:after="0" w:line="143" w:lineRule="exact"/>
        <w:rPr>
          <w:rFonts w:ascii="Arial" w:cs="Arial" w:eastAsia="Arial" w:hAnsi="Arial"/>
          <w:sz w:val="18"/>
          <w:szCs w:val="18"/>
          <w:b w:val="1"/>
          <w:bCs w:val="1"/>
          <w:color w:val="auto"/>
        </w:rPr>
      </w:pPr>
    </w:p>
    <w:p>
      <w:pPr>
        <w:jc w:val="both"/>
        <w:ind w:firstLine="656"/>
        <w:spacing w:after="0" w:line="294" w:lineRule="auto"/>
        <w:tabs>
          <w:tab w:leader="none" w:pos="1291" w:val="left"/>
        </w:tabs>
        <w:numPr>
          <w:ilvl w:val="0"/>
          <w:numId w:val="6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Exhaustion of Remedies. </w:t>
      </w:r>
      <w:r>
        <w:rPr>
          <w:rFonts w:ascii="Arial" w:cs="Arial" w:eastAsia="Arial" w:hAnsi="Arial"/>
          <w:sz w:val="18"/>
          <w:szCs w:val="18"/>
          <w:color w:val="auto"/>
        </w:rPr>
        <w:t>No legal action for benefits under the Policy may be brought until the applicant (i) has submitted a</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application for benefits in accordance with the procedures described by Section 11(a) above, (ii) has been notified by the Administrator that the application is denied, (iii) has filed a written request for a review of the application in accordance with the appeal</w:t>
      </w:r>
    </w:p>
    <w:p>
      <w:pPr>
        <w:sectPr>
          <w:pgSz w:w="11900" w:h="16838" w:orient="portrait"/>
          <w:cols w:equalWidth="0" w:num="1">
            <w:col w:w="11240"/>
          </w:cols>
          <w:pgMar w:left="320" w:top="1419" w:right="339" w:bottom="1440" w:gutter="0" w:footer="0" w:header="0"/>
        </w:sectPr>
      </w:pPr>
    </w:p>
    <w:bookmarkStart w:id="636" w:name="page637"/>
    <w:bookmarkEnd w:id="636"/>
    <w:p>
      <w:pPr>
        <w:jc w:val="both"/>
        <w:spacing w:after="0" w:line="269" w:lineRule="auto"/>
        <w:rPr>
          <w:sz w:val="20"/>
          <w:szCs w:val="20"/>
          <w:color w:val="auto"/>
        </w:rPr>
      </w:pPr>
      <w:r>
        <w:rPr>
          <w:rFonts w:ascii="Arial" w:cs="Arial" w:eastAsia="Arial" w:hAnsi="Arial"/>
          <w:sz w:val="19"/>
          <w:szCs w:val="19"/>
          <w:color w:val="auto"/>
        </w:rPr>
        <w:t>procedure described in Section 11(c) above, and (iv) has been notified that the Administrator has denied the appeal. Notwithstanding the foregoing, if the Administrator does not respond to a Participant’s claim or appeal within the relevant time limits specified in this Section 11, the Participant may bring legal action for benefits under the Policy pursuant to Section 502(a) of ERISA.</w:t>
      </w:r>
    </w:p>
    <w:p>
      <w:pPr>
        <w:spacing w:after="0" w:line="164" w:lineRule="exact"/>
        <w:rPr>
          <w:sz w:val="20"/>
          <w:szCs w:val="20"/>
          <w:color w:val="auto"/>
        </w:rPr>
      </w:pPr>
    </w:p>
    <w:p>
      <w:pPr>
        <w:ind w:left="640" w:hanging="632"/>
        <w:spacing w:after="0"/>
        <w:tabs>
          <w:tab w:leader="none" w:pos="640" w:val="left"/>
        </w:tabs>
        <w:numPr>
          <w:ilvl w:val="0"/>
          <w:numId w:val="613"/>
        </w:numPr>
        <w:rPr>
          <w:rFonts w:ascii="Arial" w:cs="Arial" w:eastAsia="Arial" w:hAnsi="Arial"/>
          <w:sz w:val="20"/>
          <w:szCs w:val="20"/>
          <w:b w:val="1"/>
          <w:bCs w:val="1"/>
          <w:color w:val="auto"/>
        </w:rPr>
      </w:pPr>
      <w:r>
        <w:rPr>
          <w:rFonts w:ascii="Arial" w:cs="Arial" w:eastAsia="Arial" w:hAnsi="Arial"/>
          <w:sz w:val="20"/>
          <w:szCs w:val="20"/>
          <w:b w:val="1"/>
          <w:bCs w:val="1"/>
          <w:color w:val="auto"/>
        </w:rPr>
        <w:t>Basis of Payments to and from the Policy.</w:t>
      </w:r>
    </w:p>
    <w:p>
      <w:pPr>
        <w:spacing w:after="0" w:line="221"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18"/>
          <w:szCs w:val="18"/>
          <w:color w:val="auto"/>
        </w:rPr>
        <w:t>The Policy shall be unfunded, and all cash payments under the Policy shall be paid only from the general assets of the Company.</w:t>
      </w:r>
    </w:p>
    <w:p>
      <w:pPr>
        <w:spacing w:after="0" w:line="232" w:lineRule="exact"/>
        <w:rPr>
          <w:rFonts w:ascii="Arial" w:cs="Arial" w:eastAsia="Arial" w:hAnsi="Arial"/>
          <w:sz w:val="20"/>
          <w:szCs w:val="20"/>
          <w:b w:val="1"/>
          <w:bCs w:val="1"/>
          <w:color w:val="auto"/>
        </w:rPr>
      </w:pPr>
    </w:p>
    <w:p>
      <w:pPr>
        <w:ind w:left="640" w:hanging="632"/>
        <w:spacing w:after="0"/>
        <w:tabs>
          <w:tab w:leader="none" w:pos="640" w:val="left"/>
        </w:tabs>
        <w:numPr>
          <w:ilvl w:val="0"/>
          <w:numId w:val="613"/>
        </w:numPr>
        <w:rPr>
          <w:rFonts w:ascii="Arial" w:cs="Arial" w:eastAsia="Arial" w:hAnsi="Arial"/>
          <w:sz w:val="20"/>
          <w:szCs w:val="20"/>
          <w:b w:val="1"/>
          <w:bCs w:val="1"/>
          <w:color w:val="auto"/>
        </w:rPr>
      </w:pPr>
      <w:r>
        <w:rPr>
          <w:rFonts w:ascii="Arial" w:cs="Arial" w:eastAsia="Arial" w:hAnsi="Arial"/>
          <w:sz w:val="20"/>
          <w:szCs w:val="20"/>
          <w:b w:val="1"/>
          <w:bCs w:val="1"/>
          <w:color w:val="auto"/>
        </w:rPr>
        <w:t>Other Policy Information.</w:t>
      </w:r>
    </w:p>
    <w:p>
      <w:pPr>
        <w:spacing w:after="0" w:line="215" w:lineRule="exact"/>
        <w:rPr>
          <w:rFonts w:ascii="Arial" w:cs="Arial" w:eastAsia="Arial" w:hAnsi="Arial"/>
          <w:sz w:val="20"/>
          <w:szCs w:val="20"/>
          <w:b w:val="1"/>
          <w:bCs w:val="1"/>
          <w:color w:val="auto"/>
        </w:rPr>
      </w:pPr>
    </w:p>
    <w:p>
      <w:pPr>
        <w:jc w:val="both"/>
        <w:ind w:firstLine="656"/>
        <w:spacing w:after="0" w:line="253" w:lineRule="auto"/>
        <w:tabs>
          <w:tab w:leader="none" w:pos="1284" w:val="left"/>
        </w:tabs>
        <w:numPr>
          <w:ilvl w:val="1"/>
          <w:numId w:val="61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Employer and Identification Numbers. </w:t>
      </w:r>
      <w:r>
        <w:rPr>
          <w:rFonts w:ascii="Arial" w:cs="Arial" w:eastAsia="Arial" w:hAnsi="Arial"/>
          <w:sz w:val="20"/>
          <w:szCs w:val="20"/>
          <w:color w:val="auto"/>
        </w:rPr>
        <w:t>The Employer Identification Number assigned to the Company (which is the “Plan</w:t>
      </w:r>
      <w:r>
        <w:rPr>
          <w:rFonts w:ascii="Arial" w:cs="Arial" w:eastAsia="Arial" w:hAnsi="Arial"/>
          <w:sz w:val="20"/>
          <w:szCs w:val="20"/>
          <w:b w:val="1"/>
          <w:bCs w:val="1"/>
          <w:color w:val="auto"/>
        </w:rPr>
        <w:t xml:space="preserve"> </w:t>
      </w:r>
      <w:r>
        <w:rPr>
          <w:rFonts w:ascii="Arial" w:cs="Arial" w:eastAsia="Arial" w:hAnsi="Arial"/>
          <w:sz w:val="20"/>
          <w:szCs w:val="20"/>
          <w:color w:val="auto"/>
        </w:rPr>
        <w:t>Sponsor” as that term is used in ERISA) by the Internal Revenue Service is 45-4180440. The Plan Number assigned to the Policy by the Plan Sponsor pursuant to the instructions of the Internal Revenue Service is 502.</w:t>
      </w:r>
    </w:p>
    <w:p>
      <w:pPr>
        <w:spacing w:after="0" w:line="177" w:lineRule="exact"/>
        <w:rPr>
          <w:rFonts w:ascii="Arial" w:cs="Arial" w:eastAsia="Arial" w:hAnsi="Arial"/>
          <w:sz w:val="20"/>
          <w:szCs w:val="20"/>
          <w:b w:val="1"/>
          <w:bCs w:val="1"/>
          <w:color w:val="auto"/>
        </w:rPr>
      </w:pPr>
    </w:p>
    <w:p>
      <w:pPr>
        <w:ind w:right="20" w:firstLine="656"/>
        <w:spacing w:after="0" w:line="267" w:lineRule="auto"/>
        <w:tabs>
          <w:tab w:leader="none" w:pos="1295" w:val="left"/>
        </w:tabs>
        <w:numPr>
          <w:ilvl w:val="1"/>
          <w:numId w:val="61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Ending Date for Policy’s Fiscal Year. </w:t>
      </w:r>
      <w:r>
        <w:rPr>
          <w:rFonts w:ascii="Arial" w:cs="Arial" w:eastAsia="Arial" w:hAnsi="Arial"/>
          <w:sz w:val="20"/>
          <w:szCs w:val="20"/>
          <w:color w:val="auto"/>
        </w:rPr>
        <w:t>The date of the end of the fiscal year for the purpose of maintaining the Policy’s</w:t>
      </w:r>
      <w:r>
        <w:rPr>
          <w:rFonts w:ascii="Arial" w:cs="Arial" w:eastAsia="Arial" w:hAnsi="Arial"/>
          <w:sz w:val="20"/>
          <w:szCs w:val="20"/>
          <w:b w:val="1"/>
          <w:bCs w:val="1"/>
          <w:color w:val="auto"/>
        </w:rPr>
        <w:t xml:space="preserve"> </w:t>
      </w:r>
      <w:r>
        <w:rPr>
          <w:rFonts w:ascii="Arial" w:cs="Arial" w:eastAsia="Arial" w:hAnsi="Arial"/>
          <w:sz w:val="20"/>
          <w:szCs w:val="20"/>
          <w:color w:val="auto"/>
        </w:rPr>
        <w:t>records is December 31.</w:t>
      </w:r>
    </w:p>
    <w:p>
      <w:pPr>
        <w:spacing w:after="0" w:line="163" w:lineRule="exact"/>
        <w:rPr>
          <w:rFonts w:ascii="Arial" w:cs="Arial" w:eastAsia="Arial" w:hAnsi="Arial"/>
          <w:sz w:val="20"/>
          <w:szCs w:val="20"/>
          <w:b w:val="1"/>
          <w:bCs w:val="1"/>
          <w:color w:val="auto"/>
        </w:rPr>
      </w:pPr>
    </w:p>
    <w:p>
      <w:pPr>
        <w:ind w:left="1300" w:hanging="644"/>
        <w:spacing w:after="0"/>
        <w:tabs>
          <w:tab w:leader="none" w:pos="1300" w:val="left"/>
        </w:tabs>
        <w:numPr>
          <w:ilvl w:val="1"/>
          <w:numId w:val="61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Agent for the Service of Legal Process. </w:t>
      </w:r>
      <w:r>
        <w:rPr>
          <w:rFonts w:ascii="Arial" w:cs="Arial" w:eastAsia="Arial" w:hAnsi="Arial"/>
          <w:sz w:val="19"/>
          <w:szCs w:val="19"/>
          <w:color w:val="auto"/>
        </w:rPr>
        <w:t>The agent for the service of legal process with respect to the Policy is: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NerdWallet,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875 Stevenson Street, Fifth Floor</w:t>
      </w:r>
    </w:p>
    <w:p>
      <w:pPr>
        <w:jc w:val="center"/>
        <w:spacing w:after="0"/>
        <w:rPr>
          <w:sz w:val="20"/>
          <w:szCs w:val="20"/>
          <w:color w:val="auto"/>
        </w:rPr>
      </w:pPr>
      <w:r>
        <w:rPr>
          <w:rFonts w:ascii="Arial" w:cs="Arial" w:eastAsia="Arial" w:hAnsi="Arial"/>
          <w:sz w:val="20"/>
          <w:szCs w:val="20"/>
          <w:color w:val="auto"/>
        </w:rPr>
        <w:t>San Francisco, CA 94103</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In addition, service of legal process may be made upon the Administrator.</w:t>
      </w:r>
    </w:p>
    <w:p>
      <w:pPr>
        <w:spacing w:after="0" w:line="210" w:lineRule="exact"/>
        <w:rPr>
          <w:sz w:val="20"/>
          <w:szCs w:val="20"/>
          <w:color w:val="auto"/>
        </w:rPr>
      </w:pPr>
    </w:p>
    <w:p>
      <w:pPr>
        <w:ind w:left="1300" w:hanging="644"/>
        <w:spacing w:after="0"/>
        <w:tabs>
          <w:tab w:leader="none" w:pos="1300" w:val="left"/>
        </w:tabs>
        <w:numPr>
          <w:ilvl w:val="0"/>
          <w:numId w:val="61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Plan Sponsor. </w:t>
      </w:r>
      <w:r>
        <w:rPr>
          <w:rFonts w:ascii="Arial" w:cs="Arial" w:eastAsia="Arial" w:hAnsi="Arial"/>
          <w:sz w:val="20"/>
          <w:szCs w:val="20"/>
          <w:color w:val="auto"/>
        </w:rPr>
        <w:t>The “Plan Sponsor” is: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NerdWallet,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875 Stevenson Street, Fifth Floor</w:t>
      </w:r>
    </w:p>
    <w:p>
      <w:pPr>
        <w:jc w:val="center"/>
        <w:spacing w:after="0"/>
        <w:rPr>
          <w:sz w:val="20"/>
          <w:szCs w:val="20"/>
          <w:color w:val="auto"/>
        </w:rPr>
      </w:pPr>
      <w:r>
        <w:rPr>
          <w:rFonts w:ascii="Arial" w:cs="Arial" w:eastAsia="Arial" w:hAnsi="Arial"/>
          <w:sz w:val="20"/>
          <w:szCs w:val="20"/>
          <w:color w:val="auto"/>
        </w:rPr>
        <w:t>San Francisco, CA 94103</w:t>
      </w:r>
    </w:p>
    <w:p>
      <w:pPr>
        <w:ind w:left="5480" w:hanging="474"/>
        <w:spacing w:after="0"/>
        <w:tabs>
          <w:tab w:leader="none" w:pos="5480" w:val="left"/>
        </w:tabs>
        <w:numPr>
          <w:ilvl w:val="1"/>
          <w:numId w:val="615"/>
        </w:numPr>
        <w:rPr>
          <w:rFonts w:ascii="Arial" w:cs="Arial" w:eastAsia="Arial" w:hAnsi="Arial"/>
          <w:sz w:val="20"/>
          <w:szCs w:val="20"/>
          <w:color w:val="auto"/>
        </w:rPr>
      </w:pPr>
      <w:r>
        <w:rPr>
          <w:rFonts w:ascii="Arial" w:cs="Arial" w:eastAsia="Arial" w:hAnsi="Arial"/>
          <w:sz w:val="20"/>
          <w:szCs w:val="20"/>
          <w:color w:val="auto"/>
        </w:rPr>
        <w:t>549-8913</w:t>
      </w:r>
    </w:p>
    <w:p>
      <w:pPr>
        <w:ind w:firstLine="656"/>
        <w:spacing w:after="0" w:line="244" w:lineRule="auto"/>
        <w:tabs>
          <w:tab w:leader="none" w:pos="1286" w:val="left"/>
        </w:tabs>
        <w:numPr>
          <w:ilvl w:val="0"/>
          <w:numId w:val="61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Administrator. </w:t>
      </w:r>
      <w:r>
        <w:rPr>
          <w:rFonts w:ascii="Arial" w:cs="Arial" w:eastAsia="Arial" w:hAnsi="Arial"/>
          <w:sz w:val="20"/>
          <w:szCs w:val="20"/>
          <w:color w:val="auto"/>
        </w:rPr>
        <w:t>The Administrator is the Board prior to the Closing and the Representative upon and following the Closing.</w:t>
      </w:r>
      <w:r>
        <w:rPr>
          <w:rFonts w:ascii="Arial" w:cs="Arial" w:eastAsia="Arial" w:hAnsi="Arial"/>
          <w:sz w:val="20"/>
          <w:szCs w:val="20"/>
          <w:b w:val="1"/>
          <w:bCs w:val="1"/>
          <w:color w:val="auto"/>
        </w:rPr>
        <w:t xml:space="preserve"> </w:t>
      </w:r>
      <w:r>
        <w:rPr>
          <w:rFonts w:ascii="Arial" w:cs="Arial" w:eastAsia="Arial" w:hAnsi="Arial"/>
          <w:sz w:val="20"/>
          <w:szCs w:val="20"/>
          <w:color w:val="auto"/>
        </w:rPr>
        <w:t>The Administrator’s contact information is: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NerdWallet,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Board of Directors or Representative</w:t>
      </w:r>
    </w:p>
    <w:p>
      <w:pPr>
        <w:jc w:val="center"/>
        <w:spacing w:after="0"/>
        <w:rPr>
          <w:sz w:val="20"/>
          <w:szCs w:val="20"/>
          <w:color w:val="auto"/>
        </w:rPr>
      </w:pPr>
      <w:r>
        <w:rPr>
          <w:rFonts w:ascii="Arial" w:cs="Arial" w:eastAsia="Arial" w:hAnsi="Arial"/>
          <w:sz w:val="20"/>
          <w:szCs w:val="20"/>
          <w:color w:val="auto"/>
        </w:rPr>
        <w:t>875 Stevenson Street, Fifth Floor</w:t>
      </w:r>
    </w:p>
    <w:p>
      <w:pPr>
        <w:jc w:val="center"/>
        <w:spacing w:after="0"/>
        <w:rPr>
          <w:sz w:val="20"/>
          <w:szCs w:val="20"/>
          <w:color w:val="auto"/>
        </w:rPr>
      </w:pPr>
      <w:r>
        <w:rPr>
          <w:rFonts w:ascii="Arial" w:cs="Arial" w:eastAsia="Arial" w:hAnsi="Arial"/>
          <w:sz w:val="20"/>
          <w:szCs w:val="20"/>
          <w:color w:val="auto"/>
        </w:rPr>
        <w:t>San Francisco, CA 94103</w:t>
      </w:r>
    </w:p>
    <w:p>
      <w:pPr>
        <w:jc w:val="center"/>
        <w:spacing w:after="0"/>
        <w:rPr>
          <w:sz w:val="20"/>
          <w:szCs w:val="20"/>
          <w:color w:val="auto"/>
        </w:rPr>
      </w:pPr>
      <w:r>
        <w:rPr>
          <w:rFonts w:ascii="Arial" w:cs="Arial" w:eastAsia="Arial" w:hAnsi="Arial"/>
          <w:sz w:val="20"/>
          <w:szCs w:val="20"/>
          <w:color w:val="auto"/>
        </w:rPr>
        <w:t>(415) 549-8913</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The Administrator is the named fiduciary charged with the responsibility for administering the Policy.</w:t>
      </w:r>
    </w:p>
    <w:p>
      <w:pPr>
        <w:spacing w:after="0" w:line="216"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Closing</w:t>
      </w:r>
      <w:r>
        <w:rPr>
          <w:rFonts w:ascii="Arial" w:cs="Arial" w:eastAsia="Arial" w:hAnsi="Arial"/>
          <w:sz w:val="20"/>
          <w:szCs w:val="20"/>
          <w:color w:val="auto"/>
        </w:rPr>
        <w:t>” means the initial closing of the Change of Control as defined in the definitive agreement executed in connection with the Change of Control. In the case of a series of transactions constituting a Change of Control, “Closing” means the first closing that satisfies the threshold of the definition for a Change of Control.</w:t>
      </w:r>
    </w:p>
    <w:p>
      <w:pPr>
        <w:sectPr>
          <w:pgSz w:w="11900" w:h="16838" w:orient="portrait"/>
          <w:cols w:equalWidth="0" w:num="1">
            <w:col w:w="11240"/>
          </w:cols>
          <w:pgMar w:left="320" w:top="1420" w:right="339" w:bottom="1440" w:gutter="0" w:footer="0" w:header="0"/>
        </w:sectPr>
      </w:pPr>
    </w:p>
    <w:bookmarkStart w:id="637" w:name="page638"/>
    <w:bookmarkEnd w:id="637"/>
    <w:p>
      <w:pPr>
        <w:spacing w:after="0" w:line="196"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Representative</w:t>
      </w:r>
      <w:r>
        <w:rPr>
          <w:rFonts w:ascii="Arial" w:cs="Arial" w:eastAsia="Arial" w:hAnsi="Arial"/>
          <w:sz w:val="20"/>
          <w:szCs w:val="20"/>
          <w:color w:val="auto"/>
        </w:rPr>
        <w:t>” means one or more members of the Board or the Committee or other persons or entities so designated by the Board or the Committee prior to or in connection with a Change of Control that will have authority to administer and interpret the Policy upon and following the Closing.</w:t>
      </w:r>
    </w:p>
    <w:p>
      <w:pPr>
        <w:spacing w:after="0" w:line="180" w:lineRule="exact"/>
        <w:rPr>
          <w:sz w:val="20"/>
          <w:szCs w:val="20"/>
          <w:color w:val="auto"/>
        </w:rPr>
      </w:pPr>
    </w:p>
    <w:p>
      <w:pPr>
        <w:ind w:left="640" w:hanging="632"/>
        <w:spacing w:after="0"/>
        <w:tabs>
          <w:tab w:leader="none" w:pos="640" w:val="left"/>
        </w:tabs>
        <w:numPr>
          <w:ilvl w:val="0"/>
          <w:numId w:val="617"/>
        </w:numPr>
        <w:rPr>
          <w:rFonts w:ascii="Arial" w:cs="Arial" w:eastAsia="Arial" w:hAnsi="Arial"/>
          <w:sz w:val="20"/>
          <w:szCs w:val="20"/>
          <w:b w:val="1"/>
          <w:bCs w:val="1"/>
          <w:color w:val="auto"/>
        </w:rPr>
      </w:pPr>
      <w:r>
        <w:rPr>
          <w:rFonts w:ascii="Arial" w:cs="Arial" w:eastAsia="Arial" w:hAnsi="Arial"/>
          <w:sz w:val="20"/>
          <w:szCs w:val="20"/>
          <w:b w:val="1"/>
          <w:bCs w:val="1"/>
          <w:color w:val="auto"/>
        </w:rPr>
        <w:t>Statement of ERISA Rights.</w:t>
      </w:r>
    </w:p>
    <w:p>
      <w:pPr>
        <w:spacing w:after="0" w:line="222" w:lineRule="exact"/>
        <w:rPr>
          <w:sz w:val="20"/>
          <w:szCs w:val="20"/>
          <w:color w:val="auto"/>
        </w:rPr>
      </w:pPr>
    </w:p>
    <w:p>
      <w:pPr>
        <w:ind w:right="200" w:firstLine="441"/>
        <w:spacing w:after="0" w:line="316" w:lineRule="auto"/>
        <w:rPr>
          <w:sz w:val="20"/>
          <w:szCs w:val="20"/>
          <w:color w:val="auto"/>
        </w:rPr>
      </w:pPr>
      <w:r>
        <w:rPr>
          <w:rFonts w:ascii="Arial" w:cs="Arial" w:eastAsia="Arial" w:hAnsi="Arial"/>
          <w:sz w:val="18"/>
          <w:szCs w:val="18"/>
          <w:color w:val="auto"/>
        </w:rPr>
        <w:t>Participants in this Policy (which is a welfare benefit plan sponsored by NerdWallet, Inc.) are entitled to certain rights and protections under ERISA. If you are a Participant, you are considered a participant in the Policy and, under ERISA, you are entitled to:</w:t>
      </w:r>
    </w:p>
    <w:p>
      <w:pPr>
        <w:spacing w:after="0" w:line="124" w:lineRule="exact"/>
        <w:rPr>
          <w:sz w:val="20"/>
          <w:szCs w:val="20"/>
          <w:color w:val="auto"/>
        </w:rPr>
      </w:pPr>
    </w:p>
    <w:p>
      <w:pPr>
        <w:ind w:left="1300" w:hanging="644"/>
        <w:spacing w:after="0"/>
        <w:tabs>
          <w:tab w:leader="none" w:pos="1300" w:val="left"/>
        </w:tabs>
        <w:numPr>
          <w:ilvl w:val="0"/>
          <w:numId w:val="618"/>
        </w:numPr>
        <w:rPr>
          <w:rFonts w:ascii="Arial" w:cs="Arial" w:eastAsia="Arial" w:hAnsi="Arial"/>
          <w:sz w:val="20"/>
          <w:szCs w:val="20"/>
          <w:b w:val="1"/>
          <w:bCs w:val="1"/>
          <w:color w:val="auto"/>
        </w:rPr>
      </w:pPr>
      <w:r>
        <w:rPr>
          <w:rFonts w:ascii="Arial" w:cs="Arial" w:eastAsia="Arial" w:hAnsi="Arial"/>
          <w:sz w:val="20"/>
          <w:szCs w:val="20"/>
          <w:b w:val="1"/>
          <w:bCs w:val="1"/>
          <w:color w:val="auto"/>
        </w:rPr>
        <w:t>Receive Information About the Policy and Benefits.</w:t>
      </w:r>
    </w:p>
    <w:p>
      <w:pPr>
        <w:spacing w:after="0" w:line="221" w:lineRule="exact"/>
        <w:rPr>
          <w:rFonts w:ascii="Arial" w:cs="Arial" w:eastAsia="Arial" w:hAnsi="Arial"/>
          <w:sz w:val="20"/>
          <w:szCs w:val="20"/>
          <w:b w:val="1"/>
          <w:bCs w:val="1"/>
          <w:color w:val="auto"/>
        </w:rPr>
      </w:pPr>
    </w:p>
    <w:p>
      <w:pPr>
        <w:ind w:right="380" w:firstLine="1440"/>
        <w:spacing w:after="0" w:line="269" w:lineRule="auto"/>
        <w:tabs>
          <w:tab w:leader="none" w:pos="1910" w:val="left"/>
        </w:tabs>
        <w:numPr>
          <w:ilvl w:val="1"/>
          <w:numId w:val="618"/>
        </w:numPr>
        <w:rPr>
          <w:rFonts w:ascii="Arial" w:cs="Arial" w:eastAsia="Arial" w:hAnsi="Arial"/>
          <w:sz w:val="19"/>
          <w:szCs w:val="19"/>
          <w:b w:val="1"/>
          <w:bCs w:val="1"/>
          <w:color w:val="auto"/>
        </w:rPr>
      </w:pPr>
      <w:r>
        <w:rPr>
          <w:rFonts w:ascii="Arial" w:cs="Arial" w:eastAsia="Arial" w:hAnsi="Arial"/>
          <w:sz w:val="19"/>
          <w:szCs w:val="19"/>
          <w:color w:val="auto"/>
        </w:rPr>
        <w:t>Examine, without charge, at the Administrator’s office and at other specified locations, such as worksites, all documents governing the Policy and a copy of the latest annual report (Form 5500 Series), if applicable, filed by the Policy with the U.S. Department of Labor and available at the Public Disclosure Room of the Employee Benefits Security Administration;</w:t>
      </w:r>
    </w:p>
    <w:p>
      <w:pPr>
        <w:spacing w:after="0" w:line="61" w:lineRule="exact"/>
        <w:rPr>
          <w:rFonts w:ascii="Arial" w:cs="Arial" w:eastAsia="Arial" w:hAnsi="Arial"/>
          <w:sz w:val="19"/>
          <w:szCs w:val="19"/>
          <w:b w:val="1"/>
          <w:bCs w:val="1"/>
          <w:color w:val="auto"/>
        </w:rPr>
      </w:pPr>
    </w:p>
    <w:p>
      <w:pPr>
        <w:ind w:right="360" w:firstLine="1440"/>
        <w:spacing w:after="0" w:line="250" w:lineRule="auto"/>
        <w:tabs>
          <w:tab w:leader="none" w:pos="1910" w:val="left"/>
        </w:tabs>
        <w:numPr>
          <w:ilvl w:val="1"/>
          <w:numId w:val="618"/>
        </w:numPr>
        <w:rPr>
          <w:rFonts w:ascii="Arial" w:cs="Arial" w:eastAsia="Arial" w:hAnsi="Arial"/>
          <w:sz w:val="20"/>
          <w:szCs w:val="20"/>
          <w:b w:val="1"/>
          <w:bCs w:val="1"/>
          <w:color w:val="auto"/>
        </w:rPr>
      </w:pPr>
      <w:r>
        <w:rPr>
          <w:rFonts w:ascii="Arial" w:cs="Arial" w:eastAsia="Arial" w:hAnsi="Arial"/>
          <w:sz w:val="20"/>
          <w:szCs w:val="20"/>
          <w:color w:val="auto"/>
        </w:rPr>
        <w:t>Obtain, upon written request to the Administrator, copies of documents governing the operation of the Policy and copies of the latest annual report (Form 5500 Series), if applicable, and an updated (as necessary) Summary Plan Description. The Administrator may make a reasonable charge for the copies; and</w:t>
      </w:r>
    </w:p>
    <w:p>
      <w:pPr>
        <w:spacing w:after="0" w:line="77" w:lineRule="exact"/>
        <w:rPr>
          <w:rFonts w:ascii="Arial" w:cs="Arial" w:eastAsia="Arial" w:hAnsi="Arial"/>
          <w:sz w:val="20"/>
          <w:szCs w:val="20"/>
          <w:b w:val="1"/>
          <w:bCs w:val="1"/>
          <w:color w:val="auto"/>
        </w:rPr>
      </w:pPr>
    </w:p>
    <w:p>
      <w:pPr>
        <w:ind w:right="400" w:firstLine="1440"/>
        <w:spacing w:after="0" w:line="260" w:lineRule="auto"/>
        <w:tabs>
          <w:tab w:leader="none" w:pos="1910" w:val="left"/>
        </w:tabs>
        <w:numPr>
          <w:ilvl w:val="1"/>
          <w:numId w:val="618"/>
        </w:numPr>
        <w:rPr>
          <w:rFonts w:ascii="Arial" w:cs="Arial" w:eastAsia="Arial" w:hAnsi="Arial"/>
          <w:sz w:val="20"/>
          <w:szCs w:val="20"/>
          <w:b w:val="1"/>
          <w:bCs w:val="1"/>
          <w:color w:val="auto"/>
        </w:rPr>
      </w:pPr>
      <w:r>
        <w:rPr>
          <w:rFonts w:ascii="Arial" w:cs="Arial" w:eastAsia="Arial" w:hAnsi="Arial"/>
          <w:sz w:val="20"/>
          <w:szCs w:val="20"/>
          <w:color w:val="auto"/>
        </w:rPr>
        <w:t>Receive a summary of the Policy’s annual financial report, if applicable. The Administrator is required by law to furnish each Participant with a copy of this summary annual report.</w:t>
      </w:r>
    </w:p>
    <w:p>
      <w:pPr>
        <w:spacing w:after="0" w:line="170" w:lineRule="exact"/>
        <w:rPr>
          <w:rFonts w:ascii="Arial" w:cs="Arial" w:eastAsia="Arial" w:hAnsi="Arial"/>
          <w:sz w:val="20"/>
          <w:szCs w:val="20"/>
          <w:b w:val="1"/>
          <w:bCs w:val="1"/>
          <w:color w:val="auto"/>
        </w:rPr>
      </w:pPr>
    </w:p>
    <w:p>
      <w:pPr>
        <w:jc w:val="both"/>
        <w:ind w:firstLine="656"/>
        <w:spacing w:after="0" w:line="246" w:lineRule="auto"/>
        <w:tabs>
          <w:tab w:leader="none" w:pos="1295" w:val="left"/>
        </w:tabs>
        <w:numPr>
          <w:ilvl w:val="0"/>
          <w:numId w:val="61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Prudent Actions by Policy Fiduciaries. </w:t>
      </w:r>
      <w:r>
        <w:rPr>
          <w:rFonts w:ascii="Arial" w:cs="Arial" w:eastAsia="Arial" w:hAnsi="Arial"/>
          <w:sz w:val="20"/>
          <w:szCs w:val="20"/>
          <w:color w:val="auto"/>
        </w:rPr>
        <w:t>In addition to creating rights for Policy Participants, ERISA imposes duties upon</w:t>
      </w:r>
      <w:r>
        <w:rPr>
          <w:rFonts w:ascii="Arial" w:cs="Arial" w:eastAsia="Arial" w:hAnsi="Arial"/>
          <w:sz w:val="20"/>
          <w:szCs w:val="20"/>
          <w:b w:val="1"/>
          <w:bCs w:val="1"/>
          <w:color w:val="auto"/>
        </w:rPr>
        <w:t xml:space="preserve"> </w:t>
      </w:r>
      <w:r>
        <w:rPr>
          <w:rFonts w:ascii="Arial" w:cs="Arial" w:eastAsia="Arial" w:hAnsi="Arial"/>
          <w:sz w:val="20"/>
          <w:szCs w:val="20"/>
          <w:color w:val="auto"/>
        </w:rPr>
        <w:t>the people who are responsible for the operation of the employee benefit plan. The people who operate the Policy, called “fiduciaries” of the Policy, have a duty to do so prudently and in the interest of you and other Participants and beneficiaries. No one, including your employer, your union or any other person, may fire you or otherwise discriminate against you in any way to prevent you from obtaining a Policy benefit or exercising your rights under ERISA.</w:t>
      </w:r>
    </w:p>
    <w:p>
      <w:pPr>
        <w:spacing w:after="0" w:line="184" w:lineRule="exact"/>
        <w:rPr>
          <w:rFonts w:ascii="Arial" w:cs="Arial" w:eastAsia="Arial" w:hAnsi="Arial"/>
          <w:sz w:val="20"/>
          <w:szCs w:val="20"/>
          <w:b w:val="1"/>
          <w:bCs w:val="1"/>
          <w:color w:val="auto"/>
        </w:rPr>
      </w:pPr>
    </w:p>
    <w:p>
      <w:pPr>
        <w:jc w:val="both"/>
        <w:ind w:firstLine="656"/>
        <w:spacing w:after="0" w:line="253" w:lineRule="auto"/>
        <w:tabs>
          <w:tab w:leader="none" w:pos="1286" w:val="left"/>
        </w:tabs>
        <w:numPr>
          <w:ilvl w:val="0"/>
          <w:numId w:val="61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Enforce Your Rights. </w:t>
      </w:r>
      <w:r>
        <w:rPr>
          <w:rFonts w:ascii="Arial" w:cs="Arial" w:eastAsia="Arial" w:hAnsi="Arial"/>
          <w:sz w:val="20"/>
          <w:szCs w:val="20"/>
          <w:color w:val="auto"/>
        </w:rPr>
        <w:t>If your claim for a Policy benefit is denied or ignored, in whole or in part, you have a right to know</w:t>
      </w:r>
      <w:r>
        <w:rPr>
          <w:rFonts w:ascii="Arial" w:cs="Arial" w:eastAsia="Arial" w:hAnsi="Arial"/>
          <w:sz w:val="20"/>
          <w:szCs w:val="20"/>
          <w:b w:val="1"/>
          <w:bCs w:val="1"/>
          <w:color w:val="auto"/>
        </w:rPr>
        <w:t xml:space="preserve"> </w:t>
      </w:r>
      <w:r>
        <w:rPr>
          <w:rFonts w:ascii="Arial" w:cs="Arial" w:eastAsia="Arial" w:hAnsi="Arial"/>
          <w:sz w:val="20"/>
          <w:szCs w:val="20"/>
          <w:color w:val="auto"/>
        </w:rPr>
        <w:t>why this was done, to obtain copies of documents relating to the decision without charge, and to appeal any denial, all within certain time schedules.</w:t>
      </w:r>
    </w:p>
    <w:p>
      <w:pPr>
        <w:spacing w:after="0" w:line="183" w:lineRule="exact"/>
        <w:rPr>
          <w:sz w:val="20"/>
          <w:szCs w:val="20"/>
          <w:color w:val="auto"/>
        </w:rPr>
      </w:pPr>
    </w:p>
    <w:p>
      <w:pPr>
        <w:ind w:right="60" w:firstLine="1432"/>
        <w:spacing w:after="0" w:line="263" w:lineRule="auto"/>
        <w:rPr>
          <w:sz w:val="20"/>
          <w:szCs w:val="20"/>
          <w:color w:val="auto"/>
        </w:rPr>
      </w:pPr>
      <w:r>
        <w:rPr>
          <w:rFonts w:ascii="Arial" w:cs="Arial" w:eastAsia="Arial" w:hAnsi="Arial"/>
          <w:sz w:val="19"/>
          <w:szCs w:val="19"/>
          <w:color w:val="auto"/>
        </w:rPr>
        <w:t>Under ERISA, there are steps you can take to enforce the above rights. For instance, if you request a copy of Policy documents or the latest annual report from the Policy, if applicable, and do not receive them within thirty (30) days, you may file suit in a Federal court. In such a case, the court may require the Administrator to provide the materials and pay you up to $110 a day until you receive the materials, unless the materials were not sent because of reasons beyond the control of the Administrator.</w:t>
      </w:r>
    </w:p>
    <w:p>
      <w:pPr>
        <w:spacing w:after="0" w:line="17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If you have a claim for benefits which is denied or ignored, in whole or in part, you may file suit in a state or Federal court.</w:t>
      </w:r>
    </w:p>
    <w:p>
      <w:pPr>
        <w:spacing w:after="0" w:line="239" w:lineRule="exact"/>
        <w:rPr>
          <w:sz w:val="20"/>
          <w:szCs w:val="20"/>
          <w:color w:val="auto"/>
        </w:rPr>
      </w:pPr>
    </w:p>
    <w:p>
      <w:pPr>
        <w:ind w:right="100" w:firstLine="1432"/>
        <w:spacing w:after="0" w:line="246" w:lineRule="auto"/>
        <w:rPr>
          <w:sz w:val="20"/>
          <w:szCs w:val="20"/>
          <w:color w:val="auto"/>
        </w:rPr>
      </w:pPr>
      <w:r>
        <w:rPr>
          <w:rFonts w:ascii="Arial" w:cs="Arial" w:eastAsia="Arial" w:hAnsi="Arial"/>
          <w:sz w:val="20"/>
          <w:szCs w:val="20"/>
          <w:color w:val="auto"/>
        </w:rPr>
        <w:t>If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it finds your claim is frivolous.</w:t>
      </w:r>
    </w:p>
    <w:p>
      <w:pPr>
        <w:sectPr>
          <w:pgSz w:w="11900" w:h="16838" w:orient="portrait"/>
          <w:cols w:equalWidth="0" w:num="1">
            <w:col w:w="11240"/>
          </w:cols>
          <w:pgMar w:left="320" w:top="1440" w:right="339" w:bottom="1440" w:gutter="0" w:footer="0" w:header="0"/>
        </w:sectPr>
      </w:pPr>
    </w:p>
    <w:bookmarkStart w:id="638" w:name="page639"/>
    <w:bookmarkEnd w:id="638"/>
    <w:p>
      <w:pPr>
        <w:jc w:val="both"/>
        <w:ind w:firstLine="656"/>
        <w:spacing w:after="0" w:line="277" w:lineRule="auto"/>
        <w:tabs>
          <w:tab w:leader="none" w:pos="1295" w:val="left"/>
        </w:tabs>
        <w:numPr>
          <w:ilvl w:val="0"/>
          <w:numId w:val="6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Assistance with Your Questions. </w:t>
      </w:r>
      <w:r>
        <w:rPr>
          <w:rFonts w:ascii="Arial" w:cs="Arial" w:eastAsia="Arial" w:hAnsi="Arial"/>
          <w:sz w:val="18"/>
          <w:szCs w:val="18"/>
          <w:color w:val="auto"/>
        </w:rPr>
        <w:t>If you have any questions about the Policy, you should contact the Administrator. If you</w:t>
      </w:r>
      <w:r>
        <w:rPr>
          <w:rFonts w:ascii="Arial" w:cs="Arial" w:eastAsia="Arial" w:hAnsi="Arial"/>
          <w:sz w:val="18"/>
          <w:szCs w:val="18"/>
          <w:b w:val="1"/>
          <w:bCs w:val="1"/>
          <w:color w:val="auto"/>
        </w:rPr>
        <w:t xml:space="preserve"> </w:t>
      </w:r>
      <w:r>
        <w:rPr>
          <w:rFonts w:ascii="Arial" w:cs="Arial" w:eastAsia="Arial" w:hAnsi="Arial"/>
          <w:sz w:val="18"/>
          <w:szCs w:val="18"/>
          <w:color w:val="auto"/>
        </w:rPr>
        <w:t>have any questions about this statement or about your rights under ERISA, or if you need assistance in obtaining documents from the Administrator,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t>
      </w:r>
    </w:p>
    <w:p>
      <w:pPr>
        <w:sectPr>
          <w:pgSz w:w="11900" w:h="16838" w:orient="portrait"/>
          <w:cols w:equalWidth="0" w:num="1">
            <w:col w:w="11240"/>
          </w:cols>
          <w:pgMar w:left="320" w:top="1414" w:right="339" w:bottom="1440" w:gutter="0" w:footer="0" w:header="0"/>
        </w:sectPr>
      </w:pPr>
    </w:p>
    <w:bookmarkStart w:id="639" w:name="page640"/>
    <w:bookmarkEnd w:id="639"/>
    <w:p>
      <w:pPr>
        <w:jc w:val="center"/>
        <w:spacing w:after="0"/>
        <w:rPr>
          <w:sz w:val="20"/>
          <w:szCs w:val="20"/>
          <w:color w:val="auto"/>
        </w:rPr>
      </w:pPr>
      <w:r>
        <w:rPr>
          <w:rFonts w:ascii="Arial" w:cs="Arial" w:eastAsia="Arial" w:hAnsi="Arial"/>
          <w:sz w:val="20"/>
          <w:szCs w:val="20"/>
          <w:b w:val="1"/>
          <w:bCs w:val="1"/>
          <w:color w:val="auto"/>
        </w:rPr>
        <w:t>NERDWALLET, INC.</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[Letter Transmission Date]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[Participant First] [Participant Last]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Re: Participation in Change of Control and Severance Policy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Dear [Participant First]:</w:t>
      </w:r>
    </w:p>
    <w:p>
      <w:pPr>
        <w:spacing w:after="0" w:line="21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purpose of this letter is to inform you that you have been designated by NerdWallet,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as a participant in the Company’s Change of Control and Severance Policy, a copy of which is enclosed herewith (as in effect from time to time, the “</w:t>
      </w:r>
      <w:r>
        <w:rPr>
          <w:rFonts w:ascii="Arial" w:cs="Arial" w:eastAsia="Arial" w:hAnsi="Arial"/>
          <w:sz w:val="18"/>
          <w:szCs w:val="18"/>
          <w:b w:val="1"/>
          <w:bCs w:val="1"/>
          <w:i w:val="1"/>
          <w:iCs w:val="1"/>
          <w:color w:val="auto"/>
        </w:rPr>
        <w:t>Policy</w:t>
      </w:r>
      <w:r>
        <w:rPr>
          <w:rFonts w:ascii="Arial" w:cs="Arial" w:eastAsia="Arial" w:hAnsi="Arial"/>
          <w:sz w:val="18"/>
          <w:szCs w:val="18"/>
          <w:color w:val="auto"/>
        </w:rPr>
        <w:t>”). Capitalized terms used in this letter but not otherwise defined herein have the meanings given in the Policy.</w:t>
      </w:r>
    </w:p>
    <w:p>
      <w:pPr>
        <w:spacing w:after="0" w:line="15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Subject to the terms and conditions of the Policy, if you undergo a Qualifying Termination and satisfy the Release Conditions (as well as the other terms and conditions set forth in the Policy), the Company will provide you the benefits described in Sections 2(a) and 2(b) of the Policy.</w:t>
      </w:r>
    </w:p>
    <w:p>
      <w:pPr>
        <w:spacing w:after="0" w:line="32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Subject to the terms and conditions of the Policy, if you undergo a COC Qualifying Termination and satisfy the Release Conditions (as well as the other terms and conditions set forth in the Policy), the Company will provide you the benefits described in Sections 3(a), 3(b) and 3(c) of the Policy.</w:t>
      </w:r>
    </w:p>
    <w:p>
      <w:pPr>
        <w:spacing w:after="0" w:line="32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Your participation in the Policy is governed in all respects by the terms and conditions of the Policy, and in the event of any conflict between this letter and the Policy, the Policy will control.</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By signing below, you acknowledge, understand and agree that the terms of the Policy will supersede and replace any rights to severance or related benefits or accelerated vesting described in any other agreement you may have with the Company, including without limitation any offer letter, employment agreement or agreement evidencing any equity or equity-based award.</w:t>
      </w:r>
    </w:p>
    <w:p>
      <w:pPr>
        <w:spacing w:after="0" w:line="267" w:lineRule="exact"/>
        <w:rPr>
          <w:sz w:val="20"/>
          <w:szCs w:val="20"/>
          <w:color w:val="auto"/>
        </w:rPr>
      </w:pPr>
    </w:p>
    <w:p>
      <w:pPr>
        <w:ind w:left="20"/>
        <w:spacing w:after="0"/>
        <w:rPr>
          <w:sz w:val="20"/>
          <w:szCs w:val="20"/>
          <w:color w:val="auto"/>
        </w:rPr>
      </w:pPr>
      <w:r>
        <w:rPr>
          <w:rFonts w:ascii="Arial" w:cs="Arial" w:eastAsia="Arial" w:hAnsi="Arial"/>
          <w:sz w:val="20"/>
          <w:szCs w:val="20"/>
          <w:color w:val="auto"/>
        </w:rPr>
        <w:t>Sincerely,</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20"/>
          <w:szCs w:val="20"/>
          <w:color w:val="auto"/>
        </w:rPr>
        <w:t>NerdWallet,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8" w:lineRule="exact"/>
        <w:rPr>
          <w:sz w:val="20"/>
          <w:szCs w:val="20"/>
          <w:color w:val="auto"/>
        </w:rPr>
      </w:pPr>
    </w:p>
    <w:p>
      <w:pPr>
        <w:ind w:left="20"/>
        <w:spacing w:after="0"/>
        <w:rPr>
          <w:sz w:val="20"/>
          <w:szCs w:val="20"/>
          <w:color w:val="auto"/>
        </w:rPr>
      </w:pPr>
      <w:r>
        <w:rPr>
          <w:rFonts w:ascii="Arial" w:cs="Arial" w:eastAsia="Arial" w:hAnsi="Arial"/>
          <w:sz w:val="20"/>
          <w:szCs w:val="20"/>
          <w:color w:val="auto"/>
        </w:rPr>
        <w:t>[Company Signatory Name, Title]</w:t>
      </w: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20"/>
          <w:szCs w:val="20"/>
          <w:color w:val="auto"/>
        </w:rPr>
        <w:t>Acknowledged and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1517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98" w:lineRule="exact"/>
        <w:rPr>
          <w:sz w:val="20"/>
          <w:szCs w:val="20"/>
          <w:color w:val="auto"/>
        </w:rPr>
      </w:pPr>
    </w:p>
    <w:p>
      <w:pPr>
        <w:ind w:left="20"/>
        <w:spacing w:after="0"/>
        <w:rPr>
          <w:sz w:val="20"/>
          <w:szCs w:val="20"/>
          <w:color w:val="auto"/>
        </w:rPr>
      </w:pPr>
      <w:r>
        <w:rPr>
          <w:rFonts w:ascii="Arial" w:cs="Arial" w:eastAsia="Arial" w:hAnsi="Arial"/>
          <w:sz w:val="20"/>
          <w:szCs w:val="20"/>
          <w:color w:val="auto"/>
        </w:rPr>
        <w:t>[Participant First] [Participant Last]</w:t>
      </w:r>
    </w:p>
    <w:p>
      <w:pPr>
        <w:spacing w:after="0" w:line="81" w:lineRule="exact"/>
        <w:rPr>
          <w:sz w:val="20"/>
          <w:szCs w:val="20"/>
          <w:color w:val="auto"/>
        </w:rPr>
      </w:pPr>
    </w:p>
    <w:p>
      <w:pPr>
        <w:ind w:left="10320"/>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1517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36195</wp:posOffset>
            </wp:positionV>
            <wp:extent cx="653224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532245"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40" w:name="page641"/>
    <w:bookmarkEnd w:id="640"/>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8340" w:type="dxa"/>
            <w:vAlign w:val="bottom"/>
          </w:tcPr>
          <w:p>
            <w:pPr>
              <w:ind w:left="1000"/>
              <w:spacing w:after="0"/>
              <w:rPr>
                <w:sz w:val="20"/>
                <w:szCs w:val="20"/>
                <w:color w:val="auto"/>
              </w:rPr>
            </w:pPr>
            <w:r>
              <w:rPr>
                <w:rFonts w:ascii="Arial" w:cs="Arial" w:eastAsia="Arial" w:hAnsi="Arial"/>
                <w:sz w:val="18"/>
                <w:szCs w:val="18"/>
                <w:b w:val="1"/>
                <w:bCs w:val="1"/>
                <w:color w:val="auto"/>
              </w:rPr>
              <w:t>SUBSIDIARIES OF NERDWALLET, INC.*</w:t>
            </w:r>
          </w:p>
        </w:tc>
      </w:tr>
      <w:tr>
        <w:trPr>
          <w:trHeight w:val="218"/>
        </w:trPr>
        <w:tc>
          <w:tcPr>
            <w:tcW w:w="2900" w:type="dxa"/>
            <w:vAlign w:val="bottom"/>
          </w:tcPr>
          <w:p>
            <w:pPr>
              <w:ind w:left="20"/>
              <w:spacing w:after="0"/>
              <w:rPr>
                <w:sz w:val="20"/>
                <w:szCs w:val="20"/>
                <w:color w:val="auto"/>
              </w:rPr>
            </w:pPr>
            <w:r>
              <w:rPr>
                <w:rFonts w:ascii="Arial" w:cs="Arial" w:eastAsia="Arial" w:hAnsi="Arial"/>
                <w:sz w:val="14"/>
                <w:szCs w:val="14"/>
                <w:b w:val="1"/>
                <w:bCs w:val="1"/>
                <w:color w:val="auto"/>
              </w:rPr>
              <w:t>Subsidiary name</w:t>
            </w:r>
          </w:p>
        </w:tc>
        <w:tc>
          <w:tcPr>
            <w:tcW w:w="8340" w:type="dxa"/>
            <w:vAlign w:val="bottom"/>
          </w:tcPr>
          <w:p>
            <w:pPr>
              <w:ind w:left="2320"/>
              <w:spacing w:after="0"/>
              <w:rPr>
                <w:sz w:val="20"/>
                <w:szCs w:val="20"/>
                <w:color w:val="auto"/>
              </w:rPr>
            </w:pPr>
            <w:r>
              <w:rPr>
                <w:rFonts w:ascii="Arial" w:cs="Arial" w:eastAsia="Arial" w:hAnsi="Arial"/>
                <w:sz w:val="14"/>
                <w:szCs w:val="14"/>
                <w:b w:val="1"/>
                <w:bCs w:val="1"/>
                <w:color w:val="auto"/>
              </w:rPr>
              <w:t>Jurisdiction of incorporation</w:t>
            </w:r>
          </w:p>
        </w:tc>
      </w:tr>
      <w:tr>
        <w:trPr>
          <w:trHeight w:val="26"/>
        </w:trPr>
        <w:tc>
          <w:tcPr>
            <w:tcW w:w="2900" w:type="dxa"/>
            <w:vAlign w:val="bottom"/>
            <w:tcBorders>
              <w:bottom w:val="single" w:sz="8" w:color="auto"/>
            </w:tcBorders>
          </w:tcPr>
          <w:p>
            <w:pPr>
              <w:spacing w:after="0"/>
              <w:rPr>
                <w:sz w:val="2"/>
                <w:szCs w:val="2"/>
                <w:color w:val="auto"/>
              </w:rPr>
            </w:pPr>
          </w:p>
        </w:tc>
        <w:tc>
          <w:tcPr>
            <w:tcW w:w="8340" w:type="dxa"/>
            <w:vAlign w:val="bottom"/>
            <w:tcBorders>
              <w:bottom w:val="single" w:sz="8" w:color="auto"/>
            </w:tcBorders>
          </w:tcPr>
          <w:p>
            <w:pPr>
              <w:spacing w:after="0"/>
              <w:rPr>
                <w:sz w:val="2"/>
                <w:szCs w:val="2"/>
                <w:color w:val="auto"/>
              </w:rPr>
            </w:pPr>
          </w:p>
        </w:tc>
      </w:tr>
      <w:tr>
        <w:trPr>
          <w:trHeight w:val="294"/>
        </w:trPr>
        <w:tc>
          <w:tcPr>
            <w:tcW w:w="2900" w:type="dxa"/>
            <w:vAlign w:val="bottom"/>
          </w:tcPr>
          <w:p>
            <w:pPr>
              <w:ind w:left="20"/>
              <w:spacing w:after="0"/>
              <w:rPr>
                <w:sz w:val="20"/>
                <w:szCs w:val="20"/>
                <w:color w:val="auto"/>
              </w:rPr>
            </w:pPr>
            <w:r>
              <w:rPr>
                <w:rFonts w:ascii="Arial" w:cs="Arial" w:eastAsia="Arial" w:hAnsi="Arial"/>
                <w:sz w:val="18"/>
                <w:szCs w:val="18"/>
                <w:color w:val="auto"/>
              </w:rPr>
              <w:t>Fundera, In</w:t>
            </w:r>
            <w:r>
              <w:rPr>
                <w:rFonts w:ascii="Arial" w:cs="Arial" w:eastAsia="Arial" w:hAnsi="Arial"/>
                <w:sz w:val="19"/>
                <w:szCs w:val="19"/>
                <w:color w:val="auto"/>
              </w:rPr>
              <w:t>c.</w:t>
            </w:r>
          </w:p>
        </w:tc>
        <w:tc>
          <w:tcPr>
            <w:tcW w:w="8340" w:type="dxa"/>
            <w:vAlign w:val="bottom"/>
          </w:tcPr>
          <w:p>
            <w:pPr>
              <w:ind w:left="2320"/>
              <w:spacing w:after="0"/>
              <w:rPr>
                <w:sz w:val="20"/>
                <w:szCs w:val="20"/>
                <w:color w:val="auto"/>
              </w:rPr>
            </w:pPr>
            <w:r>
              <w:rPr>
                <w:rFonts w:ascii="Arial" w:cs="Arial" w:eastAsia="Arial" w:hAnsi="Arial"/>
                <w:sz w:val="18"/>
                <w:szCs w:val="18"/>
                <w:color w:val="auto"/>
              </w:rPr>
              <w:t>Delaware, United States</w:t>
            </w:r>
          </w:p>
        </w:tc>
      </w:tr>
      <w:tr>
        <w:trPr>
          <w:trHeight w:val="266"/>
        </w:trPr>
        <w:tc>
          <w:tcPr>
            <w:tcW w:w="2900" w:type="dxa"/>
            <w:vAlign w:val="bottom"/>
          </w:tcPr>
          <w:p>
            <w:pPr>
              <w:ind w:left="20"/>
              <w:spacing w:after="0"/>
              <w:rPr>
                <w:sz w:val="20"/>
                <w:szCs w:val="20"/>
                <w:color w:val="auto"/>
              </w:rPr>
            </w:pPr>
            <w:r>
              <w:rPr>
                <w:rFonts w:ascii="Arial" w:cs="Arial" w:eastAsia="Arial" w:hAnsi="Arial"/>
                <w:sz w:val="18"/>
                <w:szCs w:val="18"/>
                <w:color w:val="auto"/>
              </w:rPr>
              <w:t>NerdWallet Compare, Inc</w:t>
            </w:r>
          </w:p>
        </w:tc>
        <w:tc>
          <w:tcPr>
            <w:tcW w:w="8340" w:type="dxa"/>
            <w:vAlign w:val="bottom"/>
          </w:tcPr>
          <w:p>
            <w:pPr>
              <w:ind w:left="2320"/>
              <w:spacing w:after="0"/>
              <w:rPr>
                <w:sz w:val="20"/>
                <w:szCs w:val="20"/>
                <w:color w:val="auto"/>
              </w:rPr>
            </w:pPr>
            <w:r>
              <w:rPr>
                <w:rFonts w:ascii="Arial" w:cs="Arial" w:eastAsia="Arial" w:hAnsi="Arial"/>
                <w:sz w:val="18"/>
                <w:szCs w:val="18"/>
                <w:color w:val="auto"/>
              </w:rPr>
              <w:t>Delaware, United States</w:t>
            </w:r>
          </w:p>
        </w:tc>
      </w:tr>
    </w:tbl>
    <w:p>
      <w:pPr>
        <w:spacing w:after="0" w:line="107" w:lineRule="exact"/>
        <w:rPr>
          <w:sz w:val="20"/>
          <w:szCs w:val="20"/>
          <w:color w:val="auto"/>
        </w:rPr>
      </w:pPr>
    </w:p>
    <w:p>
      <w:pPr>
        <w:ind w:left="340" w:right="780" w:hanging="332"/>
        <w:spacing w:after="0" w:line="277" w:lineRule="auto"/>
        <w:tabs>
          <w:tab w:leader="none" w:pos="335" w:val="left"/>
        </w:tabs>
        <w:numPr>
          <w:ilvl w:val="0"/>
          <w:numId w:val="620"/>
        </w:numPr>
        <w:rPr>
          <w:rFonts w:ascii="Arial" w:cs="Arial" w:eastAsia="Arial" w:hAnsi="Arial"/>
          <w:sz w:val="18"/>
          <w:szCs w:val="18"/>
          <w:color w:val="auto"/>
        </w:rPr>
      </w:pPr>
      <w:r>
        <w:rPr>
          <w:rFonts w:ascii="Arial" w:cs="Arial" w:eastAsia="Arial" w:hAnsi="Arial"/>
          <w:sz w:val="18"/>
          <w:szCs w:val="18"/>
          <w:color w:val="auto"/>
        </w:rPr>
        <w:t>Pursuant to Item 601(b)(21)(ii) of Regulation S-K, the names of other subsidiaries of NerdWallet, Inc. are omitted because, considered in the aggregate, they would not constitute a significant subsidiary as of the end of the year covered by this report.</w:t>
      </w:r>
    </w:p>
    <w:p>
      <w:pPr>
        <w:sectPr>
          <w:pgSz w:w="11900" w:h="16838" w:orient="portrait"/>
          <w:cols w:equalWidth="0" w:num="1">
            <w:col w:w="11240"/>
          </w:cols>
          <w:pgMar w:left="320" w:top="122" w:right="339" w:bottom="1440" w:gutter="0" w:footer="0" w:header="0"/>
        </w:sectPr>
      </w:pPr>
    </w:p>
    <w:bookmarkStart w:id="641" w:name="page642"/>
    <w:bookmarkEnd w:id="641"/>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49" w:lineRule="exact"/>
        <w:rPr>
          <w:sz w:val="20"/>
          <w:szCs w:val="20"/>
          <w:color w:val="auto"/>
        </w:rPr>
      </w:pPr>
    </w:p>
    <w:p>
      <w:pPr>
        <w:ind w:right="500"/>
        <w:spacing w:after="0" w:line="316" w:lineRule="auto"/>
        <w:rPr>
          <w:sz w:val="20"/>
          <w:szCs w:val="20"/>
          <w:color w:val="auto"/>
        </w:rPr>
      </w:pPr>
      <w:r>
        <w:rPr>
          <w:rFonts w:ascii="Arial" w:cs="Arial" w:eastAsia="Arial" w:hAnsi="Arial"/>
          <w:sz w:val="18"/>
          <w:szCs w:val="18"/>
          <w:color w:val="auto"/>
        </w:rPr>
        <w:t>We consent to the use in this Registration Statement on Form S-1 of our report dated May 3, 2021 relating to the financial statements of NerdWallet, Inc. We also consent to the reference to us under the heading “Experts” in such Registration Statement.</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Deloitte &amp; Touche LLP</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San Jose, California</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October 8, 2021</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69951FE"/>
    <w:multiLevelType w:val="hybridMultilevel"/>
    <w:lvl w:ilvl="0">
      <w:lvlJc w:val="left"/>
      <w:lvlText w:val="(%1)"/>
      <w:numFmt w:val="decimal"/>
      <w:start w:val="1"/>
    </w:lvl>
  </w:abstractNum>
  <w:abstractNum w:abstractNumId="1">
    <w:nsid w:val="4C54E2C3"/>
    <w:multiLevelType w:val="hybridMultilevel"/>
    <w:lvl w:ilvl="0">
      <w:lvlJc w:val="left"/>
      <w:lvlText w:val="(%1)"/>
      <w:numFmt w:val="decimal"/>
      <w:start w:val="1"/>
    </w:lvl>
  </w:abstractNum>
  <w:abstractNum w:abstractNumId="2">
    <w:nsid w:val="788BD9B"/>
    <w:multiLevelType w:val="hybridMultilevel"/>
    <w:lvl w:ilvl="0">
      <w:lvlJc w:val="left"/>
      <w:lvlText w:val="•"/>
      <w:numFmt w:val="bullet"/>
      <w:start w:val="1"/>
    </w:lvl>
  </w:abstractNum>
  <w:abstractNum w:abstractNumId="3">
    <w:nsid w:val="47CAA567"/>
    <w:multiLevelType w:val="hybridMultilevel"/>
    <w:lvl w:ilvl="0">
      <w:lvlJc w:val="left"/>
      <w:lvlText w:val="•"/>
      <w:numFmt w:val="bullet"/>
      <w:start w:val="1"/>
    </w:lvl>
  </w:abstractNum>
  <w:abstractNum w:abstractNumId="4">
    <w:nsid w:val="48249DBF"/>
    <w:multiLevelType w:val="hybridMultilevel"/>
    <w:lvl w:ilvl="0">
      <w:lvlJc w:val="left"/>
      <w:lvlText w:val="•"/>
      <w:numFmt w:val="bullet"/>
      <w:start w:val="1"/>
    </w:lvl>
  </w:abstractNum>
  <w:abstractNum w:abstractNumId="5">
    <w:nsid w:val="1F0E5D0D"/>
    <w:multiLevelType w:val="hybridMultilevel"/>
    <w:lvl w:ilvl="0">
      <w:lvlJc w:val="left"/>
      <w:lvlText w:val="•"/>
      <w:numFmt w:val="bullet"/>
      <w:start w:val="1"/>
    </w:lvl>
  </w:abstractNum>
  <w:abstractNum w:abstractNumId="6">
    <w:nsid w:val="26BAAE9"/>
    <w:multiLevelType w:val="hybridMultilevel"/>
    <w:lvl w:ilvl="0">
      <w:lvlJc w:val="left"/>
      <w:lvlText w:val="•"/>
      <w:numFmt w:val="bullet"/>
      <w:start w:val="1"/>
    </w:lvl>
  </w:abstractNum>
  <w:abstractNum w:abstractNumId="7">
    <w:nsid w:val="2C02FE8C"/>
    <w:multiLevelType w:val="hybridMultilevel"/>
    <w:lvl w:ilvl="0">
      <w:lvlJc w:val="left"/>
      <w:lvlText w:val="•"/>
      <w:numFmt w:val="bullet"/>
      <w:start w:val="1"/>
    </w:lvl>
  </w:abstractNum>
  <w:abstractNum w:abstractNumId="8">
    <w:nsid w:val="129517E"/>
    <w:multiLevelType w:val="hybridMultilevel"/>
    <w:lvl w:ilvl="0">
      <w:lvlJc w:val="left"/>
      <w:lvlText w:val="•"/>
      <w:numFmt w:val="bullet"/>
      <w:start w:val="1"/>
    </w:lvl>
  </w:abstractNum>
  <w:abstractNum w:abstractNumId="9">
    <w:nsid w:val="763B8C4E"/>
    <w:multiLevelType w:val="hybridMultilevel"/>
    <w:lvl w:ilvl="0">
      <w:lvlJc w:val="left"/>
      <w:lvlText w:val="•"/>
      <w:numFmt w:val="bullet"/>
      <w:start w:val="1"/>
    </w:lvl>
  </w:abstractNum>
  <w:abstractNum w:abstractNumId="10">
    <w:nsid w:val="4CFB8D32"/>
    <w:multiLevelType w:val="hybridMultilevel"/>
    <w:lvl w:ilvl="0">
      <w:lvlJc w:val="left"/>
      <w:lvlText w:val="•"/>
      <w:numFmt w:val="bullet"/>
      <w:start w:val="1"/>
    </w:lvl>
  </w:abstractNum>
  <w:abstractNum w:abstractNumId="11">
    <w:nsid w:val="62A5D5BD"/>
    <w:multiLevelType w:val="hybridMultilevel"/>
    <w:lvl w:ilvl="0">
      <w:lvlJc w:val="left"/>
      <w:lvlText w:val="•"/>
      <w:numFmt w:val="bullet"/>
      <w:start w:val="1"/>
    </w:lvl>
  </w:abstractNum>
  <w:abstractNum w:abstractNumId="12">
    <w:nsid w:val="718FABF9"/>
    <w:multiLevelType w:val="hybridMultilevel"/>
    <w:lvl w:ilvl="0">
      <w:lvlJc w:val="left"/>
      <w:lvlText w:val="•"/>
      <w:numFmt w:val="bullet"/>
      <w:start w:val="1"/>
    </w:lvl>
    <w:lvl w:ilvl="1">
      <w:lvlJc w:val="left"/>
      <w:lvlText w:val="•"/>
      <w:numFmt w:val="bullet"/>
      <w:start w:val="1"/>
    </w:lvl>
  </w:abstractNum>
  <w:abstractNum w:abstractNumId="13">
    <w:nsid w:val="7775797C"/>
    <w:multiLevelType w:val="hybridMultilevel"/>
    <w:lvl w:ilvl="0">
      <w:lvlJc w:val="left"/>
      <w:lvlText w:val="•"/>
      <w:numFmt w:val="bullet"/>
      <w:start w:val="1"/>
    </w:lvl>
  </w:abstractNum>
  <w:abstractNum w:abstractNumId="14">
    <w:nsid w:val="1626FB8C"/>
    <w:multiLevelType w:val="hybridMultilevel"/>
    <w:lvl w:ilvl="0">
      <w:lvlJc w:val="left"/>
      <w:lvlText w:val="•"/>
      <w:numFmt w:val="bullet"/>
      <w:start w:val="1"/>
    </w:lvl>
  </w:abstractNum>
  <w:abstractNum w:abstractNumId="15">
    <w:nsid w:val="3957756A"/>
    <w:multiLevelType w:val="hybridMultilevel"/>
    <w:lvl w:ilvl="0">
      <w:lvlJc w:val="left"/>
      <w:lvlText w:val="(%1)"/>
      <w:numFmt w:val="decimal"/>
      <w:start w:val="2"/>
    </w:lvl>
  </w:abstractNum>
  <w:abstractNum w:abstractNumId="16">
    <w:nsid w:val="3E6DA1C7"/>
    <w:multiLevelType w:val="hybridMultilevel"/>
    <w:lvl w:ilvl="0">
      <w:lvlJc w:val="left"/>
      <w:lvlText w:val="•"/>
      <w:numFmt w:val="bullet"/>
      <w:start w:val="1"/>
    </w:lvl>
  </w:abstractNum>
  <w:abstractNum w:abstractNumId="17">
    <w:nsid w:val="65CA235B"/>
    <w:multiLevelType w:val="hybridMultilevel"/>
    <w:lvl w:ilvl="0">
      <w:lvlJc w:val="left"/>
      <w:lvlText w:val="•"/>
      <w:numFmt w:val="bullet"/>
      <w:start w:val="1"/>
    </w:lvl>
  </w:abstractNum>
  <w:abstractNum w:abstractNumId="18">
    <w:nsid w:val="51CB0DA4"/>
    <w:multiLevelType w:val="hybridMultilevel"/>
    <w:lvl w:ilvl="0">
      <w:lvlJc w:val="left"/>
      <w:lvlText w:val="•"/>
      <w:numFmt w:val="bullet"/>
      <w:start w:val="1"/>
    </w:lvl>
  </w:abstractNum>
  <w:abstractNum w:abstractNumId="19">
    <w:nsid w:val="7B9B743C"/>
    <w:multiLevelType w:val="hybridMultilevel"/>
    <w:lvl w:ilvl="0">
      <w:lvlJc w:val="left"/>
      <w:lvlText w:val="•"/>
      <w:numFmt w:val="bullet"/>
      <w:start w:val="1"/>
    </w:lvl>
  </w:abstractNum>
  <w:abstractNum w:abstractNumId="20">
    <w:nsid w:val="13E21002"/>
    <w:multiLevelType w:val="hybridMultilevel"/>
    <w:lvl w:ilvl="0">
      <w:lvlJc w:val="left"/>
      <w:lvlText w:val="•"/>
      <w:numFmt w:val="bullet"/>
      <w:start w:val="1"/>
    </w:lvl>
  </w:abstractNum>
  <w:abstractNum w:abstractNumId="21">
    <w:nsid w:val="257D63F4"/>
    <w:multiLevelType w:val="hybridMultilevel"/>
    <w:lvl w:ilvl="0">
      <w:lvlJc w:val="left"/>
      <w:lvlText w:val="•"/>
      <w:numFmt w:val="bullet"/>
      <w:start w:val="1"/>
    </w:lvl>
  </w:abstractNum>
  <w:abstractNum w:abstractNumId="22">
    <w:nsid w:val="70EC11B2"/>
    <w:multiLevelType w:val="hybridMultilevel"/>
    <w:lvl w:ilvl="0">
      <w:lvlJc w:val="left"/>
      <w:lvlText w:val="•"/>
      <w:numFmt w:val="bullet"/>
      <w:start w:val="1"/>
    </w:lvl>
  </w:abstractNum>
  <w:abstractNum w:abstractNumId="23">
    <w:nsid w:val="2EDA00ED"/>
    <w:multiLevelType w:val="hybridMultilevel"/>
    <w:lvl w:ilvl="0">
      <w:lvlJc w:val="left"/>
      <w:lvlText w:val="•"/>
      <w:numFmt w:val="bullet"/>
      <w:start w:val="1"/>
    </w:lvl>
  </w:abstractNum>
  <w:abstractNum w:abstractNumId="24">
    <w:nsid w:val="73209072"/>
    <w:multiLevelType w:val="hybridMultilevel"/>
    <w:lvl w:ilvl="0">
      <w:lvlJc w:val="left"/>
      <w:lvlText w:val="•"/>
      <w:numFmt w:val="bullet"/>
      <w:start w:val="1"/>
    </w:lvl>
  </w:abstractNum>
  <w:abstractNum w:abstractNumId="25">
    <w:nsid w:val="5FB29816"/>
    <w:multiLevelType w:val="hybridMultilevel"/>
    <w:lvl w:ilvl="0">
      <w:lvlJc w:val="left"/>
      <w:lvlText w:val="•"/>
      <w:numFmt w:val="bullet"/>
      <w:start w:val="1"/>
    </w:lvl>
  </w:abstractNum>
  <w:abstractNum w:abstractNumId="26">
    <w:nsid w:val="3CE732EC"/>
    <w:multiLevelType w:val="hybridMultilevel"/>
    <w:lvl w:ilvl="0">
      <w:lvlJc w:val="left"/>
      <w:lvlText w:val="•"/>
      <w:numFmt w:val="bullet"/>
      <w:start w:val="1"/>
    </w:lvl>
  </w:abstractNum>
  <w:abstractNum w:abstractNumId="27">
    <w:nsid w:val="22F13DF3"/>
    <w:multiLevelType w:val="hybridMultilevel"/>
    <w:lvl w:ilvl="0">
      <w:lvlJc w:val="left"/>
      <w:lvlText w:val="(%1)"/>
      <w:numFmt w:val="lowerLetter"/>
      <w:start w:val="3"/>
    </w:lvl>
  </w:abstractNum>
  <w:abstractNum w:abstractNumId="28">
    <w:nsid w:val="792B8401"/>
    <w:multiLevelType w:val="hybridMultilevel"/>
    <w:lvl w:ilvl="0">
      <w:lvlJc w:val="left"/>
      <w:lvlText w:val="•"/>
      <w:numFmt w:val="bullet"/>
      <w:start w:val="1"/>
    </w:lvl>
  </w:abstractNum>
  <w:abstractNum w:abstractNumId="29">
    <w:nsid w:val="FA85F4D"/>
    <w:multiLevelType w:val="hybridMultilevel"/>
    <w:lvl w:ilvl="0">
      <w:lvlJc w:val="left"/>
      <w:lvlText w:val="•"/>
      <w:numFmt w:val="bullet"/>
      <w:start w:val="1"/>
    </w:lvl>
  </w:abstractNum>
  <w:abstractNum w:abstractNumId="30">
    <w:nsid w:val="6ECE91F0"/>
    <w:multiLevelType w:val="hybridMultilevel"/>
    <w:lvl w:ilvl="0">
      <w:lvlJc w:val="left"/>
      <w:lvlText w:val="•"/>
      <w:numFmt w:val="bullet"/>
      <w:start w:val="1"/>
    </w:lvl>
  </w:abstractNum>
  <w:abstractNum w:abstractNumId="31">
    <w:nsid w:val="4FC4D600"/>
    <w:multiLevelType w:val="hybridMultilevel"/>
    <w:lvl w:ilvl="0">
      <w:lvlJc w:val="left"/>
      <w:lvlText w:val="•"/>
      <w:numFmt w:val="bullet"/>
      <w:start w:val="1"/>
    </w:lvl>
  </w:abstractNum>
  <w:abstractNum w:abstractNumId="32">
    <w:nsid w:val="5BFD4210"/>
    <w:multiLevelType w:val="hybridMultilevel"/>
    <w:lvl w:ilvl="0">
      <w:lvlJc w:val="left"/>
      <w:lvlText w:val="•"/>
      <w:numFmt w:val="bullet"/>
      <w:start w:val="1"/>
    </w:lvl>
  </w:abstractNum>
  <w:abstractNum w:abstractNumId="33">
    <w:nsid w:val="76574F8B"/>
    <w:multiLevelType w:val="hybridMultilevel"/>
    <w:lvl w:ilvl="0">
      <w:lvlJc w:val="left"/>
      <w:lvlText w:val="•"/>
      <w:numFmt w:val="bullet"/>
      <w:start w:val="1"/>
    </w:lvl>
  </w:abstractNum>
  <w:abstractNum w:abstractNumId="34">
    <w:nsid w:val="178F7B67"/>
    <w:multiLevelType w:val="hybridMultilevel"/>
    <w:lvl w:ilvl="0">
      <w:lvlJc w:val="left"/>
      <w:lvlText w:val="$"/>
      <w:numFmt w:val="bullet"/>
      <w:start w:val="1"/>
    </w:lvl>
  </w:abstractNum>
  <w:abstractNum w:abstractNumId="35">
    <w:nsid w:val="2421DFCF"/>
    <w:multiLevelType w:val="hybridMultilevel"/>
    <w:lvl w:ilvl="0">
      <w:lvlJc w:val="left"/>
      <w:lvlText w:val="•"/>
      <w:numFmt w:val="bullet"/>
      <w:start w:val="1"/>
    </w:lvl>
  </w:abstractNum>
  <w:abstractNum w:abstractNumId="36">
    <w:nsid w:val="1565AC99"/>
    <w:multiLevelType w:val="hybridMultilevel"/>
    <w:lvl w:ilvl="0">
      <w:lvlJc w:val="left"/>
      <w:lvlText w:val="$"/>
      <w:numFmt w:val="bullet"/>
      <w:start w:val="1"/>
    </w:lvl>
  </w:abstractNum>
  <w:abstractNum w:abstractNumId="37">
    <w:nsid w:val="19FB2650"/>
    <w:multiLevelType w:val="hybridMultilevel"/>
    <w:lvl w:ilvl="0">
      <w:lvlJc w:val="left"/>
      <w:lvlText w:val="•"/>
      <w:numFmt w:val="bullet"/>
      <w:start w:val="1"/>
    </w:lvl>
    <w:lvl w:ilvl="1">
      <w:lvlJc w:val="left"/>
      <w:lvlText w:val="•"/>
      <w:numFmt w:val="bullet"/>
      <w:start w:val="1"/>
    </w:lvl>
  </w:abstractNum>
  <w:abstractNum w:abstractNumId="38">
    <w:nsid w:val="5024DE5B"/>
    <w:multiLevelType w:val="hybridMultilevel"/>
    <w:lvl w:ilvl="0">
      <w:lvlJc w:val="left"/>
      <w:lvlText w:val="$"/>
      <w:numFmt w:val="bullet"/>
      <w:start w:val="1"/>
    </w:lvl>
  </w:abstractNum>
  <w:abstractNum w:abstractNumId="39">
    <w:nsid w:val="168EFE17"/>
    <w:multiLevelType w:val="hybridMultilevel"/>
    <w:lvl w:ilvl="0">
      <w:lvlJc w:val="left"/>
      <w:lvlText w:val="$"/>
      <w:numFmt w:val="bullet"/>
      <w:start w:val="1"/>
    </w:lvl>
  </w:abstractNum>
  <w:abstractNum w:abstractNumId="40">
    <w:nsid w:val="1036B29F"/>
    <w:multiLevelType w:val="hybridMultilevel"/>
    <w:lvl w:ilvl="0">
      <w:lvlJc w:val="left"/>
      <w:lvlText w:val="$"/>
      <w:numFmt w:val="bullet"/>
      <w:start w:val="1"/>
    </w:lvl>
  </w:abstractNum>
  <w:abstractNum w:abstractNumId="41">
    <w:nsid w:val="1D206B8E"/>
    <w:multiLevelType w:val="hybridMultilevel"/>
    <w:lvl w:ilvl="0">
      <w:lvlJc w:val="left"/>
      <w:lvlText w:val="$"/>
      <w:numFmt w:val="bullet"/>
      <w:start w:val="1"/>
    </w:lvl>
  </w:abstractNum>
  <w:abstractNum w:abstractNumId="42">
    <w:nsid w:val="7934D3D4"/>
    <w:multiLevelType w:val="hybridMultilevel"/>
    <w:lvl w:ilvl="0">
      <w:lvlJc w:val="left"/>
      <w:lvlText w:val="•"/>
      <w:numFmt w:val="bullet"/>
      <w:start w:val="1"/>
    </w:lvl>
    <w:lvl w:ilvl="1">
      <w:lvlJc w:val="left"/>
      <w:lvlText w:val="•"/>
      <w:numFmt w:val="bullet"/>
      <w:start w:val="1"/>
    </w:lvl>
  </w:abstractNum>
  <w:abstractNum w:abstractNumId="43">
    <w:nsid w:val="1C65E98"/>
    <w:multiLevelType w:val="hybridMultilevel"/>
    <w:lvl w:ilvl="0">
      <w:lvlJc w:val="left"/>
      <w:lvlText w:val="•"/>
      <w:numFmt w:val="bullet"/>
      <w:start w:val="1"/>
    </w:lvl>
  </w:abstractNum>
  <w:abstractNum w:abstractNumId="44">
    <w:nsid w:val="1495E50A"/>
    <w:multiLevelType w:val="hybridMultilevel"/>
    <w:lvl w:ilvl="0">
      <w:lvlJc w:val="left"/>
      <w:lvlText w:val="•"/>
      <w:numFmt w:val="bullet"/>
      <w:start w:val="1"/>
    </w:lvl>
  </w:abstractNum>
  <w:abstractNum w:abstractNumId="45">
    <w:nsid w:val="F5BCF61"/>
    <w:multiLevelType w:val="hybridMultilevel"/>
    <w:lvl w:ilvl="0">
      <w:lvlJc w:val="left"/>
      <w:lvlText w:val="(%1)"/>
      <w:numFmt w:val="decimal"/>
      <w:start w:val="1"/>
    </w:lvl>
  </w:abstractNum>
  <w:abstractNum w:abstractNumId="46">
    <w:nsid w:val="3B1DD403"/>
    <w:multiLevelType w:val="hybridMultilevel"/>
    <w:lvl w:ilvl="0">
      <w:lvlJc w:val="left"/>
      <w:lvlText w:val="(%1)"/>
      <w:numFmt w:val="decimal"/>
      <w:start w:val="1"/>
    </w:lvl>
  </w:abstractNum>
  <w:abstractNum w:abstractNumId="47">
    <w:nsid w:val="530386D1"/>
    <w:multiLevelType w:val="hybridMultilevel"/>
    <w:lvl w:ilvl="0">
      <w:lvlJc w:val="left"/>
      <w:lvlText w:val="(%1)"/>
      <w:numFmt w:val="decimal"/>
      <w:start w:val="2"/>
    </w:lvl>
  </w:abstractNum>
  <w:abstractNum w:abstractNumId="48">
    <w:nsid w:val="7525F2BC"/>
    <w:multiLevelType w:val="hybridMultilevel"/>
    <w:lvl w:ilvl="0">
      <w:lvlJc w:val="left"/>
      <w:lvlText w:val="(%1)"/>
      <w:numFmt w:val="decimal"/>
      <w:start w:val="1"/>
    </w:lvl>
  </w:abstractNum>
  <w:abstractNum w:abstractNumId="49">
    <w:nsid w:val="CE8E1A7"/>
    <w:multiLevelType w:val="hybridMultilevel"/>
    <w:lvl w:ilvl="0">
      <w:lvlJc w:val="left"/>
      <w:lvlText w:val="(%1)"/>
      <w:numFmt w:val="decimal"/>
      <w:start w:val="1"/>
    </w:lvl>
  </w:abstractNum>
  <w:abstractNum w:abstractNumId="50">
    <w:nsid w:val="4E9EFB0D"/>
    <w:multiLevelType w:val="hybridMultilevel"/>
    <w:lvl w:ilvl="0">
      <w:lvlJc w:val="left"/>
      <w:lvlText w:val="•"/>
      <w:numFmt w:val="bullet"/>
      <w:start w:val="1"/>
    </w:lvl>
  </w:abstractNum>
  <w:abstractNum w:abstractNumId="51">
    <w:nsid w:val="90802BE"/>
    <w:multiLevelType w:val="hybridMultilevel"/>
    <w:lvl w:ilvl="0">
      <w:lvlJc w:val="left"/>
      <w:lvlText w:val="•"/>
      <w:numFmt w:val="bullet"/>
      <w:start w:val="1"/>
    </w:lvl>
  </w:abstractNum>
  <w:abstractNum w:abstractNumId="52">
    <w:nsid w:val="3266459B"/>
    <w:multiLevelType w:val="hybridMultilevel"/>
    <w:lvl w:ilvl="0">
      <w:lvlJc w:val="left"/>
      <w:lvlText w:val="•"/>
      <w:numFmt w:val="bullet"/>
      <w:start w:val="1"/>
    </w:lvl>
  </w:abstractNum>
  <w:abstractNum w:abstractNumId="53">
    <w:nsid w:val="3F8B0CBF"/>
    <w:multiLevelType w:val="hybridMultilevel"/>
    <w:lvl w:ilvl="0">
      <w:lvlJc w:val="left"/>
      <w:lvlText w:val="(%1)"/>
      <w:numFmt w:val="lowerRoman"/>
      <w:start w:val="1"/>
    </w:lvl>
  </w:abstractNum>
  <w:abstractNum w:abstractNumId="54">
    <w:nsid w:val="37E203AB"/>
    <w:multiLevelType w:val="hybridMultilevel"/>
    <w:lvl w:ilvl="0">
      <w:lvlJc w:val="left"/>
      <w:lvlText w:val="•"/>
      <w:numFmt w:val="bullet"/>
      <w:start w:val="1"/>
    </w:lvl>
  </w:abstractNum>
  <w:abstractNum w:abstractNumId="55">
    <w:nsid w:val="2586D60E"/>
    <w:multiLevelType w:val="hybridMultilevel"/>
    <w:lvl w:ilvl="0">
      <w:lvlJc w:val="left"/>
      <w:lvlText w:val="•"/>
      <w:numFmt w:val="bullet"/>
      <w:start w:val="1"/>
    </w:lvl>
  </w:abstractNum>
  <w:abstractNum w:abstractNumId="56">
    <w:nsid w:val="1F3DA4D5"/>
    <w:multiLevelType w:val="hybridMultilevel"/>
    <w:lvl w:ilvl="0">
      <w:lvlJc w:val="left"/>
      <w:lvlText w:val="•"/>
      <w:numFmt w:val="bullet"/>
      <w:start w:val="1"/>
    </w:lvl>
  </w:abstractNum>
  <w:abstractNum w:abstractNumId="57">
    <w:nsid w:val="74C93698"/>
    <w:multiLevelType w:val="hybridMultilevel"/>
    <w:lvl w:ilvl="0">
      <w:lvlJc w:val="left"/>
      <w:lvlText w:val="•"/>
      <w:numFmt w:val="bullet"/>
      <w:start w:val="1"/>
    </w:lvl>
  </w:abstractNum>
  <w:abstractNum w:abstractNumId="58">
    <w:nsid w:val="48781401"/>
    <w:multiLevelType w:val="hybridMultilevel"/>
    <w:lvl w:ilvl="0">
      <w:lvlJc w:val="left"/>
      <w:lvlText w:val="•"/>
      <w:numFmt w:val="bullet"/>
      <w:start w:val="1"/>
    </w:lvl>
  </w:abstractNum>
  <w:abstractNum w:abstractNumId="59">
    <w:nsid w:val="186928D6"/>
    <w:multiLevelType w:val="hybridMultilevel"/>
    <w:lvl w:ilvl="0">
      <w:lvlJc w:val="left"/>
      <w:lvlText w:val="•"/>
      <w:numFmt w:val="bullet"/>
      <w:start w:val="1"/>
    </w:lvl>
  </w:abstractNum>
  <w:abstractNum w:abstractNumId="60">
    <w:nsid w:val="47195E5"/>
    <w:multiLevelType w:val="hybridMultilevel"/>
    <w:lvl w:ilvl="0">
      <w:lvlJc w:val="left"/>
      <w:lvlText w:val="•"/>
      <w:numFmt w:val="bullet"/>
      <w:start w:val="1"/>
    </w:lvl>
  </w:abstractNum>
  <w:abstractNum w:abstractNumId="61">
    <w:nsid w:val="3746A5F2"/>
    <w:multiLevelType w:val="hybridMultilevel"/>
    <w:lvl w:ilvl="0">
      <w:lvlJc w:val="left"/>
      <w:lvlText w:val="•"/>
      <w:numFmt w:val="bullet"/>
      <w:start w:val="1"/>
    </w:lvl>
  </w:abstractNum>
  <w:abstractNum w:abstractNumId="62">
    <w:nsid w:val="682DFED6"/>
    <w:multiLevelType w:val="hybridMultilevel"/>
    <w:lvl w:ilvl="0">
      <w:lvlJc w:val="left"/>
      <w:lvlText w:val="•"/>
      <w:numFmt w:val="bullet"/>
      <w:start w:val="1"/>
    </w:lvl>
  </w:abstractNum>
  <w:abstractNum w:abstractNumId="63">
    <w:nsid w:val="606ED7F6"/>
    <w:multiLevelType w:val="hybridMultilevel"/>
    <w:lvl w:ilvl="0">
      <w:lvlJc w:val="left"/>
      <w:lvlText w:val="•"/>
      <w:numFmt w:val="bullet"/>
      <w:start w:val="1"/>
    </w:lvl>
  </w:abstractNum>
  <w:abstractNum w:abstractNumId="64">
    <w:nsid w:val="2D9DF57D"/>
    <w:multiLevelType w:val="hybridMultilevel"/>
    <w:lvl w:ilvl="0">
      <w:lvlJc w:val="left"/>
      <w:lvlText w:val="•"/>
      <w:numFmt w:val="bullet"/>
      <w:start w:val="1"/>
    </w:lvl>
  </w:abstractNum>
  <w:abstractNum w:abstractNumId="65">
    <w:nsid w:val="7FBD7A3E"/>
    <w:multiLevelType w:val="hybridMultilevel"/>
    <w:lvl w:ilvl="0">
      <w:lvlJc w:val="left"/>
      <w:lvlText w:val="•"/>
      <w:numFmt w:val="bullet"/>
      <w:start w:val="1"/>
    </w:lvl>
  </w:abstractNum>
  <w:abstractNum w:abstractNumId="66">
    <w:nsid w:val="490B7C5"/>
    <w:multiLevelType w:val="hybridMultilevel"/>
    <w:lvl w:ilvl="0">
      <w:lvlJc w:val="left"/>
      <w:lvlText w:val="•"/>
      <w:numFmt w:val="bullet"/>
      <w:start w:val="1"/>
    </w:lvl>
  </w:abstractNum>
  <w:abstractNum w:abstractNumId="67">
    <w:nsid w:val="4303A216"/>
    <w:multiLevelType w:val="hybridMultilevel"/>
    <w:lvl w:ilvl="0">
      <w:lvlJc w:val="left"/>
      <w:lvlText w:val="•"/>
      <w:numFmt w:val="bullet"/>
      <w:start w:val="1"/>
    </w:lvl>
  </w:abstractNum>
  <w:abstractNum w:abstractNumId="68">
    <w:nsid w:val="19B8A08E"/>
    <w:multiLevelType w:val="hybridMultilevel"/>
    <w:lvl w:ilvl="0">
      <w:lvlJc w:val="left"/>
      <w:lvlText w:val="•"/>
      <w:numFmt w:val="bullet"/>
      <w:start w:val="1"/>
    </w:lvl>
  </w:abstractNum>
  <w:abstractNum w:abstractNumId="69">
    <w:nsid w:val="54B59621"/>
    <w:multiLevelType w:val="hybridMultilevel"/>
    <w:lvl w:ilvl="0">
      <w:lvlJc w:val="left"/>
      <w:lvlText w:val="•"/>
      <w:numFmt w:val="bullet"/>
      <w:start w:val="1"/>
    </w:lvl>
  </w:abstractNum>
  <w:abstractNum w:abstractNumId="70">
    <w:nsid w:val="5992A02E"/>
    <w:multiLevelType w:val="hybridMultilevel"/>
    <w:lvl w:ilvl="0">
      <w:lvlJc w:val="left"/>
      <w:lvlText w:val="(%1)"/>
      <w:numFmt w:val="decimal"/>
      <w:start w:val="1"/>
    </w:lvl>
  </w:abstractNum>
  <w:abstractNum w:abstractNumId="71">
    <w:nsid w:val="29EF532D"/>
    <w:multiLevelType w:val="hybridMultilevel"/>
    <w:lvl w:ilvl="0">
      <w:lvlJc w:val="left"/>
      <w:lvlText w:val="•"/>
      <w:numFmt w:val="bullet"/>
      <w:start w:val="1"/>
    </w:lvl>
  </w:abstractNum>
  <w:abstractNum w:abstractNumId="72">
    <w:nsid w:val="71D601AF"/>
    <w:multiLevelType w:val="hybridMultilevel"/>
    <w:lvl w:ilvl="0">
      <w:lvlJc w:val="left"/>
      <w:lvlText w:val="•"/>
      <w:numFmt w:val="bullet"/>
      <w:start w:val="1"/>
    </w:lvl>
  </w:abstractNum>
  <w:abstractNum w:abstractNumId="73">
    <w:nsid w:val="52C77402"/>
    <w:multiLevelType w:val="hybridMultilevel"/>
    <w:lvl w:ilvl="0">
      <w:lvlJc w:val="left"/>
      <w:lvlText w:val="•"/>
      <w:numFmt w:val="bullet"/>
      <w:start w:val="1"/>
    </w:lvl>
  </w:abstractNum>
  <w:abstractNum w:abstractNumId="74">
    <w:nsid w:val="2BB5B1C6"/>
    <w:multiLevelType w:val="hybridMultilevel"/>
    <w:lvl w:ilvl="0">
      <w:lvlJc w:val="left"/>
      <w:lvlText w:val="(%1)"/>
      <w:numFmt w:val="decimal"/>
      <w:start w:val="1"/>
    </w:lvl>
  </w:abstractNum>
  <w:abstractNum w:abstractNumId="75">
    <w:nsid w:val="66BE6B9"/>
    <w:multiLevelType w:val="hybridMultilevel"/>
    <w:lvl w:ilvl="0">
      <w:lvlJc w:val="left"/>
      <w:lvlText w:val="(%1)"/>
      <w:numFmt w:val="decimal"/>
      <w:start w:val="1"/>
    </w:lvl>
    <w:lvl w:ilvl="1">
      <w:lvlJc w:val="left"/>
      <w:lvlText w:val="%2."/>
      <w:numFmt w:val="lowerLetter"/>
      <w:start w:val="1"/>
    </w:lvl>
  </w:abstractNum>
  <w:abstractNum w:abstractNumId="76">
    <w:nsid w:val="62234363"/>
    <w:multiLevelType w:val="hybridMultilevel"/>
    <w:lvl w:ilvl="0">
      <w:lvlJc w:val="left"/>
      <w:lvlText w:val="%1."/>
      <w:numFmt w:val="lowerLetter"/>
      <w:start w:val="3"/>
    </w:lvl>
  </w:abstractNum>
  <w:abstractNum w:abstractNumId="77">
    <w:nsid w:val="66D385C9"/>
    <w:multiLevelType w:val="hybridMultilevel"/>
    <w:lvl w:ilvl="0">
      <w:lvlJc w:val="left"/>
      <w:lvlText w:val="(%1)"/>
      <w:numFmt w:val="decimal"/>
      <w:start w:val="6"/>
    </w:lvl>
  </w:abstractNum>
  <w:abstractNum w:abstractNumId="78">
    <w:nsid w:val="596F6D8A"/>
    <w:multiLevelType w:val="hybridMultilevel"/>
    <w:lvl w:ilvl="0">
      <w:lvlJc w:val="left"/>
      <w:lvlText w:val="$"/>
      <w:numFmt w:val="bullet"/>
      <w:start w:val="1"/>
    </w:lvl>
  </w:abstractNum>
  <w:abstractNum w:abstractNumId="79">
    <w:nsid w:val="5749361F"/>
    <w:multiLevelType w:val="hybridMultilevel"/>
    <w:lvl w:ilvl="0">
      <w:lvlJc w:val="left"/>
      <w:lvlText w:val="•"/>
      <w:numFmt w:val="bullet"/>
      <w:start w:val="1"/>
    </w:lvl>
  </w:abstractNum>
  <w:abstractNum w:abstractNumId="80">
    <w:nsid w:val="73BC6770"/>
    <w:multiLevelType w:val="hybridMultilevel"/>
    <w:lvl w:ilvl="0">
      <w:lvlJc w:val="left"/>
      <w:lvlText w:val="•"/>
      <w:numFmt w:val="bullet"/>
      <w:start w:val="1"/>
    </w:lvl>
  </w:abstractNum>
  <w:abstractNum w:abstractNumId="81">
    <w:nsid w:val="280E6897"/>
    <w:multiLevelType w:val="hybridMultilevel"/>
    <w:lvl w:ilvl="0">
      <w:lvlJc w:val="left"/>
      <w:lvlText w:val="(%1)"/>
      <w:numFmt w:val="decimal"/>
      <w:start w:val="10"/>
    </w:lvl>
  </w:abstractNum>
  <w:abstractNum w:abstractNumId="82">
    <w:nsid w:val="605138DE"/>
    <w:multiLevelType w:val="hybridMultilevel"/>
    <w:lvl w:ilvl="0">
      <w:lvlJc w:val="left"/>
      <w:lvlText w:val="•"/>
      <w:numFmt w:val="bullet"/>
      <w:start w:val="1"/>
    </w:lvl>
  </w:abstractNum>
  <w:abstractNum w:abstractNumId="83">
    <w:nsid w:val="2622AD0C"/>
    <w:multiLevelType w:val="hybridMultilevel"/>
    <w:lvl w:ilvl="0">
      <w:lvlJc w:val="left"/>
      <w:lvlText w:val="•"/>
      <w:numFmt w:val="bullet"/>
      <w:start w:val="1"/>
    </w:lvl>
  </w:abstractNum>
  <w:abstractNum w:abstractNumId="84">
    <w:nsid w:val="67997556"/>
    <w:multiLevelType w:val="hybridMultilevel"/>
    <w:lvl w:ilvl="0">
      <w:lvlJc w:val="left"/>
      <w:lvlText w:val="(%1)"/>
      <w:numFmt w:val="lowerRoman"/>
      <w:start w:val="1"/>
    </w:lvl>
  </w:abstractNum>
  <w:abstractNum w:abstractNumId="85">
    <w:nsid w:val="18333C89"/>
    <w:multiLevelType w:val="hybridMultilevel"/>
    <w:lvl w:ilvl="0">
      <w:lvlJc w:val="left"/>
      <w:lvlText w:val="•"/>
      <w:numFmt w:val="bullet"/>
      <w:start w:val="1"/>
    </w:lvl>
  </w:abstractNum>
  <w:abstractNum w:abstractNumId="86">
    <w:nsid w:val="4BA9831A"/>
    <w:multiLevelType w:val="hybridMultilevel"/>
    <w:lvl w:ilvl="0">
      <w:lvlJc w:val="left"/>
      <w:lvlText w:val="•"/>
      <w:numFmt w:val="bullet"/>
      <w:start w:val="1"/>
    </w:lvl>
  </w:abstractNum>
  <w:abstractNum w:abstractNumId="87">
    <w:nsid w:val="6D71A2B"/>
    <w:multiLevelType w:val="hybridMultilevel"/>
    <w:lvl w:ilvl="0">
      <w:lvlJc w:val="left"/>
      <w:lvlText w:val="(%1)"/>
      <w:numFmt w:val="decimal"/>
      <w:start w:val="1"/>
    </w:lvl>
  </w:abstractNum>
  <w:abstractNum w:abstractNumId="88">
    <w:nsid w:val="CFC7321"/>
    <w:multiLevelType w:val="hybridMultilevel"/>
    <w:lvl w:ilvl="0">
      <w:lvlJc w:val="left"/>
      <w:lvlText w:val="•"/>
      <w:numFmt w:val="bullet"/>
      <w:start w:val="1"/>
    </w:lvl>
  </w:abstractNum>
  <w:abstractNum w:abstractNumId="89">
    <w:nsid w:val="1421971B"/>
    <w:multiLevelType w:val="hybridMultilevel"/>
    <w:lvl w:ilvl="0">
      <w:lvlJc w:val="left"/>
      <w:lvlText w:val="*"/>
      <w:numFmt w:val="bullet"/>
      <w:start w:val="1"/>
    </w:lvl>
  </w:abstractNum>
  <w:abstractNum w:abstractNumId="90">
    <w:nsid w:val="1F404301"/>
    <w:multiLevelType w:val="hybridMultilevel"/>
    <w:lvl w:ilvl="0">
      <w:lvlJc w:val="left"/>
      <w:lvlText w:val="(%1)"/>
      <w:numFmt w:val="decimal"/>
      <w:start w:val="1"/>
    </w:lvl>
  </w:abstractNum>
  <w:abstractNum w:abstractNumId="91">
    <w:nsid w:val="116E0907"/>
    <w:multiLevelType w:val="hybridMultilevel"/>
    <w:lvl w:ilvl="0">
      <w:lvlJc w:val="left"/>
      <w:lvlText w:val="(%1)"/>
      <w:numFmt w:val="decimal"/>
      <w:start w:val="7"/>
    </w:lvl>
  </w:abstractNum>
  <w:abstractNum w:abstractNumId="92">
    <w:nsid w:val="4B683D0D"/>
    <w:multiLevelType w:val="hybridMultilevel"/>
    <w:lvl w:ilvl="0">
      <w:lvlJc w:val="left"/>
      <w:lvlText w:val="•"/>
      <w:numFmt w:val="bullet"/>
      <w:start w:val="1"/>
    </w:lvl>
  </w:abstractNum>
  <w:abstractNum w:abstractNumId="93">
    <w:nsid w:val="76E41D8"/>
    <w:multiLevelType w:val="hybridMultilevel"/>
    <w:lvl w:ilvl="0">
      <w:lvlJc w:val="left"/>
      <w:lvlText w:val="•"/>
      <w:numFmt w:val="bullet"/>
      <w:start w:val="1"/>
    </w:lvl>
  </w:abstractNum>
  <w:abstractNum w:abstractNumId="94">
    <w:nsid w:val="71DCE0FD"/>
    <w:multiLevelType w:val="hybridMultilevel"/>
    <w:lvl w:ilvl="0">
      <w:lvlJc w:val="left"/>
      <w:lvlText w:val="•"/>
      <w:numFmt w:val="bullet"/>
      <w:start w:val="1"/>
    </w:lvl>
  </w:abstractNum>
  <w:abstractNum w:abstractNumId="95">
    <w:nsid w:val="7906328B"/>
    <w:multiLevelType w:val="hybridMultilevel"/>
    <w:lvl w:ilvl="0">
      <w:lvlJc w:val="left"/>
      <w:lvlText w:val="•"/>
      <w:numFmt w:val="bullet"/>
      <w:start w:val="1"/>
    </w:lvl>
  </w:abstractNum>
  <w:abstractNum w:abstractNumId="96">
    <w:nsid w:val="72BBC16"/>
    <w:multiLevelType w:val="hybridMultilevel"/>
    <w:lvl w:ilvl="0">
      <w:lvlJc w:val="left"/>
      <w:lvlText w:val="(%1)"/>
      <w:numFmt w:val="lowerLetter"/>
      <w:start w:val="1"/>
    </w:lvl>
  </w:abstractNum>
  <w:abstractNum w:abstractNumId="97">
    <w:nsid w:val="766D98C2"/>
    <w:multiLevelType w:val="hybridMultilevel"/>
    <w:lvl w:ilvl="0">
      <w:lvlJc w:val="left"/>
      <w:lvlText w:val="(%1)"/>
      <w:numFmt w:val="lowerLetter"/>
      <w:start w:val="2"/>
    </w:lvl>
  </w:abstractNum>
  <w:abstractNum w:abstractNumId="98">
    <w:nsid w:val="3C09D4A1"/>
    <w:multiLevelType w:val="hybridMultilevel"/>
    <w:lvl w:ilvl="0">
      <w:lvlJc w:val="left"/>
      <w:lvlText w:val="(%1)"/>
      <w:numFmt w:val="lowerLetter"/>
      <w:start w:val="1"/>
    </w:lvl>
  </w:abstractNum>
  <w:abstractNum w:abstractNumId="99">
    <w:nsid w:val="20E45CA4"/>
    <w:multiLevelType w:val="hybridMultilevel"/>
    <w:lvl w:ilvl="0">
      <w:lvlJc w:val="left"/>
      <w:lvlText w:val="(%1)"/>
      <w:numFmt w:val="lowerLetter"/>
      <w:start w:val="1"/>
    </w:lvl>
  </w:abstractNum>
  <w:abstractNum w:abstractNumId="100">
    <w:nsid w:val="4B232EE3"/>
    <w:multiLevelType w:val="hybridMultilevel"/>
    <w:lvl w:ilvl="0">
      <w:lvlJc w:val="left"/>
      <w:lvlText w:val="(%1)"/>
      <w:numFmt w:val="lowerLetter"/>
      <w:start w:val="2"/>
    </w:lvl>
  </w:abstractNum>
  <w:abstractNum w:abstractNumId="101">
    <w:nsid w:val="159C74CF"/>
    <w:multiLevelType w:val="hybridMultilevel"/>
    <w:lvl w:ilvl="0">
      <w:lvlJc w:val="left"/>
      <w:lvlText w:val="(%1)"/>
      <w:numFmt w:val="lowerLetter"/>
      <w:start w:val="1"/>
    </w:lvl>
  </w:abstractNum>
  <w:abstractNum w:abstractNumId="102">
    <w:nsid w:val="4AD3AFD2"/>
    <w:multiLevelType w:val="hybridMultilevel"/>
    <w:lvl w:ilvl="0">
      <w:lvlJc w:val="left"/>
      <w:lvlText w:val="%1."/>
      <w:numFmt w:val="decimal"/>
      <w:start w:val="1"/>
    </w:lvl>
  </w:abstractNum>
  <w:abstractNum w:abstractNumId="103">
    <w:nsid w:val="3CF93092"/>
    <w:multiLevelType w:val="hybridMultilevel"/>
    <w:lvl w:ilvl="0">
      <w:lvlJc w:val="left"/>
      <w:lvlText w:val="%1."/>
      <w:numFmt w:val="decimal"/>
      <w:start w:val="2"/>
    </w:lvl>
  </w:abstractNum>
  <w:abstractNum w:abstractNumId="104">
    <w:nsid w:val="6863E8D2"/>
    <w:multiLevelType w:val="hybridMultilevel"/>
    <w:lvl w:ilvl="0">
      <w:lvlJc w:val="left"/>
      <w:lvlText w:val="%1."/>
      <w:numFmt w:val="decimal"/>
      <w:start w:val="3"/>
    </w:lvl>
  </w:abstractNum>
  <w:abstractNum w:abstractNumId="105">
    <w:nsid w:val="76896198"/>
    <w:multiLevelType w:val="hybridMultilevel"/>
    <w:lvl w:ilvl="0">
      <w:lvlJc w:val="left"/>
      <w:lvlText w:val="%1."/>
      <w:numFmt w:val="decimal"/>
      <w:start w:val="4"/>
    </w:lvl>
  </w:abstractNum>
  <w:abstractNum w:abstractNumId="106">
    <w:nsid w:val="4365174B"/>
    <w:multiLevelType w:val="hybridMultilevel"/>
    <w:lvl w:ilvl="0">
      <w:lvlJc w:val="left"/>
      <w:lvlText w:val="%1."/>
      <w:numFmt w:val="decimal"/>
      <w:start w:val="5"/>
    </w:lvl>
  </w:abstractNum>
  <w:abstractNum w:abstractNumId="107">
    <w:nsid w:val="4A872C35"/>
    <w:multiLevelType w:val="hybridMultilevel"/>
    <w:lvl w:ilvl="0">
      <w:lvlJc w:val="left"/>
      <w:lvlText w:val="$"/>
      <w:numFmt w:val="bullet"/>
      <w:start w:val="1"/>
    </w:lvl>
  </w:abstractNum>
  <w:abstractNum w:abstractNumId="108">
    <w:nsid w:val="5D5CE761"/>
    <w:multiLevelType w:val="hybridMultilevel"/>
    <w:lvl w:ilvl="0">
      <w:lvlJc w:val="left"/>
      <w:lvlText w:val="$"/>
      <w:numFmt w:val="bullet"/>
      <w:start w:val="1"/>
    </w:lvl>
  </w:abstractNum>
  <w:abstractNum w:abstractNumId="109">
    <w:nsid w:val="1CD484D5"/>
    <w:multiLevelType w:val="hybridMultilevel"/>
    <w:lvl w:ilvl="0">
      <w:lvlJc w:val="left"/>
      <w:lvlText w:val="$"/>
      <w:numFmt w:val="bullet"/>
      <w:start w:val="1"/>
    </w:lvl>
  </w:abstractNum>
  <w:abstractNum w:abstractNumId="110">
    <w:nsid w:val="21D06255"/>
    <w:multiLevelType w:val="hybridMultilevel"/>
    <w:lvl w:ilvl="0">
      <w:lvlJc w:val="left"/>
      <w:lvlText w:val="$"/>
      <w:numFmt w:val="bullet"/>
      <w:start w:val="1"/>
    </w:lvl>
  </w:abstractNum>
  <w:abstractNum w:abstractNumId="111">
    <w:nsid w:val="51194ED1"/>
    <w:multiLevelType w:val="hybridMultilevel"/>
    <w:lvl w:ilvl="0">
      <w:lvlJc w:val="left"/>
      <w:lvlText w:val="%1."/>
      <w:numFmt w:val="decimal"/>
      <w:start w:val="7"/>
    </w:lvl>
  </w:abstractNum>
  <w:abstractNum w:abstractNumId="112">
    <w:nsid w:val="44E2ED6C"/>
    <w:multiLevelType w:val="hybridMultilevel"/>
    <w:lvl w:ilvl="0">
      <w:lvlJc w:val="left"/>
      <w:lvlText w:val="%1."/>
      <w:numFmt w:val="decimal"/>
      <w:start w:val="8"/>
    </w:lvl>
  </w:abstractNum>
  <w:abstractNum w:abstractNumId="113">
    <w:nsid w:val="2219B33"/>
    <w:multiLevelType w:val="hybridMultilevel"/>
    <w:lvl w:ilvl="0">
      <w:lvlJc w:val="left"/>
      <w:lvlText w:val="%1."/>
      <w:numFmt w:val="decimal"/>
      <w:start w:val="9"/>
    </w:lvl>
  </w:abstractNum>
  <w:abstractNum w:abstractNumId="114">
    <w:nsid w:val="773BFBDD"/>
    <w:multiLevelType w:val="hybridMultilevel"/>
    <w:lvl w:ilvl="0">
      <w:lvlJc w:val="left"/>
      <w:lvlText w:val="%1."/>
      <w:numFmt w:val="decimal"/>
      <w:start w:val="10"/>
    </w:lvl>
  </w:abstractNum>
  <w:abstractNum w:abstractNumId="115">
    <w:nsid w:val="2C7C62C2"/>
    <w:multiLevelType w:val="hybridMultilevel"/>
    <w:lvl w:ilvl="0">
      <w:lvlJc w:val="left"/>
      <w:lvlText w:val="%1."/>
      <w:numFmt w:val="decimal"/>
      <w:start w:val="11"/>
    </w:lvl>
  </w:abstractNum>
  <w:abstractNum w:abstractNumId="116">
    <w:nsid w:val="1A54D7BC"/>
    <w:multiLevelType w:val="hybridMultilevel"/>
    <w:lvl w:ilvl="0">
      <w:lvlJc w:val="left"/>
      <w:lvlText w:val="%1."/>
      <w:numFmt w:val="decimal"/>
      <w:start w:val="12"/>
    </w:lvl>
  </w:abstractNum>
  <w:abstractNum w:abstractNumId="117">
    <w:nsid w:val="42E57EF7"/>
    <w:multiLevelType w:val="hybridMultilevel"/>
    <w:lvl w:ilvl="0">
      <w:lvlJc w:val="left"/>
      <w:lvlText w:val="%1."/>
      <w:numFmt w:val="decimal"/>
      <w:start w:val="13"/>
    </w:lvl>
  </w:abstractNum>
  <w:abstractNum w:abstractNumId="118">
    <w:nsid w:val="33537CED"/>
    <w:multiLevelType w:val="hybridMultilevel"/>
    <w:lvl w:ilvl="0">
      <w:lvlJc w:val="left"/>
      <w:lvlText w:val="%1."/>
      <w:numFmt w:val="decimal"/>
      <w:start w:val="14"/>
    </w:lvl>
  </w:abstractNum>
  <w:abstractNum w:abstractNumId="119">
    <w:nsid w:val="27514ADE"/>
    <w:multiLevelType w:val="hybridMultilevel"/>
    <w:lvl w:ilvl="0">
      <w:lvlJc w:val="left"/>
      <w:lvlText w:val="%1."/>
      <w:numFmt w:val="decimal"/>
      <w:start w:val="15"/>
    </w:lvl>
  </w:abstractNum>
  <w:abstractNum w:abstractNumId="120">
    <w:nsid w:val="57071613"/>
    <w:multiLevelType w:val="hybridMultilevel"/>
    <w:lvl w:ilvl="0">
      <w:lvlJc w:val="left"/>
      <w:lvlText w:val="%1."/>
      <w:numFmt w:val="decimal"/>
      <w:start w:val="16"/>
    </w:lvl>
  </w:abstractNum>
  <w:abstractNum w:abstractNumId="121">
    <w:nsid w:val="5293BFEF"/>
    <w:multiLevelType w:val="hybridMultilevel"/>
    <w:lvl w:ilvl="0">
      <w:lvlJc w:val="left"/>
      <w:lvlText w:val="*"/>
      <w:numFmt w:val="bullet"/>
      <w:start w:val="1"/>
    </w:lvl>
  </w:abstractNum>
  <w:abstractNum w:abstractNumId="122">
    <w:nsid w:val="38BF53E5"/>
    <w:multiLevelType w:val="hybridMultilevel"/>
    <w:lvl w:ilvl="0">
      <w:lvlJc w:val="left"/>
      <w:lvlText w:val="(%1)"/>
      <w:numFmt w:val="decimal"/>
      <w:start w:val="1"/>
    </w:lvl>
  </w:abstractNum>
  <w:abstractNum w:abstractNumId="123">
    <w:nsid w:val="226F5320"/>
    <w:multiLevelType w:val="hybridMultilevel"/>
    <w:lvl w:ilvl="0">
      <w:lvlJc w:val="left"/>
      <w:lvlText w:val="*"/>
      <w:numFmt w:val="bullet"/>
      <w:start w:val="1"/>
    </w:lvl>
  </w:abstractNum>
  <w:abstractNum w:abstractNumId="124">
    <w:nsid w:val="5A0201C7"/>
    <w:multiLevelType w:val="hybridMultilevel"/>
    <w:lvl w:ilvl="0">
      <w:lvlJc w:val="left"/>
      <w:lvlText w:val="+"/>
      <w:numFmt w:val="bullet"/>
      <w:start w:val="1"/>
    </w:lvl>
  </w:abstractNum>
  <w:abstractNum w:abstractNumId="125">
    <w:nsid w:val="2A9C34E2"/>
    <w:multiLevelType w:val="hybridMultilevel"/>
    <w:lvl w:ilvl="0">
      <w:lvlJc w:val="left"/>
      <w:lvlText w:val="(%1)"/>
      <w:numFmt w:val="decimal"/>
      <w:start w:val="1"/>
    </w:lvl>
  </w:abstractNum>
  <w:abstractNum w:abstractNumId="126">
    <w:nsid w:val="1B7585AB"/>
    <w:multiLevelType w:val="hybridMultilevel"/>
    <w:lvl w:ilvl="0">
      <w:lvlJc w:val="left"/>
      <w:lvlText w:val="(%1)"/>
      <w:numFmt w:val="decimal"/>
      <w:start w:val="2"/>
    </w:lvl>
  </w:abstractNum>
  <w:abstractNum w:abstractNumId="127">
    <w:nsid w:val="612DBDDD"/>
    <w:multiLevelType w:val="hybridMultilevel"/>
    <w:lvl w:ilvl="0">
      <w:lvlJc w:val="left"/>
      <w:lvlText w:val="%1."/>
      <w:numFmt w:val="decimal"/>
      <w:start w:val="1"/>
    </w:lvl>
  </w:abstractNum>
  <w:abstractNum w:abstractNumId="128">
    <w:nsid w:val="2109CDA4"/>
    <w:multiLevelType w:val="hybridMultilevel"/>
    <w:lvl w:ilvl="0">
      <w:lvlJc w:val="left"/>
      <w:lvlText w:val="%1."/>
      <w:numFmt w:val="upperLetter"/>
      <w:start w:val="1"/>
    </w:lvl>
  </w:abstractNum>
  <w:abstractNum w:abstractNumId="129">
    <w:nsid w:val="577F5A4D"/>
    <w:multiLevelType w:val="hybridMultilevel"/>
    <w:lvl w:ilvl="0">
      <w:lvlJc w:val="left"/>
      <w:lvlText w:val="%1."/>
      <w:numFmt w:val="decimal"/>
      <w:start w:val="1"/>
    </w:lvl>
  </w:abstractNum>
  <w:abstractNum w:abstractNumId="130">
    <w:nsid w:val="2121A81"/>
    <w:multiLevelType w:val="hybridMultilevel"/>
    <w:lvl w:ilvl="0">
      <w:lvlJc w:val="left"/>
      <w:lvlText w:val="%1."/>
      <w:numFmt w:val="decimal"/>
      <w:start w:val="3"/>
    </w:lvl>
  </w:abstractNum>
  <w:abstractNum w:abstractNumId="131">
    <w:nsid w:val="6C2CFC88"/>
    <w:multiLevelType w:val="hybridMultilevel"/>
    <w:lvl w:ilvl="0">
      <w:lvlJc w:val="left"/>
      <w:lvlText w:val="%1."/>
      <w:numFmt w:val="decimal"/>
      <w:start w:val="5"/>
    </w:lvl>
  </w:abstractNum>
  <w:abstractNum w:abstractNumId="132">
    <w:nsid w:val="6D1BCF1C"/>
    <w:multiLevelType w:val="hybridMultilevel"/>
    <w:lvl w:ilvl="0">
      <w:lvlJc w:val="left"/>
      <w:lvlText w:val="(%1)"/>
      <w:numFmt w:val="lowerLetter"/>
      <w:start w:val="1"/>
    </w:lvl>
  </w:abstractNum>
  <w:abstractNum w:abstractNumId="133">
    <w:nsid w:val="4CE5CA53"/>
    <w:multiLevelType w:val="hybridMultilevel"/>
    <w:lvl w:ilvl="0">
      <w:lvlJc w:val="left"/>
      <w:lvlText w:val="(%1)"/>
      <w:numFmt w:val="lowerLetter"/>
      <w:start w:val="1"/>
    </w:lvl>
  </w:abstractNum>
  <w:abstractNum w:abstractNumId="134">
    <w:nsid w:val="29262D1A"/>
    <w:multiLevelType w:val="hybridMultilevel"/>
    <w:lvl w:ilvl="0">
      <w:lvlJc w:val="left"/>
      <w:lvlText w:val="(%1)"/>
      <w:numFmt w:val="lowerLetter"/>
      <w:start w:val="2"/>
    </w:lvl>
  </w:abstractNum>
  <w:abstractNum w:abstractNumId="135">
    <w:nsid w:val="557FB7EE"/>
    <w:multiLevelType w:val="hybridMultilevel"/>
    <w:lvl w:ilvl="0">
      <w:lvlJc w:val="left"/>
      <w:lvlText w:val="(%1)"/>
      <w:numFmt w:val="lowerLetter"/>
      <w:start w:val="6"/>
    </w:lvl>
  </w:abstractNum>
  <w:abstractNum w:abstractNumId="136">
    <w:nsid w:val="436F2BEB"/>
    <w:multiLevelType w:val="hybridMultilevel"/>
    <w:lvl w:ilvl="0">
      <w:lvlJc w:val="left"/>
      <w:lvlText w:val="%1."/>
      <w:numFmt w:val="decimal"/>
      <w:start w:val="7"/>
    </w:lvl>
  </w:abstractNum>
  <w:abstractNum w:abstractNumId="137">
    <w:nsid w:val="6C8B4466"/>
    <w:multiLevelType w:val="hybridMultilevel"/>
    <w:lvl w:ilvl="0">
      <w:lvlJc w:val="left"/>
      <w:lvlText w:val="%1."/>
      <w:numFmt w:val="upperLetter"/>
      <w:start w:val="2"/>
    </w:lvl>
  </w:abstractNum>
  <w:abstractNum w:abstractNumId="138">
    <w:nsid w:val="2006E424"/>
    <w:multiLevelType w:val="hybridMultilevel"/>
    <w:lvl w:ilvl="0">
      <w:lvlJc w:val="left"/>
      <w:lvlText w:val="%1."/>
      <w:numFmt w:val="decimal"/>
      <w:start w:val="2"/>
    </w:lvl>
  </w:abstractNum>
  <w:abstractNum w:abstractNumId="139">
    <w:nsid w:val="20CC134C"/>
    <w:multiLevelType w:val="hybridMultilevel"/>
    <w:lvl w:ilvl="0">
      <w:lvlJc w:val="left"/>
      <w:lvlText w:val="(%1)"/>
      <w:numFmt w:val="lowerRoman"/>
      <w:start w:val="1"/>
    </w:lvl>
  </w:abstractNum>
  <w:abstractNum w:abstractNumId="140">
    <w:nsid w:val="95FC93B"/>
    <w:multiLevelType w:val="hybridMultilevel"/>
    <w:lvl w:ilvl="0">
      <w:lvlJc w:val="left"/>
      <w:lvlText w:val="(%1)"/>
      <w:numFmt w:val="lowerLetter"/>
      <w:start w:val="1"/>
    </w:lvl>
  </w:abstractNum>
  <w:abstractNum w:abstractNumId="141">
    <w:nsid w:val="41D74679"/>
    <w:multiLevelType w:val="hybridMultilevel"/>
    <w:lvl w:ilvl="0">
      <w:lvlJc w:val="left"/>
      <w:lvlText w:val="(%1)"/>
      <w:numFmt w:val="lowerLetter"/>
      <w:start w:val="1"/>
    </w:lvl>
    <w:lvl w:ilvl="1">
      <w:lvlJc w:val="left"/>
      <w:lvlText w:val="(%2)"/>
      <w:numFmt w:val="lowerRoman"/>
      <w:start w:val="1"/>
    </w:lvl>
  </w:abstractNum>
  <w:abstractNum w:abstractNumId="142">
    <w:nsid w:val="71E5621E"/>
    <w:multiLevelType w:val="hybridMultilevel"/>
    <w:lvl w:ilvl="0">
      <w:lvlJc w:val="left"/>
      <w:lvlText w:val="(%1)"/>
      <w:numFmt w:val="lowerLetter"/>
      <w:start w:val="2"/>
    </w:lvl>
  </w:abstractNum>
  <w:abstractNum w:abstractNumId="143">
    <w:nsid w:val="4E42B6A8"/>
    <w:multiLevelType w:val="hybridMultilevel"/>
    <w:lvl w:ilvl="0">
      <w:lvlJc w:val="left"/>
      <w:lvlText w:val="(%1)"/>
      <w:numFmt w:val="lowerLetter"/>
      <w:start w:val="1"/>
    </w:lvl>
  </w:abstractNum>
  <w:abstractNum w:abstractNumId="144">
    <w:nsid w:val="43F8E1AC"/>
    <w:multiLevelType w:val="hybridMultilevel"/>
    <w:lvl w:ilvl="0">
      <w:lvlJc w:val="left"/>
      <w:lvlText w:val="%1"/>
      <w:numFmt w:val="decimal"/>
      <w:start w:val="1"/>
    </w:lvl>
    <w:lvl w:ilvl="1">
      <w:lvlJc w:val="left"/>
      <w:lvlText w:val="%2)"/>
      <w:numFmt w:val="lowerLetter"/>
      <w:start w:val="1"/>
    </w:lvl>
  </w:abstractNum>
  <w:abstractNum w:abstractNumId="145">
    <w:nsid w:val="69215DFB"/>
    <w:multiLevelType w:val="hybridMultilevel"/>
    <w:lvl w:ilvl="0">
      <w:lvlJc w:val="left"/>
      <w:lvlText w:val="%1."/>
      <w:numFmt w:val="decimal"/>
      <w:start w:val="3"/>
    </w:lvl>
    <w:lvl w:ilvl="1">
      <w:lvlJc w:val="left"/>
      <w:lvlText w:val="%2"/>
      <w:numFmt w:val="lowerLetter"/>
      <w:start w:val="1"/>
    </w:lvl>
  </w:abstractNum>
  <w:abstractNum w:abstractNumId="146">
    <w:nsid w:val="7ABF196A"/>
    <w:multiLevelType w:val="hybridMultilevel"/>
    <w:lvl w:ilvl="0">
      <w:lvlJc w:val="left"/>
      <w:lvlText w:val="%1."/>
      <w:numFmt w:val="decimal"/>
      <w:start w:val="4"/>
    </w:lvl>
  </w:abstractNum>
  <w:abstractNum w:abstractNumId="147">
    <w:nsid w:val="5E4DB968"/>
    <w:multiLevelType w:val="hybridMultilevel"/>
    <w:lvl w:ilvl="0">
      <w:lvlJc w:val="left"/>
      <w:lvlText w:val="(%1)"/>
      <w:numFmt w:val="lowerLetter"/>
      <w:start w:val="1"/>
    </w:lvl>
    <w:lvl w:ilvl="1">
      <w:lvlJc w:val="left"/>
      <w:lvlText w:val="(%2)"/>
      <w:numFmt w:val="lowerRoman"/>
      <w:start w:val="1"/>
    </w:lvl>
  </w:abstractNum>
  <w:abstractNum w:abstractNumId="148">
    <w:nsid w:val="2C06DCF3"/>
    <w:multiLevelType w:val="hybridMultilevel"/>
    <w:lvl w:ilvl="0">
      <w:lvlJc w:val="left"/>
      <w:lvlText w:val="(%1)"/>
      <w:numFmt w:val="lowerRoman"/>
      <w:start w:val="2"/>
    </w:lvl>
  </w:abstractNum>
  <w:abstractNum w:abstractNumId="149">
    <w:nsid w:val="2E129658"/>
    <w:multiLevelType w:val="hybridMultilevel"/>
    <w:lvl w:ilvl="0">
      <w:lvlJc w:val="left"/>
      <w:lvlText w:val="(%1)"/>
      <w:numFmt w:val="lowerRoman"/>
      <w:start w:val="4"/>
    </w:lvl>
  </w:abstractNum>
  <w:abstractNum w:abstractNumId="150">
    <w:nsid w:val="59F0446"/>
    <w:multiLevelType w:val="hybridMultilevel"/>
    <w:lvl w:ilvl="0">
      <w:lvlJc w:val="left"/>
      <w:lvlText w:val="(%1)"/>
      <w:numFmt w:val="lowerRoman"/>
      <w:start w:val="6"/>
    </w:lvl>
  </w:abstractNum>
  <w:abstractNum w:abstractNumId="151">
    <w:nsid w:val="30DF306"/>
    <w:multiLevelType w:val="hybridMultilevel"/>
    <w:lvl w:ilvl="0">
      <w:lvlJc w:val="left"/>
      <w:lvlText w:val="(%1)"/>
      <w:numFmt w:val="lowerLetter"/>
      <w:start w:val="1"/>
    </w:lvl>
  </w:abstractNum>
  <w:abstractNum w:abstractNumId="152">
    <w:nsid w:val="A65647"/>
    <w:multiLevelType w:val="hybridMultilevel"/>
    <w:lvl w:ilvl="0">
      <w:lvlJc w:val="left"/>
      <w:lvlText w:val="(%1)"/>
      <w:numFmt w:val="lowerLetter"/>
      <w:start w:val="2"/>
    </w:lvl>
  </w:abstractNum>
  <w:abstractNum w:abstractNumId="153">
    <w:nsid w:val="3E5E582B"/>
    <w:multiLevelType w:val="hybridMultilevel"/>
    <w:lvl w:ilvl="0">
      <w:lvlJc w:val="left"/>
      <w:lvlText w:val="(%1)"/>
      <w:numFmt w:val="lowerLetter"/>
      <w:start w:val="5"/>
    </w:lvl>
  </w:abstractNum>
  <w:abstractNum w:abstractNumId="154">
    <w:nsid w:val="257D4626"/>
    <w:multiLevelType w:val="hybridMultilevel"/>
    <w:lvl w:ilvl="0">
      <w:lvlJc w:val="left"/>
      <w:lvlText w:val="(%1)"/>
      <w:numFmt w:val="lowerLetter"/>
      <w:start w:val="1"/>
    </w:lvl>
  </w:abstractNum>
  <w:abstractNum w:abstractNumId="155">
    <w:nsid w:val="5AA8580E"/>
    <w:multiLevelType w:val="hybridMultilevel"/>
    <w:lvl w:ilvl="0">
      <w:lvlJc w:val="left"/>
      <w:lvlText w:val="(%1)"/>
      <w:numFmt w:val="lowerLetter"/>
      <w:start w:val="4"/>
    </w:lvl>
  </w:abstractNum>
  <w:abstractNum w:abstractNumId="156">
    <w:nsid w:val="68FA8D0D"/>
    <w:multiLevelType w:val="hybridMultilevel"/>
    <w:lvl w:ilvl="0">
      <w:lvlJc w:val="left"/>
      <w:lvlText w:val="(%1)"/>
      <w:numFmt w:val="lowerLetter"/>
      <w:start w:val="1"/>
    </w:lvl>
    <w:lvl w:ilvl="1">
      <w:lvlJc w:val="left"/>
      <w:lvlText w:val="(%2)"/>
      <w:numFmt w:val="lowerRoman"/>
      <w:start w:val="1"/>
    </w:lvl>
  </w:abstractNum>
  <w:abstractNum w:abstractNumId="157">
    <w:nsid w:val="40F2CBD2"/>
    <w:multiLevelType w:val="hybridMultilevel"/>
    <w:lvl w:ilvl="0">
      <w:lvlJc w:val="left"/>
      <w:lvlText w:val="(%1)"/>
      <w:numFmt w:val="lowerLetter"/>
      <w:start w:val="2"/>
    </w:lvl>
    <w:lvl w:ilvl="1">
      <w:lvlJc w:val="left"/>
      <w:lvlText w:val="(%2)"/>
      <w:numFmt w:val="lowerLetter"/>
      <w:start w:val="9"/>
    </w:lvl>
  </w:abstractNum>
  <w:abstractNum w:abstractNumId="158">
    <w:nsid w:val="3BD615EB"/>
    <w:multiLevelType w:val="hybridMultilevel"/>
    <w:lvl w:ilvl="0">
      <w:lvlJc w:val="left"/>
      <w:lvlText w:val="(%1)"/>
      <w:numFmt w:val="lowerRoman"/>
      <w:start w:val="2"/>
    </w:lvl>
  </w:abstractNum>
  <w:abstractNum w:abstractNumId="159">
    <w:nsid w:val="A045AB2"/>
    <w:multiLevelType w:val="hybridMultilevel"/>
    <w:lvl w:ilvl="0">
      <w:lvlJc w:val="left"/>
      <w:lvlText w:val="(%1)"/>
      <w:numFmt w:val="decimal"/>
      <w:start w:val="1"/>
    </w:lvl>
  </w:abstractNum>
  <w:abstractNum w:abstractNumId="160">
    <w:nsid w:val="1872261F"/>
    <w:multiLevelType w:val="hybridMultilevel"/>
    <w:lvl w:ilvl="0">
      <w:lvlJc w:val="left"/>
      <w:lvlText w:val="(%1)"/>
      <w:numFmt w:val="lowerLetter"/>
      <w:start w:val="1"/>
    </w:lvl>
  </w:abstractNum>
  <w:abstractNum w:abstractNumId="161">
    <w:nsid w:val="3DE8306C"/>
    <w:multiLevelType w:val="hybridMultilevel"/>
    <w:lvl w:ilvl="0">
      <w:lvlJc w:val="left"/>
      <w:lvlText w:val="%1."/>
      <w:numFmt w:val="decimal"/>
      <w:start w:val="5"/>
    </w:lvl>
  </w:abstractNum>
  <w:abstractNum w:abstractNumId="162">
    <w:nsid w:val="7631573A"/>
    <w:multiLevelType w:val="hybridMultilevel"/>
    <w:lvl w:ilvl="0">
      <w:lvlJc w:val="left"/>
      <w:lvlText w:val="%1."/>
      <w:numFmt w:val="decimal"/>
      <w:start w:val="6"/>
    </w:lvl>
  </w:abstractNum>
  <w:abstractNum w:abstractNumId="163">
    <w:nsid w:val="58DF53B"/>
    <w:multiLevelType w:val="hybridMultilevel"/>
    <w:lvl w:ilvl="0">
      <w:lvlJc w:val="left"/>
      <w:lvlText w:val="(%1)"/>
      <w:numFmt w:val="lowerLetter"/>
      <w:start w:val="1"/>
    </w:lvl>
  </w:abstractNum>
  <w:abstractNum w:abstractNumId="164">
    <w:nsid w:val="ACDFAC0"/>
    <w:multiLevelType w:val="hybridMultilevel"/>
    <w:lvl w:ilvl="0">
      <w:lvlJc w:val="left"/>
      <w:lvlText w:val="%1."/>
      <w:numFmt w:val="decimal"/>
      <w:start w:val="7"/>
    </w:lvl>
  </w:abstractNum>
  <w:abstractNum w:abstractNumId="165">
    <w:nsid w:val="1F578454"/>
    <w:multiLevelType w:val="hybridMultilevel"/>
    <w:lvl w:ilvl="0">
      <w:lvlJc w:val="left"/>
      <w:lvlText w:val="(%1)"/>
      <w:numFmt w:val="lowerLetter"/>
      <w:start w:val="1"/>
    </w:lvl>
  </w:abstractNum>
  <w:abstractNum w:abstractNumId="166">
    <w:nsid w:val="5B0DAD2A"/>
    <w:multiLevelType w:val="hybridMultilevel"/>
    <w:lvl w:ilvl="0">
      <w:lvlJc w:val="left"/>
      <w:lvlText w:val="(%1)"/>
      <w:numFmt w:val="lowerLetter"/>
      <w:start w:val="1"/>
    </w:lvl>
    <w:lvl w:ilvl="1">
      <w:lvlJc w:val="left"/>
      <w:lvlText w:val="(%2)"/>
      <w:numFmt w:val="lowerLetter"/>
      <w:start w:val="4"/>
    </w:lvl>
  </w:abstractNum>
  <w:abstractNum w:abstractNumId="167">
    <w:nsid w:val="4E3D26AB"/>
    <w:multiLevelType w:val="hybridMultilevel"/>
    <w:lvl w:ilvl="0">
      <w:lvlJc w:val="left"/>
      <w:lvlText w:val="%1"/>
      <w:numFmt w:val="lowerLetter"/>
      <w:start w:val="1"/>
    </w:lvl>
    <w:lvl w:ilvl="1">
      <w:lvlJc w:val="left"/>
      <w:lvlText w:val="(%2)"/>
      <w:numFmt w:val="lowerLetter"/>
      <w:start w:val="5"/>
    </w:lvl>
  </w:abstractNum>
  <w:abstractNum w:abstractNumId="168">
    <w:nsid w:val="BE2C8BA"/>
    <w:multiLevelType w:val="hybridMultilevel"/>
    <w:lvl w:ilvl="0">
      <w:lvlJc w:val="left"/>
      <w:lvlText w:val="(%1)"/>
      <w:numFmt w:val="lowerLetter"/>
      <w:start w:val="6"/>
    </w:lvl>
    <w:lvl w:ilvl="1">
      <w:lvlJc w:val="left"/>
      <w:lvlText w:val="%2"/>
      <w:numFmt w:val="lowerLetter"/>
      <w:start w:val="1"/>
    </w:lvl>
  </w:abstractNum>
  <w:abstractNum w:abstractNumId="169">
    <w:nsid w:val="7B14914E"/>
    <w:multiLevelType w:val="hybridMultilevel"/>
    <w:lvl w:ilvl="0">
      <w:lvlJc w:val="left"/>
      <w:lvlText w:val="(%1)"/>
      <w:numFmt w:val="lowerLetter"/>
      <w:start w:val="8"/>
    </w:lvl>
  </w:abstractNum>
  <w:abstractNum w:abstractNumId="170">
    <w:nsid w:val="6F0939F8"/>
    <w:multiLevelType w:val="hybridMultilevel"/>
    <w:lvl w:ilvl="0">
      <w:lvlJc w:val="left"/>
      <w:lvlText w:val="%1."/>
      <w:numFmt w:val="decimal"/>
      <w:start w:val="1"/>
    </w:lvl>
  </w:abstractNum>
  <w:abstractNum w:abstractNumId="171">
    <w:nsid w:val="154291F6"/>
    <w:multiLevelType w:val="hybridMultilevel"/>
    <w:lvl w:ilvl="0">
      <w:lvlJc w:val="left"/>
      <w:lvlText w:val="%1."/>
      <w:numFmt w:val="decimal"/>
      <w:start w:val="4"/>
    </w:lvl>
  </w:abstractNum>
  <w:abstractNum w:abstractNumId="172">
    <w:nsid w:val="3CEBD7C7"/>
    <w:multiLevelType w:val="hybridMultilevel"/>
    <w:lvl w:ilvl="0">
      <w:lvlJc w:val="left"/>
      <w:lvlText w:val="%1."/>
      <w:numFmt w:val="decimal"/>
      <w:start w:val="1"/>
    </w:lvl>
  </w:abstractNum>
  <w:abstractNum w:abstractNumId="173">
    <w:nsid w:val="60EE9C16"/>
    <w:multiLevelType w:val="hybridMultilevel"/>
    <w:lvl w:ilvl="0">
      <w:lvlJc w:val="left"/>
      <w:lvlText w:val="%1."/>
      <w:numFmt w:val="decimal"/>
      <w:start w:val="4"/>
    </w:lvl>
  </w:abstractNum>
  <w:abstractNum w:abstractNumId="174">
    <w:nsid w:val="6385489E"/>
    <w:multiLevelType w:val="hybridMultilevel"/>
    <w:lvl w:ilvl="0">
      <w:lvlJc w:val="left"/>
      <w:lvlText w:val="%1."/>
      <w:numFmt w:val="decimal"/>
      <w:start w:val="1"/>
    </w:lvl>
  </w:abstractNum>
  <w:abstractNum w:abstractNumId="175">
    <w:nsid w:val="E4B973"/>
    <w:multiLevelType w:val="hybridMultilevel"/>
    <w:lvl w:ilvl="0">
      <w:lvlJc w:val="left"/>
      <w:lvlText w:val="%1."/>
      <w:numFmt w:val="decimal"/>
      <w:start w:val="4"/>
    </w:lvl>
  </w:abstractNum>
  <w:abstractNum w:abstractNumId="176">
    <w:nsid w:val="4A0FFA11"/>
    <w:multiLevelType w:val="hybridMultilevel"/>
    <w:lvl w:ilvl="0">
      <w:lvlJc w:val="left"/>
      <w:lvlText w:val="(%1)"/>
      <w:numFmt w:val="lowerRoman"/>
      <w:start w:val="3"/>
    </w:lvl>
  </w:abstractNum>
  <w:abstractNum w:abstractNumId="177">
    <w:nsid w:val="5E446208"/>
    <w:multiLevelType w:val="hybridMultilevel"/>
    <w:lvl w:ilvl="0">
      <w:lvlJc w:val="left"/>
      <w:lvlText w:val="(%1)"/>
      <w:numFmt w:val="lowerRoman"/>
      <w:start w:val="1"/>
    </w:lvl>
  </w:abstractNum>
  <w:abstractNum w:abstractNumId="178">
    <w:nsid w:val="5F3272DB"/>
    <w:multiLevelType w:val="hybridMultilevel"/>
    <w:lvl w:ilvl="0">
      <w:lvlJc w:val="left"/>
      <w:lvlText w:val="(%1)"/>
      <w:numFmt w:val="lowerRoman"/>
      <w:start w:val="1"/>
    </w:lvl>
  </w:abstractNum>
  <w:abstractNum w:abstractNumId="179">
    <w:nsid w:val="7616D704"/>
    <w:multiLevelType w:val="hybridMultilevel"/>
    <w:lvl w:ilvl="0">
      <w:lvlJc w:val="left"/>
      <w:lvlText w:val="(%1)"/>
      <w:numFmt w:val="lowerRoman"/>
      <w:start w:val="1"/>
    </w:lvl>
  </w:abstractNum>
  <w:abstractNum w:abstractNumId="180">
    <w:nsid w:val="C56F860"/>
    <w:multiLevelType w:val="hybridMultilevel"/>
    <w:lvl w:ilvl="0">
      <w:lvlJc w:val="left"/>
      <w:lvlText w:val="(%1)"/>
      <w:numFmt w:val="lowerRoman"/>
      <w:start w:val="1"/>
    </w:lvl>
    <w:lvl w:ilvl="1">
      <w:lvlJc w:val="left"/>
      <w:lvlText w:val="-"/>
      <w:numFmt w:val="bullet"/>
      <w:start w:val="1"/>
    </w:lvl>
  </w:abstractNum>
  <w:abstractNum w:abstractNumId="181">
    <w:nsid w:val="64D17722"/>
    <w:multiLevelType w:val="hybridMultilevel"/>
    <w:lvl w:ilvl="0">
      <w:lvlJc w:val="left"/>
      <w:lvlText w:val="(%1)"/>
      <w:numFmt w:val="lowerRoman"/>
      <w:start w:val="1"/>
    </w:lvl>
    <w:lvl w:ilvl="1">
      <w:lvlJc w:val="left"/>
      <w:lvlText w:val="-"/>
      <w:numFmt w:val="bullet"/>
      <w:start w:val="1"/>
    </w:lvl>
  </w:abstractNum>
  <w:abstractNum w:abstractNumId="182">
    <w:nsid w:val="7924CA0A"/>
    <w:multiLevelType w:val="hybridMultilevel"/>
    <w:lvl w:ilvl="0">
      <w:lvlJc w:val="left"/>
      <w:lvlText w:val="(%1)"/>
      <w:numFmt w:val="lowerRoman"/>
      <w:start w:val="1"/>
    </w:lvl>
  </w:abstractNum>
  <w:abstractNum w:abstractNumId="183">
    <w:nsid w:val="CFD4EA7"/>
    <w:multiLevelType w:val="hybridMultilevel"/>
    <w:lvl w:ilvl="0">
      <w:lvlJc w:val="left"/>
      <w:lvlText w:val="(%1)"/>
      <w:numFmt w:val="lowerRoman"/>
      <w:start w:val="1"/>
    </w:lvl>
  </w:abstractNum>
  <w:abstractNum w:abstractNumId="184">
    <w:nsid w:val="232FCF4D"/>
    <w:multiLevelType w:val="hybridMultilevel"/>
    <w:lvl w:ilvl="0">
      <w:lvlJc w:val="left"/>
      <w:lvlText w:val="(%1)"/>
      <w:numFmt w:val="lowerRoman"/>
      <w:start w:val="2"/>
    </w:lvl>
  </w:abstractNum>
  <w:abstractNum w:abstractNumId="185">
    <w:nsid w:val="1EA21031"/>
    <w:multiLevelType w:val="hybridMultilevel"/>
    <w:lvl w:ilvl="0">
      <w:lvlJc w:val="left"/>
      <w:lvlText w:val="(%1)"/>
      <w:numFmt w:val="lowerRoman"/>
      <w:start w:val="1"/>
    </w:lvl>
  </w:abstractNum>
  <w:abstractNum w:abstractNumId="186">
    <w:nsid w:val="67A5A6B5"/>
    <w:multiLevelType w:val="hybridMultilevel"/>
    <w:lvl w:ilvl="0">
      <w:lvlJc w:val="left"/>
      <w:lvlText w:val="(%1)"/>
      <w:numFmt w:val="lowerRoman"/>
      <w:start w:val="1"/>
    </w:lvl>
  </w:abstractNum>
  <w:abstractNum w:abstractNumId="187">
    <w:nsid w:val="C2A5C5B"/>
    <w:multiLevelType w:val="hybridMultilevel"/>
    <w:lvl w:ilvl="0">
      <w:lvlJc w:val="left"/>
      <w:lvlText w:val="(%1)"/>
      <w:numFmt w:val="lowerRoman"/>
      <w:start w:val="1"/>
    </w:lvl>
  </w:abstractNum>
  <w:abstractNum w:abstractNumId="188">
    <w:nsid w:val="5F94DC03"/>
    <w:multiLevelType w:val="hybridMultilevel"/>
    <w:lvl w:ilvl="0">
      <w:lvlJc w:val="left"/>
      <w:lvlText w:val="(%1)"/>
      <w:numFmt w:val="lowerRoman"/>
      <w:start w:val="1"/>
    </w:lvl>
  </w:abstractNum>
  <w:abstractNum w:abstractNumId="189">
    <w:nsid w:val="237BBCA0"/>
    <w:multiLevelType w:val="hybridMultilevel"/>
    <w:lvl w:ilvl="0">
      <w:lvlJc w:val="left"/>
      <w:lvlText w:val="(%1)"/>
      <w:numFmt w:val="lowerRoman"/>
      <w:start w:val="3"/>
    </w:lvl>
    <w:lvl w:ilvl="1">
      <w:lvlJc w:val="left"/>
      <w:lvlText w:val="-"/>
      <w:numFmt w:val="bullet"/>
      <w:start w:val="1"/>
    </w:lvl>
  </w:abstractNum>
  <w:abstractNum w:abstractNumId="190">
    <w:nsid w:val="162EB70D"/>
    <w:multiLevelType w:val="hybridMultilevel"/>
    <w:lvl w:ilvl="0">
      <w:lvlJc w:val="left"/>
      <w:lvlText w:val="(%1)"/>
      <w:numFmt w:val="lowerRoman"/>
      <w:start w:val="4"/>
    </w:lvl>
  </w:abstractNum>
  <w:abstractNum w:abstractNumId="191">
    <w:nsid w:val="78070222"/>
    <w:multiLevelType w:val="hybridMultilevel"/>
    <w:lvl w:ilvl="0">
      <w:lvlJc w:val="left"/>
      <w:lvlText w:val="(%1)"/>
      <w:numFmt w:val="lowerRoman"/>
      <w:start w:val="1"/>
    </w:lvl>
  </w:abstractNum>
  <w:abstractNum w:abstractNumId="192">
    <w:nsid w:val="6163ED0D"/>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93">
    <w:nsid w:val="C600E47"/>
    <w:multiLevelType w:val="hybridMultilevel"/>
    <w:lvl w:ilvl="0">
      <w:lvlJc w:val="left"/>
      <w:lvlText w:val="(%1)"/>
      <w:numFmt w:val="decimal"/>
      <w:start w:val="10"/>
    </w:lvl>
    <w:lvl w:ilvl="1">
      <w:lvlJc w:val="left"/>
      <w:lvlText w:val="%2"/>
      <w:numFmt w:val="decimal"/>
      <w:start w:val="1"/>
    </w:lvl>
    <w:lvl w:ilvl="2">
      <w:lvlJc w:val="left"/>
      <w:lvlText w:val="(%3)"/>
      <w:numFmt w:val="lowerLetter"/>
      <w:start w:val="2"/>
    </w:lvl>
  </w:abstractNum>
  <w:abstractNum w:abstractNumId="194">
    <w:nsid w:val="7D94F75D"/>
    <w:multiLevelType w:val="hybridMultilevel"/>
    <w:lvl w:ilvl="0">
      <w:lvlJc w:val="left"/>
      <w:lvlText w:val="(%1)"/>
      <w:numFmt w:val="decimal"/>
      <w:start w:val="120"/>
    </w:lvl>
    <w:lvl w:ilvl="1">
      <w:lvlJc w:val="left"/>
      <w:lvlText w:val="%2"/>
      <w:numFmt w:val="decimal"/>
      <w:start w:val="1"/>
    </w:lvl>
    <w:lvl w:ilvl="2">
      <w:lvlJc w:val="left"/>
      <w:lvlText w:val="%3"/>
      <w:numFmt w:val="lowerLetter"/>
      <w:start w:val="1"/>
    </w:lvl>
  </w:abstractNum>
  <w:abstractNum w:abstractNumId="195">
    <w:nsid w:val="6C31E7CD"/>
    <w:multiLevelType w:val="hybridMultilevel"/>
    <w:lvl w:ilvl="0">
      <w:lvlJc w:val="left"/>
      <w:lvlText w:val="(%1)"/>
      <w:numFmt w:val="lowerLetter"/>
      <w:start w:val="4"/>
    </w:lvl>
  </w:abstractNum>
  <w:abstractNum w:abstractNumId="196">
    <w:nsid w:val="2BB7929B"/>
    <w:multiLevelType w:val="hybridMultilevel"/>
    <w:lvl w:ilvl="0">
      <w:lvlJc w:val="left"/>
      <w:lvlText w:val="(%1)"/>
      <w:numFmt w:val="lowerLetter"/>
      <w:start w:val="1"/>
    </w:lvl>
  </w:abstractNum>
  <w:abstractNum w:abstractNumId="197">
    <w:nsid w:val="58A2A487"/>
    <w:multiLevelType w:val="hybridMultilevel"/>
    <w:lvl w:ilvl="0">
      <w:lvlJc w:val="left"/>
      <w:lvlText w:val="(%1)"/>
      <w:numFmt w:val="lowerLetter"/>
      <w:start w:val="2"/>
    </w:lvl>
  </w:abstractNum>
  <w:abstractNum w:abstractNumId="198">
    <w:nsid w:val="3A6F0E78"/>
    <w:multiLevelType w:val="hybridMultilevel"/>
    <w:lvl w:ilvl="0">
      <w:lvlJc w:val="left"/>
      <w:lvlText w:val="(%1)"/>
      <w:numFmt w:val="lowerLetter"/>
      <w:start w:val="3"/>
    </w:lvl>
  </w:abstractNum>
  <w:abstractNum w:abstractNumId="199">
    <w:nsid w:val="379A5B56"/>
    <w:multiLevelType w:val="hybridMultilevel"/>
    <w:lvl w:ilvl="0">
      <w:lvlJc w:val="left"/>
      <w:lvlText w:val="(%1)"/>
      <w:numFmt w:val="lowerLetter"/>
      <w:start w:val="1"/>
    </w:lvl>
  </w:abstractNum>
  <w:abstractNum w:abstractNumId="200">
    <w:nsid w:val="53B735D5"/>
    <w:multiLevelType w:val="hybridMultilevel"/>
    <w:lvl w:ilvl="0">
      <w:lvlJc w:val="left"/>
      <w:lvlText w:val="(%1)"/>
      <w:numFmt w:val="lowerLetter"/>
      <w:start w:val="4"/>
    </w:lvl>
  </w:abstractNum>
  <w:abstractNum w:abstractNumId="201">
    <w:nsid w:val="29784870"/>
    <w:multiLevelType w:val="hybridMultilevel"/>
    <w:lvl w:ilvl="0">
      <w:lvlJc w:val="left"/>
      <w:lvlText w:val="(%1)"/>
      <w:numFmt w:val="lowerLetter"/>
      <w:start w:val="1"/>
    </w:lvl>
  </w:abstractNum>
  <w:abstractNum w:abstractNumId="202">
    <w:nsid w:val="4CDCED4C"/>
    <w:multiLevelType w:val="hybridMultilevel"/>
    <w:lvl w:ilvl="0">
      <w:lvlJc w:val="left"/>
      <w:lvlText w:val="(%1)"/>
      <w:numFmt w:val="lowerLetter"/>
      <w:start w:val="2"/>
    </w:lvl>
  </w:abstractNum>
  <w:abstractNum w:abstractNumId="203">
    <w:nsid w:val="10A30D9C"/>
    <w:multiLevelType w:val="hybridMultilevel"/>
    <w:lvl w:ilvl="0">
      <w:lvlJc w:val="left"/>
      <w:lvlText w:val="(%1)"/>
      <w:numFmt w:val="lowerLetter"/>
      <w:start w:val="4"/>
    </w:lvl>
  </w:abstractNum>
  <w:abstractNum w:abstractNumId="204">
    <w:nsid w:val="A66E486"/>
    <w:multiLevelType w:val="hybridMultilevel"/>
    <w:lvl w:ilvl="0">
      <w:lvlJc w:val="left"/>
      <w:lvlText w:val="%1"/>
      <w:numFmt w:val="lowerRoman"/>
      <w:start w:val="1"/>
    </w:lvl>
    <w:lvl w:ilvl="1">
      <w:lvlJc w:val="left"/>
      <w:lvlText w:val="(%2)"/>
      <w:numFmt w:val="lowerLetter"/>
      <w:start w:val="1"/>
    </w:lvl>
  </w:abstractNum>
  <w:abstractNum w:abstractNumId="205">
    <w:nsid w:val="306235EA"/>
    <w:multiLevelType w:val="hybridMultilevel"/>
    <w:lvl w:ilvl="0">
      <w:lvlJc w:val="left"/>
      <w:lvlText w:val="(%1)"/>
      <w:numFmt w:val="lowerRoman"/>
      <w:start w:val="1"/>
    </w:lvl>
    <w:lvl w:ilvl="1">
      <w:lvlJc w:val="left"/>
      <w:lvlText w:val="%2"/>
      <w:numFmt w:val="lowerLetter"/>
      <w:start w:val="1"/>
    </w:lvl>
  </w:abstractNum>
  <w:abstractNum w:abstractNumId="206">
    <w:nsid w:val="1187C70F"/>
    <w:multiLevelType w:val="hybridMultilevel"/>
    <w:lvl w:ilvl="0">
      <w:lvlJc w:val="left"/>
      <w:lvlText w:val="(%1)"/>
      <w:numFmt w:val="lowerLetter"/>
      <w:start w:val="1"/>
    </w:lvl>
  </w:abstractNum>
  <w:abstractNum w:abstractNumId="207">
    <w:nsid w:val="5476DE98"/>
    <w:multiLevelType w:val="hybridMultilevel"/>
    <w:lvl w:ilvl="0">
      <w:lvlJc w:val="left"/>
      <w:lvlText w:val="(%1)"/>
      <w:numFmt w:val="lowerLetter"/>
      <w:start w:val="3"/>
    </w:lvl>
  </w:abstractNum>
  <w:abstractNum w:abstractNumId="208">
    <w:nsid w:val="EA697F2"/>
    <w:multiLevelType w:val="hybridMultilevel"/>
    <w:lvl w:ilvl="0">
      <w:lvlJc w:val="left"/>
      <w:lvlText w:val="(%1)"/>
      <w:numFmt w:val="lowerLetter"/>
      <w:start w:val="1"/>
    </w:lvl>
  </w:abstractNum>
  <w:abstractNum w:abstractNumId="209">
    <w:nsid w:val="70BA39EB"/>
    <w:multiLevelType w:val="hybridMultilevel"/>
    <w:lvl w:ilvl="0">
      <w:lvlJc w:val="left"/>
      <w:lvlText w:val="%1"/>
      <w:numFmt w:val="decimal"/>
      <w:start w:val="1"/>
    </w:lvl>
    <w:lvl w:ilvl="1">
      <w:lvlJc w:val="left"/>
      <w:lvlText w:val="(%2)"/>
      <w:numFmt w:val="lowerLetter"/>
      <w:start w:val="2"/>
    </w:lvl>
  </w:abstractNum>
  <w:abstractNum w:abstractNumId="210">
    <w:nsid w:val="4A8DB59C"/>
    <w:multiLevelType w:val="hybridMultilevel"/>
    <w:lvl w:ilvl="0">
      <w:lvlJc w:val="left"/>
      <w:lvlText w:val="%1."/>
      <w:numFmt w:val="decimal"/>
      <w:start w:val="3"/>
    </w:lvl>
    <w:lvl w:ilvl="1">
      <w:lvlJc w:val="left"/>
      <w:lvlText w:val="%2"/>
      <w:numFmt w:val="lowerLetter"/>
      <w:start w:val="1"/>
    </w:lvl>
  </w:abstractNum>
  <w:abstractNum w:abstractNumId="211">
    <w:nsid w:val="1AFD9053"/>
    <w:multiLevelType w:val="hybridMultilevel"/>
    <w:lvl w:ilvl="0">
      <w:lvlJc w:val="left"/>
      <w:lvlText w:val="(%1)"/>
      <w:numFmt w:val="lowerLetter"/>
      <w:start w:val="1"/>
    </w:lvl>
  </w:abstractNum>
  <w:abstractNum w:abstractNumId="212">
    <w:nsid w:val="558BB10D"/>
    <w:multiLevelType w:val="hybridMultilevel"/>
    <w:lvl w:ilvl="0">
      <w:lvlJc w:val="left"/>
      <w:lvlText w:val="(%1)"/>
      <w:numFmt w:val="lowerLetter"/>
      <w:start w:val="5"/>
    </w:lvl>
  </w:abstractNum>
  <w:abstractNum w:abstractNumId="213">
    <w:nsid w:val="43B27FA7"/>
    <w:multiLevelType w:val="hybridMultilevel"/>
    <w:lvl w:ilvl="0">
      <w:lvlJc w:val="left"/>
      <w:lvlText w:val="%1."/>
      <w:numFmt w:val="decimal"/>
      <w:start w:val="4"/>
    </w:lvl>
  </w:abstractNum>
  <w:abstractNum w:abstractNumId="214">
    <w:nsid w:val="27FADEFA"/>
    <w:multiLevelType w:val="hybridMultilevel"/>
    <w:lvl w:ilvl="0">
      <w:lvlJc w:val="left"/>
      <w:lvlText w:val="(%1)"/>
      <w:numFmt w:val="lowerLetter"/>
      <w:start w:val="1"/>
    </w:lvl>
  </w:abstractNum>
  <w:abstractNum w:abstractNumId="215">
    <w:nsid w:val="78BB805A"/>
    <w:multiLevelType w:val="hybridMultilevel"/>
    <w:lvl w:ilvl="0">
      <w:lvlJc w:val="left"/>
      <w:lvlText w:val="(%1)"/>
      <w:numFmt w:val="lowerRoman"/>
      <w:start w:val="1"/>
    </w:lvl>
    <w:lvl w:ilvl="1">
      <w:lvlJc w:val="left"/>
      <w:lvlText w:val="%2."/>
      <w:numFmt w:val="decimal"/>
      <w:start w:val="5"/>
    </w:lvl>
  </w:abstractNum>
  <w:abstractNum w:abstractNumId="216">
    <w:nsid w:val="62548FD8"/>
    <w:multiLevelType w:val="hybridMultilevel"/>
    <w:lvl w:ilvl="0">
      <w:lvlJc w:val="left"/>
      <w:lvlText w:val="(%1)"/>
      <w:numFmt w:val="lowerLetter"/>
      <w:start w:val="1"/>
    </w:lvl>
  </w:abstractNum>
  <w:abstractNum w:abstractNumId="217">
    <w:nsid w:val="FA085B0"/>
    <w:multiLevelType w:val="hybridMultilevel"/>
    <w:lvl w:ilvl="0">
      <w:lvlJc w:val="left"/>
      <w:lvlText w:val="%1."/>
      <w:numFmt w:val="decimal"/>
      <w:start w:val="6"/>
    </w:lvl>
  </w:abstractNum>
  <w:abstractNum w:abstractNumId="218">
    <w:nsid w:val="4E5DCB5"/>
    <w:multiLevelType w:val="hybridMultilevel"/>
    <w:lvl w:ilvl="0">
      <w:lvlJc w:val="left"/>
      <w:lvlText w:val="(%1)"/>
      <w:numFmt w:val="lowerRoman"/>
      <w:start w:val="3"/>
    </w:lvl>
  </w:abstractNum>
  <w:abstractNum w:abstractNumId="219">
    <w:nsid w:val="41E96BDB"/>
    <w:multiLevelType w:val="hybridMultilevel"/>
    <w:lvl w:ilvl="0">
      <w:lvlJc w:val="left"/>
      <w:lvlText w:val="%1."/>
      <w:numFmt w:val="decimal"/>
      <w:start w:val="1"/>
    </w:lvl>
  </w:abstractNum>
  <w:abstractNum w:abstractNumId="220">
    <w:nsid w:val="331C4250"/>
    <w:multiLevelType w:val="hybridMultilevel"/>
    <w:lvl w:ilvl="0">
      <w:lvlJc w:val="left"/>
      <w:lvlText w:val="%1."/>
      <w:numFmt w:val="decimal"/>
      <w:start w:val="3"/>
    </w:lvl>
  </w:abstractNum>
  <w:abstractNum w:abstractNumId="221">
    <w:nsid w:val="1B1493C2"/>
    <w:multiLevelType w:val="hybridMultilevel"/>
    <w:lvl w:ilvl="0">
      <w:lvlJc w:val="left"/>
      <w:lvlText w:val="%1."/>
      <w:numFmt w:val="decimal"/>
      <w:start w:val="30"/>
    </w:lvl>
  </w:abstractNum>
  <w:abstractNum w:abstractNumId="222">
    <w:nsid w:val="39F06DFD"/>
    <w:multiLevelType w:val="hybridMultilevel"/>
    <w:lvl w:ilvl="0">
      <w:lvlJc w:val="left"/>
      <w:lvlText w:val="%1."/>
      <w:numFmt w:val="decimal"/>
      <w:start w:val="2"/>
    </w:lvl>
  </w:abstractNum>
  <w:abstractNum w:abstractNumId="223">
    <w:nsid w:val="14802F5D"/>
    <w:multiLevelType w:val="hybridMultilevel"/>
    <w:lvl w:ilvl="0">
      <w:lvlJc w:val="left"/>
      <w:lvlText w:val="%1."/>
      <w:numFmt w:val="decimal"/>
      <w:start w:val="3"/>
    </w:lvl>
  </w:abstractNum>
  <w:abstractNum w:abstractNumId="224">
    <w:nsid w:val="2774A209"/>
    <w:multiLevelType w:val="hybridMultilevel"/>
    <w:lvl w:ilvl="0">
      <w:lvlJc w:val="left"/>
      <w:lvlText w:val="%1."/>
      <w:numFmt w:val="decimal"/>
      <w:start w:val="4"/>
    </w:lvl>
  </w:abstractNum>
  <w:abstractNum w:abstractNumId="225">
    <w:nsid w:val="3785655A"/>
    <w:multiLevelType w:val="hybridMultilevel"/>
    <w:lvl w:ilvl="0">
      <w:lvlJc w:val="left"/>
      <w:lvlText w:val="%1."/>
      <w:numFmt w:val="decimal"/>
      <w:start w:val="5"/>
    </w:lvl>
  </w:abstractNum>
  <w:abstractNum w:abstractNumId="226">
    <w:nsid w:val="B2172A"/>
    <w:multiLevelType w:val="hybridMultilevel"/>
    <w:lvl w:ilvl="0">
      <w:lvlJc w:val="left"/>
      <w:lvlText w:val="%1."/>
      <w:numFmt w:val="decimal"/>
      <w:start w:val="1"/>
    </w:lvl>
  </w:abstractNum>
  <w:abstractNum w:abstractNumId="227">
    <w:nsid w:val="532C34A5"/>
    <w:multiLevelType w:val="hybridMultilevel"/>
    <w:lvl w:ilvl="0">
      <w:lvlJc w:val="left"/>
      <w:lvlText w:val="%1."/>
      <w:numFmt w:val="decimal"/>
      <w:start w:val="1"/>
    </w:lvl>
  </w:abstractNum>
  <w:abstractNum w:abstractNumId="228">
    <w:nsid w:val="102809E2"/>
    <w:multiLevelType w:val="hybridMultilevel"/>
    <w:lvl w:ilvl="0">
      <w:lvlJc w:val="left"/>
      <w:lvlText w:val="%1."/>
      <w:numFmt w:val="decimal"/>
      <w:start w:val="1"/>
    </w:lvl>
  </w:abstractNum>
  <w:abstractNum w:abstractNumId="229">
    <w:nsid w:val="3B2125A3"/>
    <w:multiLevelType w:val="hybridMultilevel"/>
    <w:lvl w:ilvl="0">
      <w:lvlJc w:val="left"/>
      <w:lvlText w:val="%1."/>
      <w:numFmt w:val="decimal"/>
      <w:start w:val="1"/>
    </w:lvl>
  </w:abstractNum>
  <w:abstractNum w:abstractNumId="230">
    <w:nsid w:val="AC68FFB"/>
    <w:multiLevelType w:val="hybridMultilevel"/>
    <w:lvl w:ilvl="0">
      <w:lvlJc w:val="left"/>
      <w:lvlText w:val="%1."/>
      <w:numFmt w:val="decimal"/>
      <w:start w:val="2"/>
    </w:lvl>
  </w:abstractNum>
  <w:abstractNum w:abstractNumId="231">
    <w:nsid w:val="63DF3FB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32">
    <w:nsid w:val="64996E13"/>
    <w:multiLevelType w:val="hybridMultilevel"/>
    <w:lvl w:ilvl="0">
      <w:lvlJc w:val="left"/>
      <w:lvlText w:val="%1"/>
      <w:numFmt w:val="lowerLetter"/>
      <w:start w:val="1"/>
    </w:lvl>
    <w:lvl w:ilvl="1">
      <w:lvlJc w:val="left"/>
      <w:lvlText w:val="(%2)"/>
      <w:numFmt w:val="lowerLetter"/>
      <w:start w:val="7"/>
    </w:lvl>
  </w:abstractNum>
  <w:abstractNum w:abstractNumId="233">
    <w:nsid w:val="57A37D47"/>
    <w:multiLevelType w:val="hybridMultilevel"/>
    <w:lvl w:ilvl="0">
      <w:lvlJc w:val="left"/>
      <w:lvlText w:val="(%1)"/>
      <w:numFmt w:val="lowerLetter"/>
      <w:start w:val="35"/>
    </w:lvl>
    <w:lvl w:ilvl="1">
      <w:lvlJc w:val="left"/>
      <w:lvlText w:val="%2"/>
      <w:numFmt w:val="lowerLetter"/>
      <w:start w:val="1"/>
    </w:lvl>
  </w:abstractNum>
  <w:abstractNum w:abstractNumId="234">
    <w:nsid w:val="74824D54"/>
    <w:multiLevelType w:val="hybridMultilevel"/>
    <w:lvl w:ilvl="0">
      <w:lvlJc w:val="left"/>
      <w:lvlText w:val="(%1)"/>
      <w:numFmt w:val="lowerLetter"/>
      <w:start w:val="17"/>
    </w:lvl>
    <w:lvl w:ilvl="1">
      <w:lvlJc w:val="left"/>
      <w:lvlText w:val="(%2)"/>
      <w:numFmt w:val="lowerRoman"/>
      <w:start w:val="1"/>
    </w:lvl>
  </w:abstractNum>
  <w:abstractNum w:abstractNumId="235">
    <w:nsid w:val="6F00529A"/>
    <w:multiLevelType w:val="hybridMultilevel"/>
    <w:lvl w:ilvl="0">
      <w:lvlJc w:val="left"/>
      <w:lvlText w:val="(%1)"/>
      <w:numFmt w:val="lowerLetter"/>
      <w:start w:val="27"/>
    </w:lvl>
  </w:abstractNum>
  <w:abstractNum w:abstractNumId="236">
    <w:nsid w:val="805B331"/>
    <w:multiLevelType w:val="hybridMultilevel"/>
    <w:lvl w:ilvl="0">
      <w:lvlJc w:val="left"/>
      <w:lvlText w:val="%1"/>
      <w:numFmt w:val="decimal"/>
      <w:start w:val="1"/>
    </w:lvl>
    <w:lvl w:ilvl="1">
      <w:lvlJc w:val="left"/>
      <w:lvlText w:val="(%2)"/>
      <w:numFmt w:val="lowerLetter"/>
      <w:start w:val="28"/>
    </w:lvl>
  </w:abstractNum>
  <w:abstractNum w:abstractNumId="237">
    <w:nsid w:val="60A1463"/>
    <w:multiLevelType w:val="hybridMultilevel"/>
    <w:lvl w:ilvl="0">
      <w:lvlJc w:val="left"/>
      <w:lvlText w:val="%1."/>
      <w:numFmt w:val="decimal"/>
      <w:start w:val="3"/>
    </w:lvl>
    <w:lvl w:ilvl="1">
      <w:lvlJc w:val="left"/>
      <w:lvlText w:val="(%2)"/>
      <w:numFmt w:val="lowerLetter"/>
      <w:start w:val="1"/>
    </w:lvl>
  </w:abstractNum>
  <w:abstractNum w:abstractNumId="238">
    <w:nsid w:val="43773132"/>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39">
    <w:nsid w:val="16AC4B2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3"/>
    </w:lvl>
  </w:abstractNum>
  <w:abstractNum w:abstractNumId="240">
    <w:nsid w:val="76C44E4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41">
    <w:nsid w:val="E04E6C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42">
    <w:nsid w:val="31A9DB76"/>
    <w:multiLevelType w:val="hybridMultilevel"/>
    <w:lvl w:ilvl="0">
      <w:lvlJc w:val="left"/>
      <w:lvlText w:val="%1"/>
      <w:numFmt w:val="lowerLetter"/>
      <w:start w:val="1"/>
    </w:lvl>
    <w:lvl w:ilvl="1">
      <w:lvlJc w:val="left"/>
      <w:lvlText w:val="(%2)"/>
      <w:numFmt w:val="lowerRoman"/>
      <w:start w:val="2"/>
    </w:lvl>
  </w:abstractNum>
  <w:abstractNum w:abstractNumId="243">
    <w:nsid w:val="4C4FFF5B"/>
    <w:multiLevelType w:val="hybridMultilevel"/>
    <w:lvl w:ilvl="0">
      <w:lvlJc w:val="left"/>
      <w:lvlText w:val="(%1)"/>
      <w:numFmt w:val="lowerLetter"/>
      <w:start w:val="6"/>
    </w:lvl>
    <w:lvl w:ilvl="1">
      <w:lvlJc w:val="left"/>
      <w:lvlText w:val="(%2)"/>
      <w:numFmt w:val="lowerRoman"/>
      <w:start w:val="1"/>
    </w:lvl>
  </w:abstractNum>
  <w:abstractNum w:abstractNumId="244">
    <w:nsid w:val="51B76675"/>
    <w:multiLevelType w:val="hybridMultilevel"/>
    <w:lvl w:ilvl="0">
      <w:lvlJc w:val="left"/>
      <w:lvlText w:val="(%1)"/>
      <w:numFmt w:val="lowerRoman"/>
      <w:start w:val="2"/>
    </w:lvl>
  </w:abstractNum>
  <w:abstractNum w:abstractNumId="245">
    <w:nsid w:val="59A4BA7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46">
    <w:nsid w:val="450B7FB6"/>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47">
    <w:nsid w:val="340BF64D"/>
    <w:multiLevelType w:val="hybridMultilevel"/>
    <w:lvl w:ilvl="0">
      <w:lvlJc w:val="left"/>
      <w:lvlText w:val="(%1)"/>
      <w:numFmt w:val="lowerLetter"/>
      <w:start w:val="5"/>
    </w:lvl>
    <w:lvl w:ilvl="1">
      <w:lvlJc w:val="left"/>
      <w:lvlText w:val="(%2)"/>
      <w:numFmt w:val="lowerRoman"/>
      <w:start w:val="1"/>
    </w:lvl>
  </w:abstractNum>
  <w:abstractNum w:abstractNumId="248">
    <w:nsid w:val="69454021"/>
    <w:multiLevelType w:val="hybridMultilevel"/>
    <w:lvl w:ilvl="0">
      <w:lvlJc w:val="left"/>
      <w:lvlText w:val="%1."/>
      <w:numFmt w:val="decimal"/>
      <w:start w:val="8"/>
    </w:lvl>
    <w:lvl w:ilvl="1">
      <w:lvlJc w:val="left"/>
      <w:lvlText w:val="(%2)"/>
      <w:numFmt w:val="lowerLetter"/>
      <w:start w:val="1"/>
    </w:lvl>
  </w:abstractNum>
  <w:abstractNum w:abstractNumId="249">
    <w:nsid w:val="49F15C6B"/>
    <w:multiLevelType w:val="hybridMultilevel"/>
    <w:lvl w:ilvl="0">
      <w:lvlJc w:val="left"/>
      <w:lvlText w:val="%1"/>
      <w:numFmt w:val="decimal"/>
      <w:start w:val="1"/>
    </w:lvl>
    <w:lvl w:ilvl="1">
      <w:lvlJc w:val="left"/>
      <w:lvlText w:val="(%2)"/>
      <w:numFmt w:val="lowerLetter"/>
      <w:start w:val="8"/>
    </w:lvl>
  </w:abstractNum>
  <w:abstractNum w:abstractNumId="250">
    <w:nsid w:val="75F56228"/>
    <w:multiLevelType w:val="hybridMultilevel"/>
    <w:lvl w:ilvl="0">
      <w:lvlJc w:val="left"/>
      <w:lvlText w:val="%1."/>
      <w:numFmt w:val="decimal"/>
      <w:start w:val="9"/>
    </w:lvl>
    <w:lvl w:ilvl="1">
      <w:lvlJc w:val="left"/>
      <w:lvlText w:val="(%2)"/>
      <w:numFmt w:val="lowerLetter"/>
      <w:start w:val="1"/>
    </w:lvl>
  </w:abstractNum>
  <w:abstractNum w:abstractNumId="251">
    <w:nsid w:val="1C618271"/>
    <w:multiLevelType w:val="hybridMultilevel"/>
    <w:lvl w:ilvl="0">
      <w:lvlJc w:val="left"/>
      <w:lvlText w:val="%1."/>
      <w:numFmt w:val="decimal"/>
      <w:start w:val="12"/>
    </w:lvl>
    <w:lvl w:ilvl="1">
      <w:lvlJc w:val="left"/>
      <w:lvlText w:val="(%2)"/>
      <w:numFmt w:val="lowerLetter"/>
      <w:start w:val="1"/>
    </w:lvl>
  </w:abstractNum>
  <w:abstractNum w:abstractNumId="252">
    <w:nsid w:val="6505F02E"/>
    <w:multiLevelType w:val="hybridMultilevel"/>
    <w:lvl w:ilvl="0">
      <w:lvlJc w:val="left"/>
      <w:lvlText w:val="(%1)"/>
      <w:numFmt w:val="upperLetter"/>
      <w:start w:val="2"/>
    </w:lvl>
  </w:abstractNum>
  <w:abstractNum w:abstractNumId="253">
    <w:nsid w:val="2FE5D025"/>
    <w:multiLevelType w:val="hybridMultilevel"/>
    <w:lvl w:ilvl="0">
      <w:lvlJc w:val="left"/>
      <w:lvlText w:val="%1."/>
      <w:numFmt w:val="decimal"/>
      <w:start w:val="14"/>
    </w:lvl>
    <w:lvl w:ilvl="1">
      <w:lvlJc w:val="left"/>
      <w:lvlText w:val="(%2)"/>
      <w:numFmt w:val="lowerLetter"/>
      <w:start w:val="1"/>
    </w:lvl>
  </w:abstractNum>
  <w:abstractNum w:abstractNumId="254">
    <w:nsid w:val="30E1B1CF"/>
    <w:multiLevelType w:val="hybridMultilevel"/>
    <w:lvl w:ilvl="0">
      <w:lvlJc w:val="left"/>
      <w:lvlText w:val="%1"/>
      <w:numFmt w:val="decimal"/>
      <w:start w:val="1"/>
    </w:lvl>
    <w:lvl w:ilvl="1">
      <w:lvlJc w:val="left"/>
      <w:lvlText w:val="(%2)"/>
      <w:numFmt w:val="lowerLetter"/>
      <w:start w:val="3"/>
    </w:lvl>
  </w:abstractNum>
  <w:abstractNum w:abstractNumId="255">
    <w:nsid w:val="C7A9237"/>
    <w:multiLevelType w:val="hybridMultilevel"/>
    <w:lvl w:ilvl="0">
      <w:lvlJc w:val="left"/>
      <w:lvlText w:val="%1."/>
      <w:numFmt w:val="decimal"/>
      <w:start w:val="19"/>
    </w:lvl>
    <w:lvl w:ilvl="1">
      <w:lvlJc w:val="left"/>
      <w:lvlText w:val="(%2)"/>
      <w:numFmt w:val="lowerLetter"/>
      <w:start w:val="1"/>
    </w:lvl>
  </w:abstractNum>
  <w:abstractNum w:abstractNumId="256">
    <w:nsid w:val="676B3580"/>
    <w:multiLevelType w:val="hybridMultilevel"/>
    <w:lvl w:ilvl="0">
      <w:lvlJc w:val="left"/>
      <w:lvlText w:val="%1."/>
      <w:numFmt w:val="upperLetter"/>
      <w:start w:val="9"/>
    </w:lvl>
  </w:abstractNum>
  <w:abstractNum w:abstractNumId="257">
    <w:nsid w:val="3193C8F9"/>
    <w:multiLevelType w:val="hybridMultilevel"/>
    <w:lvl w:ilvl="0">
      <w:lvlJc w:val="left"/>
      <w:lvlText w:val="%1."/>
      <w:numFmt w:val="upperLetter"/>
      <w:start w:val="35"/>
    </w:lvl>
    <w:lvl w:ilvl="1">
      <w:lvlJc w:val="left"/>
      <w:lvlText w:val="%2."/>
      <w:numFmt w:val="decimal"/>
      <w:start w:val="1"/>
    </w:lvl>
  </w:abstractNum>
  <w:abstractNum w:abstractNumId="258">
    <w:nsid w:val="5FA6C6D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59">
    <w:nsid w:val="77933F62"/>
    <w:multiLevelType w:val="hybridMultilevel"/>
    <w:lvl w:ilvl="0">
      <w:lvlJc w:val="left"/>
      <w:lvlText w:val="(%1)"/>
      <w:numFmt w:val="lowerLetter"/>
      <w:start w:val="2"/>
    </w:lvl>
  </w:abstractNum>
  <w:abstractNum w:abstractNumId="260">
    <w:nsid w:val="6CB4EE9C"/>
    <w:multiLevelType w:val="hybridMultilevel"/>
    <w:lvl w:ilvl="0">
      <w:lvlJc w:val="left"/>
      <w:lvlText w:val="%1."/>
      <w:numFmt w:val="decimal"/>
      <w:start w:val="3"/>
    </w:lvl>
  </w:abstractNum>
  <w:abstractNum w:abstractNumId="261">
    <w:nsid w:val="6A6D56D7"/>
    <w:multiLevelType w:val="hybridMultilevel"/>
    <w:lvl w:ilvl="0">
      <w:lvlJc w:val="left"/>
      <w:lvlText w:val="%1."/>
      <w:numFmt w:val="decimal"/>
      <w:start w:val="5"/>
    </w:lvl>
    <w:lvl w:ilvl="1">
      <w:lvlJc w:val="left"/>
      <w:lvlText w:val="(%2)"/>
      <w:numFmt w:val="lowerLetter"/>
      <w:start w:val="1"/>
    </w:lvl>
  </w:abstractNum>
  <w:abstractNum w:abstractNumId="262">
    <w:nsid w:val="5B727F19"/>
    <w:multiLevelType w:val="hybridMultilevel"/>
    <w:lvl w:ilvl="0">
      <w:lvlJc w:val="left"/>
      <w:lvlText w:val="%1"/>
      <w:numFmt w:val="decimal"/>
      <w:start w:val="1"/>
    </w:lvl>
    <w:lvl w:ilvl="1">
      <w:lvlJc w:val="left"/>
      <w:lvlText w:val="%2."/>
      <w:numFmt w:val="decimal"/>
      <w:start w:val="8"/>
    </w:lvl>
    <w:lvl w:ilvl="2">
      <w:lvlJc w:val="left"/>
      <w:lvlText w:val="(%3)"/>
      <w:numFmt w:val="lowerLetter"/>
      <w:start w:val="1"/>
    </w:lvl>
  </w:abstractNum>
  <w:abstractNum w:abstractNumId="263">
    <w:nsid w:val="514E5CB0"/>
    <w:multiLevelType w:val="hybridMultilevel"/>
    <w:lvl w:ilvl="0">
      <w:lvlJc w:val="left"/>
      <w:lvlText w:val="(%1)"/>
      <w:numFmt w:val="decimal"/>
      <w:start w:val="2"/>
    </w:lvl>
    <w:lvl w:ilvl="1">
      <w:lvlJc w:val="left"/>
      <w:lvlText w:val="%2."/>
      <w:numFmt w:val="decimal"/>
      <w:start w:val="9"/>
    </w:lvl>
    <w:lvl w:ilvl="2">
      <w:lvlJc w:val="left"/>
      <w:lvlText w:val="(%3)"/>
      <w:numFmt w:val="lowerLetter"/>
      <w:start w:val="3"/>
    </w:lvl>
  </w:abstractNum>
  <w:abstractNum w:abstractNumId="264">
    <w:nsid w:val="4210D41E"/>
    <w:multiLevelType w:val="hybridMultilevel"/>
    <w:lvl w:ilvl="0">
      <w:lvlJc w:val="left"/>
      <w:lvlText w:val="%1."/>
      <w:numFmt w:val="decimal"/>
      <w:start w:val="1"/>
    </w:lvl>
    <w:lvl w:ilvl="1">
      <w:lvlJc w:val="left"/>
      <w:lvlText w:val="(%2)"/>
      <w:numFmt w:val="lowerLetter"/>
      <w:start w:val="1"/>
    </w:lvl>
  </w:abstractNum>
  <w:abstractNum w:abstractNumId="265">
    <w:nsid w:val="4FF4CC6D"/>
    <w:multiLevelType w:val="hybridMultilevel"/>
    <w:lvl w:ilvl="0">
      <w:lvlJc w:val="left"/>
      <w:lvlText w:val="(%1)"/>
      <w:numFmt w:val="lowerLetter"/>
      <w:start w:val="2"/>
    </w:lvl>
  </w:abstractNum>
  <w:abstractNum w:abstractNumId="266">
    <w:nsid w:val="404EAF4A"/>
    <w:multiLevelType w:val="hybridMultilevel"/>
    <w:lvl w:ilvl="0">
      <w:lvlJc w:val="left"/>
      <w:lvlText w:val="%1."/>
      <w:numFmt w:val="decimal"/>
      <w:start w:val="6"/>
    </w:lvl>
    <w:lvl w:ilvl="1">
      <w:lvlJc w:val="left"/>
      <w:lvlText w:val="(%2)"/>
      <w:numFmt w:val="lowerLetter"/>
      <w:start w:val="1"/>
    </w:lvl>
  </w:abstractNum>
  <w:abstractNum w:abstractNumId="267">
    <w:nsid w:val="4A16874F"/>
    <w:multiLevelType w:val="hybridMultilevel"/>
    <w:lvl w:ilvl="0">
      <w:lvlJc w:val="left"/>
      <w:lvlText w:val="(%1)"/>
      <w:numFmt w:val="lowerLetter"/>
      <w:start w:val="2"/>
    </w:lvl>
  </w:abstractNum>
  <w:abstractNum w:abstractNumId="268">
    <w:nsid w:val="55FEE0D1"/>
    <w:multiLevelType w:val="hybridMultilevel"/>
    <w:lvl w:ilvl="0">
      <w:lvlJc w:val="left"/>
      <w:lvlText w:val="%1"/>
      <w:numFmt w:val="decimal"/>
      <w:start w:val="1"/>
    </w:lvl>
    <w:lvl w:ilvl="1">
      <w:lvlJc w:val="left"/>
      <w:lvlText w:val="(%2)"/>
      <w:numFmt w:val="lowerLetter"/>
      <w:start w:val="3"/>
    </w:lvl>
  </w:abstractNum>
  <w:abstractNum w:abstractNumId="269">
    <w:nsid w:val="3C5E07C"/>
    <w:multiLevelType w:val="hybridMultilevel"/>
    <w:lvl w:ilvl="0">
      <w:lvlJc w:val="left"/>
      <w:lvlText w:val="%1."/>
      <w:numFmt w:val="decimal"/>
      <w:start w:val="8"/>
    </w:lvl>
    <w:lvl w:ilvl="1">
      <w:lvlJc w:val="left"/>
      <w:lvlText w:val="%2"/>
      <w:numFmt w:val="lowerLetter"/>
      <w:start w:val="1"/>
    </w:lvl>
  </w:abstractNum>
  <w:abstractNum w:abstractNumId="270">
    <w:nsid w:val="60C2D273"/>
    <w:multiLevelType w:val="hybridMultilevel"/>
    <w:lvl w:ilvl="0">
      <w:lvlJc w:val="left"/>
      <w:lvlText w:val="%1."/>
      <w:numFmt w:val="upperLetter"/>
      <w:start w:val="1"/>
    </w:lvl>
  </w:abstractNum>
  <w:abstractNum w:abstractNumId="271">
    <w:nsid w:val="4CC32F1F"/>
    <w:multiLevelType w:val="hybridMultilevel"/>
    <w:lvl w:ilvl="0">
      <w:lvlJc w:val="left"/>
      <w:lvlText w:val="%1."/>
      <w:numFmt w:val="decimal"/>
      <w:start w:val="1"/>
    </w:lvl>
    <w:lvl w:ilvl="1">
      <w:lvlJc w:val="left"/>
      <w:lvlText w:val="(%2)"/>
      <w:numFmt w:val="lowerLetter"/>
      <w:start w:val="1"/>
    </w:lvl>
  </w:abstractNum>
  <w:abstractNum w:abstractNumId="272">
    <w:nsid w:val="11CAC74A"/>
    <w:multiLevelType w:val="hybridMultilevel"/>
    <w:lvl w:ilvl="0">
      <w:lvlJc w:val="left"/>
      <w:lvlText w:val="%1"/>
      <w:numFmt w:val="decimal"/>
      <w:start w:val="1"/>
    </w:lvl>
    <w:lvl w:ilvl="1">
      <w:lvlJc w:val="left"/>
      <w:lvlText w:val="(%2)"/>
      <w:numFmt w:val="lowerLetter"/>
      <w:start w:val="3"/>
    </w:lvl>
  </w:abstractNum>
  <w:abstractNum w:abstractNumId="273">
    <w:nsid w:val="126CADE9"/>
    <w:multiLevelType w:val="hybridMultilevel"/>
    <w:lvl w:ilvl="0">
      <w:lvlJc w:val="left"/>
      <w:lvlText w:val="%1."/>
      <w:numFmt w:val="decimal"/>
      <w:start w:val="2"/>
    </w:lvl>
    <w:lvl w:ilvl="1">
      <w:lvlJc w:val="left"/>
      <w:lvlText w:val="(%2)"/>
      <w:numFmt w:val="lowerLetter"/>
      <w:start w:val="1"/>
    </w:lvl>
  </w:abstractNum>
  <w:abstractNum w:abstractNumId="274">
    <w:nsid w:val="19132E7B"/>
    <w:multiLevelType w:val="hybridMultilevel"/>
    <w:lvl w:ilvl="0">
      <w:lvlJc w:val="left"/>
      <w:lvlText w:val="%1."/>
      <w:numFmt w:val="decimal"/>
      <w:start w:val="3"/>
    </w:lvl>
  </w:abstractNum>
  <w:abstractNum w:abstractNumId="275">
    <w:nsid w:val="63822DC0"/>
    <w:multiLevelType w:val="hybridMultilevel"/>
    <w:lvl w:ilvl="0">
      <w:lvlJc w:val="left"/>
      <w:lvlText w:val="%1."/>
      <w:numFmt w:val="decimal"/>
      <w:start w:val="5"/>
    </w:lvl>
  </w:abstractNum>
  <w:abstractNum w:abstractNumId="276">
    <w:nsid w:val="6C11685A"/>
    <w:multiLevelType w:val="hybridMultilevel"/>
    <w:lvl w:ilvl="0">
      <w:lvlJc w:val="left"/>
      <w:lvlText w:val="%1."/>
      <w:numFmt w:val="decimal"/>
      <w:start w:val="9"/>
    </w:lvl>
  </w:abstractNum>
  <w:abstractNum w:abstractNumId="277">
    <w:nsid w:val="5E1EAE31"/>
    <w:multiLevelType w:val="hybridMultilevel"/>
    <w:lvl w:ilvl="0">
      <w:lvlJc w:val="left"/>
      <w:lvlText w:val="%1."/>
      <w:numFmt w:val="decimal"/>
      <w:start w:val="1"/>
    </w:lvl>
  </w:abstractNum>
  <w:abstractNum w:abstractNumId="278">
    <w:nsid w:val="178E240D"/>
    <w:multiLevelType w:val="hybridMultilevel"/>
    <w:lvl w:ilvl="0">
      <w:lvlJc w:val="left"/>
      <w:lvlText w:val="%1."/>
      <w:numFmt w:val="decimal"/>
      <w:start w:val="5"/>
    </w:lvl>
  </w:abstractNum>
  <w:abstractNum w:abstractNumId="279">
    <w:nsid w:val="5556A87B"/>
    <w:multiLevelType w:val="hybridMultilevel"/>
    <w:lvl w:ilvl="0">
      <w:lvlJc w:val="left"/>
      <w:lvlText w:val="%1."/>
      <w:numFmt w:val="decimal"/>
      <w:start w:val="14"/>
    </w:lvl>
  </w:abstractNum>
  <w:abstractNum w:abstractNumId="280">
    <w:nsid w:val="28100A9C"/>
    <w:multiLevelType w:val="hybridMultilevel"/>
    <w:lvl w:ilvl="0">
      <w:lvlJc w:val="left"/>
      <w:lvlText w:val="%1."/>
      <w:numFmt w:val="decimal"/>
      <w:start w:val="1"/>
    </w:lvl>
  </w:abstractNum>
  <w:abstractNum w:abstractNumId="281">
    <w:nsid w:val="D838636"/>
    <w:multiLevelType w:val="hybridMultilevel"/>
    <w:lvl w:ilvl="0">
      <w:lvlJc w:val="left"/>
      <w:lvlText w:val="%1."/>
      <w:numFmt w:val="decimal"/>
      <w:start w:val="2"/>
    </w:lvl>
  </w:abstractNum>
  <w:abstractNum w:abstractNumId="282">
    <w:nsid w:val="71B82AED"/>
    <w:multiLevelType w:val="hybridMultilevel"/>
    <w:lvl w:ilvl="0">
      <w:lvlJc w:val="left"/>
      <w:lvlText w:val="1"/>
      <w:numFmt w:val="bullet"/>
      <w:start w:val="1"/>
    </w:lvl>
  </w:abstractNum>
  <w:abstractNum w:abstractNumId="283">
    <w:nsid w:val="D15FACA"/>
    <w:multiLevelType w:val="hybridMultilevel"/>
    <w:lvl w:ilvl="0">
      <w:lvlJc w:val="left"/>
      <w:lvlText w:val="%1."/>
      <w:numFmt w:val="decimal"/>
      <w:start w:val="5"/>
    </w:lvl>
  </w:abstractNum>
  <w:abstractNum w:abstractNumId="284">
    <w:nsid w:val="3D69565B"/>
    <w:multiLevelType w:val="hybridMultilevel"/>
    <w:lvl w:ilvl="0">
      <w:lvlJc w:val="left"/>
      <w:lvlText w:val="(%1)"/>
      <w:numFmt w:val="lowerLetter"/>
      <w:start w:val="1"/>
    </w:lvl>
  </w:abstractNum>
  <w:abstractNum w:abstractNumId="285">
    <w:nsid w:val="2299DCBC"/>
    <w:multiLevelType w:val="hybridMultilevel"/>
    <w:lvl w:ilvl="0">
      <w:lvlJc w:val="left"/>
      <w:lvlText w:val="(%1)"/>
      <w:numFmt w:val="lowerLetter"/>
      <w:start w:val="4"/>
    </w:lvl>
  </w:abstractNum>
  <w:abstractNum w:abstractNumId="286">
    <w:nsid w:val="19908D02"/>
    <w:multiLevelType w:val="hybridMultilevel"/>
    <w:lvl w:ilvl="0">
      <w:lvlJc w:val="left"/>
      <w:lvlText w:val="(%1)"/>
      <w:numFmt w:val="lowerRoman"/>
      <w:start w:val="3"/>
    </w:lvl>
  </w:abstractNum>
  <w:abstractNum w:abstractNumId="287">
    <w:nsid w:val="24D48BDB"/>
    <w:multiLevelType w:val="hybridMultilevel"/>
    <w:lvl w:ilvl="0">
      <w:lvlJc w:val="left"/>
      <w:lvlText w:val="%1."/>
      <w:numFmt w:val="decimal"/>
      <w:start w:val="1"/>
    </w:lvl>
  </w:abstractNum>
  <w:abstractNum w:abstractNumId="288">
    <w:nsid w:val="542DA5B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89">
    <w:nsid w:val="793753DE"/>
    <w:multiLevelType w:val="hybridMultilevel"/>
    <w:lvl w:ilvl="0">
      <w:lvlJc w:val="left"/>
      <w:lvlText w:val="%1."/>
      <w:numFmt w:val="decimal"/>
      <w:start w:val="7"/>
    </w:lvl>
    <w:lvl w:ilvl="1">
      <w:lvlJc w:val="left"/>
      <w:lvlText w:val="(%2)"/>
      <w:numFmt w:val="lowerLetter"/>
      <w:start w:val="1"/>
    </w:lvl>
  </w:abstractNum>
  <w:abstractNum w:abstractNumId="290">
    <w:nsid w:val="1C67CB3D"/>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91">
    <w:nsid w:val="40E29452"/>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92">
    <w:nsid w:val="63A4AAB6"/>
    <w:multiLevelType w:val="hybridMultilevel"/>
    <w:lvl w:ilvl="0">
      <w:lvlJc w:val="left"/>
      <w:lvlText w:val="%1"/>
      <w:numFmt w:val="lowerLetter"/>
      <w:start w:val="1"/>
    </w:lvl>
    <w:lvl w:ilvl="1">
      <w:lvlJc w:val="left"/>
      <w:lvlText w:val="(%2)"/>
      <w:numFmt w:val="lowerRoman"/>
      <w:start w:val="2"/>
    </w:lvl>
  </w:abstractNum>
  <w:abstractNum w:abstractNumId="293">
    <w:nsid w:val="77DA4A57"/>
    <w:multiLevelType w:val="hybridMultilevel"/>
    <w:lvl w:ilvl="0">
      <w:lvlJc w:val="left"/>
      <w:lvlText w:val="(%1)"/>
      <w:numFmt w:val="lowerLetter"/>
      <w:start w:val="3"/>
    </w:lvl>
    <w:lvl w:ilvl="1">
      <w:lvlJc w:val="left"/>
      <w:lvlText w:val="(%2)"/>
      <w:numFmt w:val="lowerRoman"/>
      <w:start w:val="1"/>
    </w:lvl>
  </w:abstractNum>
  <w:abstractNum w:abstractNumId="294">
    <w:nsid w:val="1230F102"/>
    <w:multiLevelType w:val="hybridMultilevel"/>
    <w:lvl w:ilvl="0">
      <w:lvlJc w:val="left"/>
      <w:lvlText w:val="%1"/>
      <w:numFmt w:val="decimal"/>
      <w:start w:val="1"/>
    </w:lvl>
    <w:lvl w:ilvl="1">
      <w:lvlJc w:val="left"/>
      <w:lvlText w:val="(%2)"/>
      <w:numFmt w:val="lowerRoman"/>
      <w:start w:val="3"/>
    </w:lvl>
  </w:abstractNum>
  <w:abstractNum w:abstractNumId="295">
    <w:nsid w:val="25B57ED4"/>
    <w:multiLevelType w:val="hybridMultilevel"/>
    <w:lvl w:ilvl="0">
      <w:lvlJc w:val="left"/>
      <w:lvlText w:val="%1."/>
      <w:numFmt w:val="decimal"/>
      <w:start w:val="10"/>
    </w:lvl>
    <w:lvl w:ilvl="1">
      <w:lvlJc w:val="left"/>
      <w:lvlText w:val="%2"/>
      <w:numFmt w:val="lowerRoman"/>
      <w:start w:val="1"/>
    </w:lvl>
  </w:abstractNum>
  <w:abstractNum w:abstractNumId="296">
    <w:nsid w:val="47CF16C4"/>
    <w:multiLevelType w:val="hybridMultilevel"/>
    <w:lvl w:ilvl="0">
      <w:lvlJc w:val="left"/>
      <w:lvlText w:val="(%1)"/>
      <w:numFmt w:val="lowerLetter"/>
      <w:start w:val="1"/>
    </w:lvl>
  </w:abstractNum>
  <w:abstractNum w:abstractNumId="297">
    <w:nsid w:val="527FA04C"/>
    <w:multiLevelType w:val="hybridMultilevel"/>
    <w:lvl w:ilvl="0">
      <w:lvlJc w:val="left"/>
      <w:lvlText w:val="%1"/>
      <w:numFmt w:val="decimal"/>
      <w:start w:val="1"/>
    </w:lvl>
    <w:lvl w:ilvl="1">
      <w:lvlJc w:val="left"/>
      <w:lvlText w:val="(%2)"/>
      <w:numFmt w:val="lowerLetter"/>
      <w:start w:val="2"/>
    </w:lvl>
  </w:abstractNum>
  <w:abstractNum w:abstractNumId="298">
    <w:nsid w:val="6FCC0624"/>
    <w:multiLevelType w:val="hybridMultilevel"/>
    <w:lvl w:ilvl="0">
      <w:lvlJc w:val="left"/>
      <w:lvlText w:val="%1."/>
      <w:numFmt w:val="decimal"/>
      <w:start w:val="11"/>
    </w:lvl>
    <w:lvl w:ilvl="1">
      <w:lvlJc w:val="left"/>
      <w:lvlText w:val="(%2)"/>
      <w:numFmt w:val="lowerLetter"/>
      <w:start w:val="1"/>
    </w:lvl>
  </w:abstractNum>
  <w:abstractNum w:abstractNumId="299">
    <w:nsid w:val="1DCDF795"/>
    <w:multiLevelType w:val="hybridMultilevel"/>
    <w:lvl w:ilvl="0">
      <w:lvlJc w:val="left"/>
      <w:lvlText w:val="%1"/>
      <w:numFmt w:val="decimal"/>
      <w:start w:val="1"/>
    </w:lvl>
    <w:lvl w:ilvl="1">
      <w:lvlJc w:val="left"/>
      <w:lvlText w:val="(%2)"/>
      <w:numFmt w:val="lowerLetter"/>
      <w:start w:val="2"/>
    </w:lvl>
  </w:abstractNum>
  <w:abstractNum w:abstractNumId="300">
    <w:nsid w:val="564580C8"/>
    <w:multiLevelType w:val="hybridMultilevel"/>
    <w:lvl w:ilvl="0">
      <w:lvlJc w:val="left"/>
      <w:lvlText w:val="%1."/>
      <w:numFmt w:val="decimal"/>
      <w:start w:val="12"/>
    </w:lvl>
    <w:lvl w:ilvl="1">
      <w:lvlJc w:val="left"/>
      <w:lvlText w:val="%2"/>
      <w:numFmt w:val="lowerLetter"/>
      <w:start w:val="1"/>
    </w:lvl>
  </w:abstractNum>
  <w:abstractNum w:abstractNumId="301">
    <w:nsid w:val="508ED897"/>
    <w:multiLevelType w:val="hybridMultilevel"/>
    <w:lvl w:ilvl="0">
      <w:lvlJc w:val="left"/>
      <w:lvlText w:val="%1."/>
      <w:numFmt w:val="decimal"/>
      <w:start w:val="15"/>
    </w:lvl>
    <w:lvl w:ilvl="1">
      <w:lvlJc w:val="left"/>
      <w:lvlText w:val="(%2)"/>
      <w:numFmt w:val="lowerLetter"/>
      <w:start w:val="1"/>
    </w:lvl>
  </w:abstractNum>
  <w:abstractNum w:abstractNumId="302">
    <w:nsid w:val="6A9126B5"/>
    <w:multiLevelType w:val="hybridMultilevel"/>
    <w:lvl w:ilvl="0">
      <w:lvlJc w:val="left"/>
      <w:lvlText w:val="%1."/>
      <w:numFmt w:val="decimal"/>
      <w:start w:val="19"/>
    </w:lvl>
  </w:abstractNum>
  <w:abstractNum w:abstractNumId="303">
    <w:nsid w:val="68104812"/>
    <w:multiLevelType w:val="hybridMultilevel"/>
    <w:lvl w:ilvl="0">
      <w:lvlJc w:val="left"/>
      <w:lvlText w:val="%1."/>
      <w:numFmt w:val="upperLetter"/>
      <w:start w:val="1"/>
    </w:lvl>
  </w:abstractNum>
  <w:abstractNum w:abstractNumId="304">
    <w:nsid w:val="62FB868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05">
    <w:nsid w:val="3A45530"/>
    <w:multiLevelType w:val="hybridMultilevel"/>
    <w:lvl w:ilvl="0">
      <w:lvlJc w:val="left"/>
      <w:lvlText w:val="%1"/>
      <w:numFmt w:val="lowerLetter"/>
      <w:start w:val="1"/>
    </w:lvl>
    <w:lvl w:ilvl="1">
      <w:lvlJc w:val="left"/>
      <w:lvlText w:val="(%2)"/>
      <w:numFmt w:val="lowerRoman"/>
      <w:start w:val="2"/>
    </w:lvl>
  </w:abstractNum>
  <w:abstractNum w:abstractNumId="306">
    <w:nsid w:val="4B9275D2"/>
    <w:multiLevelType w:val="hybridMultilevel"/>
    <w:lvl w:ilvl="0">
      <w:lvlJc w:val="left"/>
      <w:lvlText w:val="(%1)"/>
      <w:numFmt w:val="lowerLetter"/>
      <w:start w:val="3"/>
    </w:lvl>
    <w:lvl w:ilvl="1">
      <w:lvlJc w:val="left"/>
      <w:lvlText w:val="%2"/>
      <w:numFmt w:val="lowerRoman"/>
      <w:start w:val="1"/>
    </w:lvl>
  </w:abstractNum>
  <w:abstractNum w:abstractNumId="307">
    <w:nsid w:val="4F0CEEDB"/>
    <w:multiLevelType w:val="hybridMultilevel"/>
    <w:lvl w:ilvl="0">
      <w:lvlJc w:val="left"/>
      <w:lvlText w:val="%1"/>
      <w:numFmt w:val="decimal"/>
      <w:start w:val="1"/>
    </w:lvl>
    <w:lvl w:ilvl="1">
      <w:lvlJc w:val="left"/>
      <w:lvlText w:val="(%2)"/>
      <w:numFmt w:val="lowerLetter"/>
      <w:start w:val="9"/>
    </w:lvl>
  </w:abstractNum>
  <w:abstractNum w:abstractNumId="308">
    <w:nsid w:val="61C30361"/>
    <w:multiLevelType w:val="hybridMultilevel"/>
    <w:lvl w:ilvl="0">
      <w:lvlJc w:val="left"/>
      <w:lvlText w:val="%1."/>
      <w:numFmt w:val="decimal"/>
      <w:start w:val="2"/>
    </w:lvl>
    <w:lvl w:ilvl="1">
      <w:lvlJc w:val="left"/>
      <w:lvlText w:val="%2"/>
      <w:numFmt w:val="lowerLetter"/>
      <w:start w:val="1"/>
    </w:lvl>
  </w:abstractNum>
  <w:abstractNum w:abstractNumId="309">
    <w:nsid w:val="632099E0"/>
    <w:multiLevelType w:val="hybridMultilevel"/>
    <w:lvl w:ilvl="0">
      <w:lvlJc w:val="left"/>
      <w:lvlText w:val="%1."/>
      <w:numFmt w:val="decimal"/>
      <w:start w:val="3"/>
    </w:lvl>
    <w:lvl w:ilvl="1">
      <w:lvlJc w:val="left"/>
      <w:lvlText w:val="(%2)"/>
      <w:numFmt w:val="lowerLetter"/>
      <w:start w:val="1"/>
    </w:lvl>
  </w:abstractNum>
  <w:abstractNum w:abstractNumId="310">
    <w:nsid w:val="24639756"/>
    <w:multiLevelType w:val="hybridMultilevel"/>
    <w:lvl w:ilvl="0">
      <w:lvlJc w:val="left"/>
      <w:lvlText w:val="%1"/>
      <w:numFmt w:val="decimal"/>
      <w:start w:val="1"/>
    </w:lvl>
    <w:lvl w:ilvl="1">
      <w:lvlJc w:val="left"/>
      <w:lvlText w:val="(%2)"/>
      <w:numFmt w:val="lowerLetter"/>
      <w:start w:val="5"/>
    </w:lvl>
  </w:abstractNum>
  <w:abstractNum w:abstractNumId="311">
    <w:nsid w:val="9D30DFD"/>
    <w:multiLevelType w:val="hybridMultilevel"/>
    <w:lvl w:ilvl="0">
      <w:lvlJc w:val="left"/>
      <w:lvlText w:val="%1."/>
      <w:numFmt w:val="decimal"/>
      <w:start w:val="6"/>
    </w:lvl>
    <w:lvl w:ilvl="1">
      <w:lvlJc w:val="left"/>
      <w:lvlText w:val="(%2)"/>
      <w:numFmt w:val="lowerLetter"/>
      <w:start w:val="1"/>
    </w:lvl>
  </w:abstractNum>
  <w:abstractNum w:abstractNumId="312">
    <w:nsid w:val="70A4201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313">
    <w:nsid w:val="161BC243"/>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314">
    <w:nsid w:val="16E908C8"/>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315">
    <w:nsid w:val="2E0D7671"/>
    <w:multiLevelType w:val="hybridMultilevel"/>
    <w:lvl w:ilvl="0">
      <w:lvlJc w:val="left"/>
      <w:lvlText w:val="%1"/>
      <w:numFmt w:val="decimal"/>
      <w:start w:val="1"/>
    </w:lvl>
    <w:lvl w:ilvl="1">
      <w:lvlJc w:val="left"/>
      <w:lvlText w:val="(%2)"/>
      <w:numFmt w:val="lowerLetter"/>
      <w:start w:val="3"/>
    </w:lvl>
  </w:abstractNum>
  <w:abstractNum w:abstractNumId="316">
    <w:nsid w:val="38B59EFF"/>
    <w:multiLevelType w:val="hybridMultilevel"/>
    <w:lvl w:ilvl="0">
      <w:lvlJc w:val="left"/>
      <w:lvlText w:val="%1."/>
      <w:numFmt w:val="decimal"/>
      <w:start w:val="9"/>
    </w:lvl>
    <w:lvl w:ilvl="1">
      <w:lvlJc w:val="left"/>
      <w:lvlText w:val="(%2)"/>
      <w:numFmt w:val="lowerLetter"/>
      <w:start w:val="1"/>
    </w:lvl>
  </w:abstractNum>
  <w:abstractNum w:abstractNumId="317">
    <w:nsid w:val="307995C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318">
    <w:nsid w:val="52E2024D"/>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319">
    <w:nsid w:val="CE344B5"/>
    <w:multiLevelType w:val="hybridMultilevel"/>
    <w:lvl w:ilvl="0">
      <w:lvlJc w:val="left"/>
      <w:lvlText w:val="(%1)"/>
      <w:numFmt w:val="lowerLetter"/>
      <w:start w:val="22"/>
    </w:lvl>
    <w:lvl w:ilvl="1">
      <w:lvlJc w:val="left"/>
      <w:lvlText w:val="%2"/>
      <w:numFmt w:val="decimal"/>
      <w:start w:val="1"/>
    </w:lvl>
    <w:lvl w:ilvl="2">
      <w:lvlJc w:val="left"/>
      <w:lvlText w:val="(%3)"/>
      <w:numFmt w:val="lowerLetter"/>
      <w:start w:val="2"/>
    </w:lvl>
  </w:abstractNum>
  <w:abstractNum w:abstractNumId="320">
    <w:nsid w:val="29B0E9A8"/>
    <w:multiLevelType w:val="hybridMultilevel"/>
    <w:lvl w:ilvl="0">
      <w:lvlJc w:val="left"/>
      <w:lvlText w:val="%1"/>
      <w:numFmt w:val="decimal"/>
      <w:start w:val="1"/>
    </w:lvl>
    <w:lvl w:ilvl="1">
      <w:lvlJc w:val="left"/>
      <w:lvlText w:val="(%2)"/>
      <w:numFmt w:val="lowerLetter"/>
      <w:start w:val="3"/>
    </w:lvl>
  </w:abstractNum>
  <w:abstractNum w:abstractNumId="321">
    <w:nsid w:val="6F49CD8A"/>
    <w:multiLevelType w:val="hybridMultilevel"/>
    <w:lvl w:ilvl="0">
      <w:lvlJc w:val="left"/>
      <w:lvlText w:val="%1."/>
      <w:numFmt w:val="decimal"/>
      <w:start w:val="11"/>
    </w:lvl>
    <w:lvl w:ilvl="1">
      <w:lvlJc w:val="left"/>
      <w:lvlText w:val="%2"/>
      <w:numFmt w:val="lowerLetter"/>
      <w:start w:val="1"/>
    </w:lvl>
  </w:abstractNum>
  <w:abstractNum w:abstractNumId="322">
    <w:nsid w:val="4DC5D907"/>
    <w:multiLevelType w:val="hybridMultilevel"/>
    <w:lvl w:ilvl="0">
      <w:lvlJc w:val="left"/>
      <w:lvlText w:val="%1."/>
      <w:numFmt w:val="decimal"/>
      <w:start w:val="13"/>
    </w:lvl>
  </w:abstractNum>
  <w:abstractNum w:abstractNumId="323">
    <w:nsid w:val="D55945E"/>
    <w:multiLevelType w:val="hybridMultilevel"/>
    <w:lvl w:ilvl="0">
      <w:lvlJc w:val="left"/>
      <w:lvlText w:val="%1."/>
      <w:numFmt w:val="decimal"/>
      <w:start w:val="18"/>
    </w:lvl>
  </w:abstractNum>
  <w:abstractNum w:abstractNumId="324">
    <w:nsid w:val="672417E1"/>
    <w:multiLevelType w:val="hybridMultilevel"/>
    <w:lvl w:ilvl="0">
      <w:lvlJc w:val="left"/>
      <w:lvlText w:val="%1."/>
      <w:numFmt w:val="decimal"/>
      <w:start w:val="23"/>
    </w:lvl>
    <w:lvl w:ilvl="1">
      <w:lvlJc w:val="left"/>
      <w:lvlText w:val="(%2)"/>
      <w:numFmt w:val="lowerLetter"/>
      <w:start w:val="1"/>
    </w:lvl>
  </w:abstractNum>
  <w:abstractNum w:abstractNumId="325">
    <w:nsid w:val="5FF6CA09"/>
    <w:multiLevelType w:val="hybridMultilevel"/>
    <w:lvl w:ilvl="0">
      <w:lvlJc w:val="left"/>
      <w:lvlText w:val="%1"/>
      <w:numFmt w:val="lowerRoman"/>
      <w:start w:val="1"/>
    </w:lvl>
    <w:lvl w:ilvl="1">
      <w:lvlJc w:val="left"/>
      <w:lvlText w:val="%2."/>
      <w:numFmt w:val="decimal"/>
      <w:start w:val="25"/>
    </w:lvl>
  </w:abstractNum>
  <w:abstractNum w:abstractNumId="326">
    <w:nsid w:val="330B1333"/>
    <w:multiLevelType w:val="hybridMultilevel"/>
    <w:lvl w:ilvl="0">
      <w:lvlJc w:val="left"/>
      <w:lvlText w:val="(%1)"/>
      <w:numFmt w:val="lowerRoman"/>
      <w:start w:val="3"/>
    </w:lvl>
    <w:lvl w:ilvl="1">
      <w:lvlJc w:val="left"/>
      <w:lvlText w:val="%2."/>
      <w:numFmt w:val="decimal"/>
      <w:start w:val="26"/>
    </w:lvl>
  </w:abstractNum>
  <w:abstractNum w:abstractNumId="327">
    <w:nsid w:val="2EF32EA6"/>
    <w:multiLevelType w:val="hybridMultilevel"/>
    <w:lvl w:ilvl="0">
      <w:lvlJc w:val="left"/>
      <w:lvlText w:val="%1."/>
      <w:numFmt w:val="decimal"/>
      <w:start w:val="27"/>
    </w:lvl>
  </w:abstractNum>
  <w:abstractNum w:abstractNumId="328">
    <w:nsid w:val="32766A55"/>
    <w:multiLevelType w:val="hybridMultilevel"/>
    <w:lvl w:ilvl="0">
      <w:lvlJc w:val="left"/>
      <w:lvlText w:val="(%1)"/>
      <w:numFmt w:val="decimal"/>
      <w:start w:val="1"/>
    </w:lvl>
  </w:abstractNum>
  <w:abstractNum w:abstractNumId="329">
    <w:nsid w:val="22D71957"/>
    <w:multiLevelType w:val="hybridMultilevel"/>
    <w:lvl w:ilvl="0">
      <w:lvlJc w:val="left"/>
      <w:lvlText w:val="(%1)"/>
      <w:numFmt w:val="decimal"/>
      <w:start w:val="1"/>
    </w:lvl>
    <w:lvl w:ilvl="1">
      <w:lvlJc w:val="left"/>
      <w:lvlText w:val="(%2)"/>
      <w:numFmt w:val="lowerLetter"/>
      <w:start w:val="1"/>
    </w:lvl>
  </w:abstractNum>
  <w:abstractNum w:abstractNumId="330">
    <w:nsid w:val="4CC1263B"/>
    <w:multiLevelType w:val="hybridMultilevel"/>
    <w:lvl w:ilvl="0">
      <w:lvlJc w:val="left"/>
      <w:lvlText w:val="(%1)"/>
      <w:numFmt w:val="decimal"/>
      <w:start w:val="1"/>
    </w:lvl>
  </w:abstractNum>
  <w:abstractNum w:abstractNumId="331">
    <w:nsid w:val="8BBEB1D"/>
    <w:multiLevelType w:val="hybridMultilevel"/>
    <w:lvl w:ilvl="0">
      <w:lvlJc w:val="left"/>
      <w:lvlText w:val="(%1)"/>
      <w:numFmt w:val="decimal"/>
      <w:start w:val="2"/>
    </w:lvl>
  </w:abstractNum>
  <w:abstractNum w:abstractNumId="332">
    <w:nsid w:val="7365F1EE"/>
    <w:multiLevelType w:val="hybridMultilevel"/>
    <w:lvl w:ilvl="0">
      <w:lvlJc w:val="left"/>
      <w:lvlText w:val="(%1)"/>
      <w:numFmt w:val="decimal"/>
      <w:start w:val="1"/>
    </w:lvl>
  </w:abstractNum>
  <w:abstractNum w:abstractNumId="333">
    <w:nsid w:val="37524CF0"/>
    <w:multiLevelType w:val="hybridMultilevel"/>
    <w:lvl w:ilvl="0">
      <w:lvlJc w:val="left"/>
      <w:lvlText w:val="(%1)"/>
      <w:numFmt w:val="lowerLetter"/>
      <w:start w:val="1"/>
    </w:lvl>
    <w:lvl w:ilvl="1">
      <w:lvlJc w:val="left"/>
      <w:lvlText w:val="(%2)"/>
      <w:numFmt w:val="lowerRoman"/>
      <w:start w:val="1"/>
    </w:lvl>
  </w:abstractNum>
  <w:abstractNum w:abstractNumId="334">
    <w:nsid w:val="70CC332F"/>
    <w:multiLevelType w:val="hybridMultilevel"/>
    <w:lvl w:ilvl="0">
      <w:lvlJc w:val="left"/>
      <w:lvlText w:val="%1"/>
      <w:numFmt w:val="upperLetter"/>
      <w:start w:val="1"/>
    </w:lvl>
    <w:lvl w:ilvl="1">
      <w:lvlJc w:val="left"/>
      <w:lvlText w:val="(%2)"/>
      <w:numFmt w:val="lowerRoman"/>
      <w:start w:val="8"/>
    </w:lvl>
  </w:abstractNum>
  <w:abstractNum w:abstractNumId="335">
    <w:nsid w:val="5661786E"/>
    <w:multiLevelType w:val="hybridMultilevel"/>
    <w:lvl w:ilvl="0">
      <w:lvlJc w:val="left"/>
      <w:lvlText w:val="(%1)"/>
      <w:numFmt w:val="upperLetter"/>
      <w:start w:val="1"/>
    </w:lvl>
    <w:lvl w:ilvl="1">
      <w:lvlJc w:val="left"/>
      <w:lvlText w:val="%2"/>
      <w:numFmt w:val="lowerRoman"/>
      <w:start w:val="1"/>
    </w:lvl>
  </w:abstractNum>
  <w:abstractNum w:abstractNumId="336">
    <w:nsid w:val="3AF6A220"/>
    <w:multiLevelType w:val="hybridMultilevel"/>
    <w:lvl w:ilvl="0">
      <w:lvlJc w:val="left"/>
      <w:lvlText w:val="%1"/>
      <w:numFmt w:val="lowerLetter"/>
      <w:start w:val="1"/>
    </w:lvl>
    <w:lvl w:ilvl="1">
      <w:lvlJc w:val="left"/>
      <w:lvlText w:val="(%2)"/>
      <w:numFmt w:val="lowerRoman"/>
      <w:start w:val="12"/>
    </w:lvl>
  </w:abstractNum>
  <w:abstractNum w:abstractNumId="337">
    <w:nsid w:val="3C5EA902"/>
    <w:multiLevelType w:val="hybridMultilevel"/>
    <w:lvl w:ilvl="0">
      <w:lvlJc w:val="left"/>
      <w:lvlText w:val="(%1)"/>
      <w:numFmt w:val="lowerLetter"/>
      <w:start w:val="3"/>
    </w:lvl>
    <w:lvl w:ilvl="1">
      <w:lvlJc w:val="left"/>
      <w:lvlText w:val="(%2)"/>
      <w:numFmt w:val="lowerRoman"/>
      <w:start w:val="1"/>
    </w:lvl>
  </w:abstractNum>
  <w:abstractNum w:abstractNumId="338">
    <w:nsid w:val="256E6749"/>
    <w:multiLevelType w:val="hybridMultilevel"/>
    <w:lvl w:ilvl="0">
      <w:lvlJc w:val="left"/>
      <w:lvlText w:val="(%1)"/>
      <w:numFmt w:val="decimal"/>
      <w:start w:val="1"/>
    </w:lvl>
  </w:abstractNum>
  <w:abstractNum w:abstractNumId="339">
    <w:nsid w:val="1CB9A581"/>
    <w:multiLevelType w:val="hybridMultilevel"/>
    <w:lvl w:ilvl="0">
      <w:lvlJc w:val="left"/>
      <w:lvlText w:val="(%1)"/>
      <w:numFmt w:val="lowerRoman"/>
      <w:start w:val="2"/>
    </w:lvl>
  </w:abstractNum>
  <w:abstractNum w:abstractNumId="340">
    <w:nsid w:val="1F7F42E2"/>
    <w:multiLevelType w:val="hybridMultilevel"/>
    <w:lvl w:ilvl="0">
      <w:lvlJc w:val="left"/>
      <w:lvlText w:val="(%1)"/>
      <w:numFmt w:val="lowerRoman"/>
      <w:start w:val="1"/>
    </w:lvl>
  </w:abstractNum>
  <w:abstractNum w:abstractNumId="341">
    <w:nsid w:val="49D1FEA0"/>
    <w:multiLevelType w:val="hybridMultilevel"/>
    <w:lvl w:ilvl="0">
      <w:lvlJc w:val="left"/>
      <w:lvlText w:val="(%1)"/>
      <w:numFmt w:val="lowerLetter"/>
      <w:start w:val="1"/>
    </w:lvl>
  </w:abstractNum>
  <w:abstractNum w:abstractNumId="342">
    <w:nsid w:val="268CB37F"/>
    <w:multiLevelType w:val="hybridMultilevel"/>
    <w:lvl w:ilvl="0">
      <w:lvlJc w:val="left"/>
      <w:lvlText w:val="(%1)"/>
      <w:numFmt w:val="lowerRoman"/>
      <w:start w:val="1"/>
    </w:lvl>
  </w:abstractNum>
  <w:abstractNum w:abstractNumId="343">
    <w:nsid w:val="102362F8"/>
    <w:multiLevelType w:val="hybridMultilevel"/>
    <w:lvl w:ilvl="0">
      <w:lvlJc w:val="left"/>
      <w:lvlText w:val="%1"/>
      <w:numFmt w:val="lowerRoman"/>
      <w:start w:val="1"/>
    </w:lvl>
    <w:lvl w:ilvl="1">
      <w:lvlJc w:val="left"/>
      <w:lvlText w:val="(%2)"/>
      <w:numFmt w:val="lowerLetter"/>
      <w:start w:val="1"/>
    </w:lvl>
  </w:abstractNum>
  <w:abstractNum w:abstractNumId="344">
    <w:nsid w:val="5FEDC0E3"/>
    <w:multiLevelType w:val="hybridMultilevel"/>
    <w:lvl w:ilvl="0">
      <w:lvlJc w:val="left"/>
      <w:lvlText w:val="(%1)"/>
      <w:numFmt w:val="lowerRoman"/>
      <w:start w:val="4"/>
    </w:lvl>
    <w:lvl w:ilvl="1">
      <w:lvlJc w:val="left"/>
      <w:lvlText w:val="(%2)"/>
      <w:numFmt w:val="lowerLetter"/>
      <w:start w:val="3"/>
    </w:lvl>
  </w:abstractNum>
  <w:abstractNum w:abstractNumId="345">
    <w:nsid w:val="3D75BC47"/>
    <w:multiLevelType w:val="hybridMultilevel"/>
    <w:lvl w:ilvl="0">
      <w:lvlJc w:val="left"/>
      <w:lvlText w:val="(%1)"/>
      <w:numFmt w:val="lowerLetter"/>
      <w:start w:val="1"/>
    </w:lvl>
  </w:abstractNum>
  <w:abstractNum w:abstractNumId="346">
    <w:nsid w:val="3E30D969"/>
    <w:multiLevelType w:val="hybridMultilevel"/>
    <w:lvl w:ilvl="0">
      <w:lvlJc w:val="left"/>
      <w:lvlText w:val="(%1)"/>
      <w:numFmt w:val="lowerLetter"/>
      <w:start w:val="1"/>
    </w:lvl>
  </w:abstractNum>
  <w:abstractNum w:abstractNumId="347">
    <w:nsid w:val="18A35FE3"/>
    <w:multiLevelType w:val="hybridMultilevel"/>
    <w:lvl w:ilvl="0">
      <w:lvlJc w:val="left"/>
      <w:lvlText w:val="(%1)"/>
      <w:numFmt w:val="lowerLetter"/>
      <w:start w:val="3"/>
    </w:lvl>
  </w:abstractNum>
  <w:abstractNum w:abstractNumId="348">
    <w:nsid w:val="6DEF5211"/>
    <w:multiLevelType w:val="hybridMultilevel"/>
    <w:lvl w:ilvl="0">
      <w:lvlJc w:val="left"/>
      <w:lvlText w:val="(%1)"/>
      <w:numFmt w:val="lowerLetter"/>
      <w:start w:val="1"/>
    </w:lvl>
  </w:abstractNum>
  <w:abstractNum w:abstractNumId="349">
    <w:nsid w:val="1112DBB6"/>
    <w:multiLevelType w:val="hybridMultilevel"/>
    <w:lvl w:ilvl="0">
      <w:lvlJc w:val="left"/>
      <w:lvlText w:val="(%1)"/>
      <w:numFmt w:val="lowerLetter"/>
      <w:start w:val="1"/>
    </w:lvl>
  </w:abstractNum>
  <w:abstractNum w:abstractNumId="350">
    <w:nsid w:val="2586A498"/>
    <w:multiLevelType w:val="hybridMultilevel"/>
    <w:lvl w:ilvl="0">
      <w:lvlJc w:val="left"/>
      <w:lvlText w:val="(%1)"/>
      <w:numFmt w:val="lowerLetter"/>
      <w:start w:val="4"/>
    </w:lvl>
  </w:abstractNum>
  <w:abstractNum w:abstractNumId="351">
    <w:nsid w:val="17A03BB9"/>
    <w:multiLevelType w:val="hybridMultilevel"/>
    <w:lvl w:ilvl="0">
      <w:lvlJc w:val="left"/>
      <w:lvlText w:val="(%1)"/>
      <w:numFmt w:val="lowerLetter"/>
      <w:start w:val="1"/>
    </w:lvl>
  </w:abstractNum>
  <w:abstractNum w:abstractNumId="352">
    <w:nsid w:val="5CA941"/>
    <w:multiLevelType w:val="hybridMultilevel"/>
    <w:lvl w:ilvl="0">
      <w:lvlJc w:val="left"/>
      <w:lvlText w:val="(%1)"/>
      <w:numFmt w:val="lowerLetter"/>
      <w:start w:val="3"/>
    </w:lvl>
  </w:abstractNum>
  <w:abstractNum w:abstractNumId="353">
    <w:nsid w:val="734C7D9F"/>
    <w:multiLevelType w:val="hybridMultilevel"/>
    <w:lvl w:ilvl="0">
      <w:lvlJc w:val="left"/>
      <w:lvlText w:val="(%1)"/>
      <w:numFmt w:val="lowerLetter"/>
      <w:start w:val="1"/>
    </w:lvl>
  </w:abstractNum>
  <w:abstractNum w:abstractNumId="354">
    <w:nsid w:val="24F5D018"/>
    <w:multiLevelType w:val="hybridMultilevel"/>
    <w:lvl w:ilvl="0">
      <w:lvlJc w:val="left"/>
      <w:lvlText w:val="(%1)"/>
      <w:numFmt w:val="lowerLetter"/>
      <w:start w:val="2"/>
    </w:lvl>
  </w:abstractNum>
  <w:abstractNum w:abstractNumId="355">
    <w:nsid w:val="6780C122"/>
    <w:multiLevelType w:val="hybridMultilevel"/>
    <w:lvl w:ilvl="0">
      <w:lvlJc w:val="left"/>
      <w:lvlText w:val="(%1)"/>
      <w:numFmt w:val="lowerLetter"/>
      <w:start w:val="1"/>
    </w:lvl>
  </w:abstractNum>
  <w:abstractNum w:abstractNumId="356">
    <w:nsid w:val="534347A8"/>
    <w:multiLevelType w:val="hybridMultilevel"/>
    <w:lvl w:ilvl="0">
      <w:lvlJc w:val="left"/>
      <w:lvlText w:val="(%1)"/>
      <w:numFmt w:val="lowerLetter"/>
      <w:start w:val="2"/>
    </w:lvl>
  </w:abstractNum>
  <w:abstractNum w:abstractNumId="357">
    <w:nsid w:val="5800E34B"/>
    <w:multiLevelType w:val="hybridMultilevel"/>
    <w:lvl w:ilvl="0">
      <w:lvlJc w:val="left"/>
      <w:lvlText w:val="(%1)"/>
      <w:numFmt w:val="lowerLetter"/>
      <w:start w:val="1"/>
    </w:lvl>
  </w:abstractNum>
  <w:abstractNum w:abstractNumId="358">
    <w:nsid w:val="1673EFC8"/>
    <w:multiLevelType w:val="hybridMultilevel"/>
    <w:lvl w:ilvl="0">
      <w:lvlJc w:val="left"/>
      <w:lvlText w:val="%1"/>
      <w:numFmt w:val="lowerLetter"/>
      <w:start w:val="1"/>
    </w:lvl>
    <w:lvl w:ilvl="1">
      <w:lvlJc w:val="left"/>
      <w:lvlText w:val="(%2)"/>
      <w:numFmt w:val="lowerLetter"/>
      <w:start w:val="1"/>
    </w:lvl>
  </w:abstractNum>
  <w:abstractNum w:abstractNumId="359">
    <w:nsid w:val="5B9B1FD"/>
    <w:multiLevelType w:val="hybridMultilevel"/>
    <w:lvl w:ilvl="0">
      <w:lvlJc w:val="left"/>
      <w:lvlText w:val="(%1)"/>
      <w:numFmt w:val="lowerLetter"/>
      <w:start w:val="35"/>
    </w:lvl>
    <w:lvl w:ilvl="1">
      <w:lvlJc w:val="left"/>
      <w:lvlText w:val="%2"/>
      <w:numFmt w:val="lowerLetter"/>
      <w:start w:val="1"/>
    </w:lvl>
  </w:abstractNum>
  <w:abstractNum w:abstractNumId="360">
    <w:nsid w:val="7AD7FCA2"/>
    <w:multiLevelType w:val="hybridMultilevel"/>
    <w:lvl w:ilvl="0">
      <w:lvlJc w:val="left"/>
      <w:lvlText w:val="(%1)"/>
      <w:numFmt w:val="lowerLetter"/>
      <w:start w:val="2"/>
    </w:lvl>
  </w:abstractNum>
  <w:abstractNum w:abstractNumId="361">
    <w:nsid w:val="63351604"/>
    <w:multiLevelType w:val="hybridMultilevel"/>
    <w:lvl w:ilvl="0">
      <w:lvlJc w:val="left"/>
      <w:lvlText w:val="(%1)"/>
      <w:numFmt w:val="lowerLetter"/>
      <w:start w:val="7"/>
    </w:lvl>
  </w:abstractNum>
  <w:abstractNum w:abstractNumId="362">
    <w:nsid w:val="E759D1A"/>
    <w:multiLevelType w:val="hybridMultilevel"/>
    <w:lvl w:ilvl="0">
      <w:lvlJc w:val="left"/>
      <w:lvlText w:val="(%1)"/>
      <w:numFmt w:val="lowerLetter"/>
      <w:start w:val="1"/>
    </w:lvl>
  </w:abstractNum>
  <w:abstractNum w:abstractNumId="363">
    <w:nsid w:val="6E3DEE90"/>
    <w:multiLevelType w:val="hybridMultilevel"/>
    <w:lvl w:ilvl="0">
      <w:lvlJc w:val="left"/>
      <w:lvlText w:val="(%1)"/>
      <w:numFmt w:val="lowerLetter"/>
      <w:start w:val="6"/>
    </w:lvl>
  </w:abstractNum>
  <w:abstractNum w:abstractNumId="364">
    <w:nsid w:val="1A8762F4"/>
    <w:multiLevelType w:val="hybridMultilevel"/>
    <w:lvl w:ilvl="0">
      <w:lvlJc w:val="left"/>
      <w:lvlText w:val="%1"/>
      <w:numFmt w:val="lowerLetter"/>
      <w:start w:val="1"/>
    </w:lvl>
    <w:lvl w:ilvl="1">
      <w:lvlJc w:val="left"/>
      <w:lvlText w:val="(%2)"/>
      <w:numFmt w:val="lowerLetter"/>
      <w:start w:val="11"/>
    </w:lvl>
  </w:abstractNum>
  <w:abstractNum w:abstractNumId="365">
    <w:nsid w:val="7F41D049"/>
    <w:multiLevelType w:val="hybridMultilevel"/>
    <w:lvl w:ilvl="0">
      <w:lvlJc w:val="left"/>
      <w:lvlText w:val="(%1)"/>
      <w:numFmt w:val="lowerLetter"/>
      <w:start w:val="61"/>
    </w:lvl>
    <w:lvl w:ilvl="1">
      <w:lvlJc w:val="left"/>
      <w:lvlText w:val="(%2)"/>
      <w:numFmt w:val="lowerLetter"/>
      <w:start w:val="12"/>
    </w:lvl>
  </w:abstractNum>
  <w:abstractNum w:abstractNumId="366">
    <w:nsid w:val="449F66F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367">
    <w:nsid w:val="557E0515"/>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35"/>
    </w:lvl>
  </w:abstractNum>
  <w:abstractNum w:abstractNumId="368">
    <w:nsid w:val="3BA0794B"/>
    <w:multiLevelType w:val="hybridMultilevel"/>
    <w:lvl w:ilvl="0">
      <w:lvlJc w:val="left"/>
      <w:lvlText w:val="(%1)"/>
      <w:numFmt w:val="lowerRoman"/>
      <w:start w:val="3"/>
    </w:lvl>
  </w:abstractNum>
  <w:abstractNum w:abstractNumId="369">
    <w:nsid w:val="6A0DCE48"/>
    <w:multiLevelType w:val="hybridMultilevel"/>
    <w:lvl w:ilvl="0">
      <w:lvlJc w:val="left"/>
      <w:lvlText w:val="(%1)"/>
      <w:numFmt w:val="lowerLetter"/>
      <w:start w:val="3"/>
    </w:lvl>
  </w:abstractNum>
  <w:abstractNum w:abstractNumId="370">
    <w:nsid w:val="7237AA96"/>
    <w:multiLevelType w:val="hybridMultilevel"/>
    <w:lvl w:ilvl="0">
      <w:lvlJc w:val="left"/>
      <w:lvlText w:val="(%1)"/>
      <w:numFmt w:val="lowerLetter"/>
      <w:start w:val="1"/>
    </w:lvl>
  </w:abstractNum>
  <w:abstractNum w:abstractNumId="371">
    <w:nsid w:val="5B1FBC2D"/>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372">
    <w:nsid w:val="33DFCCE8"/>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lvl w:ilvl="3">
      <w:lvlJc w:val="left"/>
      <w:lvlText w:val="(%4)"/>
      <w:numFmt w:val="decimal"/>
      <w:start w:val="4"/>
    </w:lvl>
  </w:abstractNum>
  <w:abstractNum w:abstractNumId="373">
    <w:nsid w:val="18C45E15"/>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lvl w:ilvl="3">
      <w:lvlJc w:val="left"/>
      <w:lvlText w:val="%4"/>
      <w:numFmt w:val="decimal"/>
      <w:start w:val="1"/>
    </w:lvl>
  </w:abstractNum>
  <w:abstractNum w:abstractNumId="374">
    <w:nsid w:val="6B431F25"/>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lvl w:ilvl="3">
      <w:lvlJc w:val="left"/>
      <w:lvlText w:val="%4"/>
      <w:numFmt w:val="decimal"/>
      <w:start w:val="1"/>
    </w:lvl>
  </w:abstractNum>
  <w:abstractNum w:abstractNumId="375">
    <w:nsid w:val="13CD8DCB"/>
    <w:multiLevelType w:val="hybridMultilevel"/>
    <w:lvl w:ilvl="0">
      <w:lvlJc w:val="left"/>
      <w:lvlText w:val="(%1)"/>
      <w:numFmt w:val="lowerLetter"/>
      <w:start w:val="7"/>
    </w:lvl>
    <w:lvl w:ilvl="1">
      <w:lvlJc w:val="left"/>
      <w:lvlText w:val="%2"/>
      <w:numFmt w:val="lowerLetter"/>
      <w:start w:val="1"/>
    </w:lvl>
    <w:lvl w:ilvl="2">
      <w:lvlJc w:val="left"/>
      <w:lvlText w:val="%3"/>
      <w:numFmt w:val="upperLetter"/>
      <w:start w:val="1"/>
    </w:lvl>
    <w:lvl w:ilvl="3">
      <w:lvlJc w:val="left"/>
      <w:lvlText w:val="%4"/>
      <w:numFmt w:val="decimal"/>
      <w:start w:val="1"/>
    </w:lvl>
  </w:abstractNum>
  <w:abstractNum w:abstractNumId="376">
    <w:nsid w:val="563A1A5C"/>
    <w:multiLevelType w:val="hybridMultilevel"/>
    <w:lvl w:ilvl="0">
      <w:lvlJc w:val="left"/>
      <w:lvlText w:val="(%1)"/>
      <w:numFmt w:val="lowerLetter"/>
      <w:start w:val="8"/>
    </w:lvl>
  </w:abstractNum>
  <w:abstractNum w:abstractNumId="377">
    <w:nsid w:val="2973F88F"/>
    <w:multiLevelType w:val="hybridMultilevel"/>
    <w:lvl w:ilvl="0">
      <w:lvlJc w:val="left"/>
      <w:lvlText w:val="(%1)"/>
      <w:numFmt w:val="lowerRoman"/>
      <w:start w:val="1"/>
    </w:lvl>
  </w:abstractNum>
  <w:abstractNum w:abstractNumId="378">
    <w:nsid w:val="2C70EDAE"/>
    <w:multiLevelType w:val="hybridMultilevel"/>
    <w:lvl w:ilvl="0">
      <w:lvlJc w:val="left"/>
      <w:lvlText w:val="(%1)"/>
      <w:numFmt w:val="lowerLetter"/>
      <w:start w:val="1"/>
    </w:lvl>
  </w:abstractNum>
  <w:abstractNum w:abstractNumId="379">
    <w:nsid w:val="44296C6D"/>
    <w:multiLevelType w:val="hybridMultilevel"/>
    <w:lvl w:ilvl="0">
      <w:lvlJc w:val="left"/>
      <w:lvlText w:val="(%1)"/>
      <w:numFmt w:val="lowerRoman"/>
      <w:start w:val="1"/>
    </w:lvl>
  </w:abstractNum>
  <w:abstractNum w:abstractNumId="380">
    <w:nsid w:val="3A86D445"/>
    <w:multiLevelType w:val="hybridMultilevel"/>
    <w:lvl w:ilvl="0">
      <w:lvlJc w:val="left"/>
      <w:lvlText w:val="(%1)"/>
      <w:numFmt w:val="lowerLetter"/>
      <w:start w:val="1"/>
    </w:lvl>
  </w:abstractNum>
  <w:abstractNum w:abstractNumId="381">
    <w:nsid w:val="51F79246"/>
    <w:multiLevelType w:val="hybridMultilevel"/>
    <w:lvl w:ilvl="0">
      <w:lvlJc w:val="left"/>
      <w:lvlText w:val="(%1)"/>
      <w:numFmt w:val="lowerRoman"/>
      <w:start w:val="1"/>
    </w:lvl>
    <w:lvl w:ilvl="1">
      <w:lvlJc w:val="left"/>
      <w:lvlText w:val="(%2)"/>
      <w:numFmt w:val="upperLetter"/>
      <w:start w:val="1"/>
    </w:lvl>
  </w:abstractNum>
  <w:abstractNum w:abstractNumId="382">
    <w:nsid w:val="5BC9A827"/>
    <w:multiLevelType w:val="hybridMultilevel"/>
    <w:lvl w:ilvl="0">
      <w:lvlJc w:val="left"/>
      <w:lvlText w:val="%1"/>
      <w:numFmt w:val="lowerLetter"/>
      <w:start w:val="1"/>
    </w:lvl>
    <w:lvl w:ilvl="1">
      <w:lvlJc w:val="left"/>
      <w:lvlText w:val="(%2)"/>
      <w:numFmt w:val="lowerRoman"/>
      <w:start w:val="4"/>
    </w:lvl>
  </w:abstractNum>
  <w:abstractNum w:abstractNumId="383">
    <w:nsid w:val="3AE37D86"/>
    <w:multiLevelType w:val="hybridMultilevel"/>
    <w:lvl w:ilvl="0">
      <w:lvlJc w:val="left"/>
      <w:lvlText w:val="(%1)"/>
      <w:numFmt w:val="lowerLetter"/>
      <w:start w:val="2"/>
    </w:lvl>
    <w:lvl w:ilvl="1">
      <w:lvlJc w:val="left"/>
      <w:lvlText w:val="%2"/>
      <w:numFmt w:val="lowerRoman"/>
      <w:start w:val="1"/>
    </w:lvl>
  </w:abstractNum>
  <w:abstractNum w:abstractNumId="384">
    <w:nsid w:val="45440FE5"/>
    <w:multiLevelType w:val="hybridMultilevel"/>
    <w:lvl w:ilvl="0">
      <w:lvlJc w:val="left"/>
      <w:lvlText w:val="(%1)"/>
      <w:numFmt w:val="lowerLetter"/>
      <w:start w:val="4"/>
    </w:lvl>
  </w:abstractNum>
  <w:abstractNum w:abstractNumId="385">
    <w:nsid w:val="BF783F"/>
    <w:multiLevelType w:val="hybridMultilevel"/>
    <w:lvl w:ilvl="0">
      <w:lvlJc w:val="left"/>
      <w:lvlText w:val="(%1)"/>
      <w:numFmt w:val="lowerLetter"/>
      <w:start w:val="1"/>
    </w:lvl>
  </w:abstractNum>
  <w:abstractNum w:abstractNumId="386">
    <w:nsid w:val="22643EA9"/>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387">
    <w:nsid w:val="1887578D"/>
    <w:multiLevelType w:val="hybridMultilevel"/>
    <w:lvl w:ilvl="0">
      <w:lvlJc w:val="left"/>
      <w:lvlText w:val="(%1)"/>
      <w:numFmt w:val="lowerLetter"/>
      <w:start w:val="9"/>
    </w:lvl>
  </w:abstractNum>
  <w:abstractNum w:abstractNumId="388">
    <w:nsid w:val="58C05B8A"/>
    <w:multiLevelType w:val="hybridMultilevel"/>
    <w:lvl w:ilvl="0">
      <w:lvlJc w:val="left"/>
      <w:lvlText w:val="(%1)"/>
      <w:numFmt w:val="lowerLetter"/>
      <w:start w:val="13"/>
    </w:lvl>
  </w:abstractNum>
  <w:abstractNum w:abstractNumId="389">
    <w:nsid w:val="38D82E71"/>
    <w:multiLevelType w:val="hybridMultilevel"/>
    <w:lvl w:ilvl="0">
      <w:lvlJc w:val="left"/>
      <w:lvlText w:val="(%1)"/>
      <w:numFmt w:val="lowerLetter"/>
      <w:start w:val="1"/>
    </w:lvl>
  </w:abstractNum>
  <w:abstractNum w:abstractNumId="390">
    <w:nsid w:val="1E41098A"/>
    <w:multiLevelType w:val="hybridMultilevel"/>
    <w:lvl w:ilvl="0">
      <w:lvlJc w:val="left"/>
      <w:lvlText w:val="(%1)"/>
      <w:numFmt w:val="lowerLetter"/>
      <w:start w:val="2"/>
    </w:lvl>
  </w:abstractNum>
  <w:abstractNum w:abstractNumId="391">
    <w:nsid w:val="5398582C"/>
    <w:multiLevelType w:val="hybridMultilevel"/>
    <w:lvl w:ilvl="0">
      <w:lvlJc w:val="left"/>
      <w:lvlText w:val="(%1)"/>
      <w:numFmt w:val="lowerRoman"/>
      <w:start w:val="1"/>
    </w:lvl>
  </w:abstractNum>
  <w:abstractNum w:abstractNumId="392">
    <w:nsid w:val="1C0D4475"/>
    <w:multiLevelType w:val="hybridMultilevel"/>
    <w:lvl w:ilvl="0">
      <w:lvlJc w:val="left"/>
      <w:lvlText w:val="%1"/>
      <w:numFmt w:val="lowerLetter"/>
      <w:start w:val="1"/>
    </w:lvl>
    <w:lvl w:ilvl="1">
      <w:lvlJc w:val="left"/>
      <w:lvlText w:val="(%2)"/>
      <w:numFmt w:val="lowerRoman"/>
      <w:start w:val="7"/>
    </w:lvl>
  </w:abstractNum>
  <w:abstractNum w:abstractNumId="393">
    <w:nsid w:val="2CB6A6A4"/>
    <w:multiLevelType w:val="hybridMultilevel"/>
    <w:lvl w:ilvl="0">
      <w:lvlJc w:val="left"/>
      <w:lvlText w:val="(%1)"/>
      <w:numFmt w:val="lowerLetter"/>
      <w:start w:val="3"/>
    </w:lvl>
    <w:lvl w:ilvl="1">
      <w:lvlJc w:val="left"/>
      <w:lvlText w:val="%2"/>
      <w:numFmt w:val="lowerRoman"/>
      <w:start w:val="1"/>
    </w:lvl>
  </w:abstractNum>
  <w:abstractNum w:abstractNumId="394">
    <w:nsid w:val="41D646BC"/>
    <w:multiLevelType w:val="hybridMultilevel"/>
    <w:lvl w:ilvl="0">
      <w:lvlJc w:val="left"/>
      <w:lvlText w:val="(%1)"/>
      <w:numFmt w:val="lowerLetter"/>
      <w:start w:val="1"/>
    </w:lvl>
    <w:lvl w:ilvl="1">
      <w:lvlJc w:val="left"/>
      <w:lvlText w:val="(%2)"/>
      <w:numFmt w:val="lowerLetter"/>
      <w:start w:val="9"/>
    </w:lvl>
  </w:abstractNum>
  <w:abstractNum w:abstractNumId="395">
    <w:nsid w:val="3694A76A"/>
    <w:multiLevelType w:val="hybridMultilevel"/>
    <w:lvl w:ilvl="0">
      <w:lvlJc w:val="left"/>
      <w:lvlText w:val="(%1)"/>
      <w:numFmt w:val="lowerRoman"/>
      <w:start w:val="2"/>
    </w:lvl>
  </w:abstractNum>
  <w:abstractNum w:abstractNumId="396">
    <w:nsid w:val="2BF876EE"/>
    <w:multiLevelType w:val="hybridMultilevel"/>
    <w:lvl w:ilvl="0">
      <w:lvlJc w:val="left"/>
      <w:lvlText w:val="%1"/>
      <w:numFmt w:val="lowerLetter"/>
      <w:start w:val="1"/>
    </w:lvl>
    <w:lvl w:ilvl="1">
      <w:lvlJc w:val="left"/>
      <w:lvlText w:val="(%2)"/>
      <w:numFmt w:val="lowerLetter"/>
      <w:start w:val="1"/>
    </w:lvl>
  </w:abstractNum>
  <w:abstractNum w:abstractNumId="397">
    <w:nsid w:val="675ADBA"/>
    <w:multiLevelType w:val="hybridMultilevel"/>
    <w:lvl w:ilvl="0">
      <w:lvlJc w:val="left"/>
      <w:lvlText w:val="(%1)"/>
      <w:numFmt w:val="lowerLetter"/>
      <w:start w:val="35"/>
    </w:lvl>
    <w:lvl w:ilvl="1">
      <w:lvlJc w:val="left"/>
      <w:lvlText w:val="(%2)"/>
      <w:numFmt w:val="lowerLetter"/>
      <w:start w:val="2"/>
    </w:lvl>
  </w:abstractNum>
  <w:abstractNum w:abstractNumId="398">
    <w:nsid w:val="C12AC7F"/>
    <w:multiLevelType w:val="hybridMultilevel"/>
    <w:lvl w:ilvl="0">
      <w:lvlJc w:val="left"/>
      <w:lvlText w:val="(%1)"/>
      <w:numFmt w:val="lowerLetter"/>
      <w:start w:val="1"/>
    </w:lvl>
  </w:abstractNum>
  <w:abstractNum w:abstractNumId="399">
    <w:nsid w:val="6798F039"/>
    <w:multiLevelType w:val="hybridMultilevel"/>
    <w:lvl w:ilvl="0">
      <w:lvlJc w:val="left"/>
      <w:lvlText w:val="(%1)"/>
      <w:numFmt w:val="lowerRoman"/>
      <w:start w:val="4"/>
    </w:lvl>
    <w:lvl w:ilvl="1">
      <w:lvlJc w:val="left"/>
      <w:lvlText w:val="(%2)"/>
      <w:numFmt w:val="lowerLetter"/>
      <w:start w:val="2"/>
    </w:lvl>
  </w:abstractNum>
  <w:abstractNum w:abstractNumId="400">
    <w:nsid w:val="70837C02"/>
    <w:multiLevelType w:val="hybridMultilevel"/>
    <w:lvl w:ilvl="0">
      <w:lvlJc w:val="left"/>
      <w:lvlText w:val="(%1)"/>
      <w:numFmt w:val="lowerLetter"/>
      <w:start w:val="1"/>
    </w:lvl>
  </w:abstractNum>
  <w:abstractNum w:abstractNumId="401">
    <w:nsid w:val="7E4A5715"/>
    <w:multiLevelType w:val="hybridMultilevel"/>
    <w:lvl w:ilvl="0">
      <w:lvlJc w:val="left"/>
      <w:lvlText w:val="%1"/>
      <w:numFmt w:val="lowerLetter"/>
      <w:start w:val="1"/>
    </w:lvl>
    <w:lvl w:ilvl="1">
      <w:lvlJc w:val="left"/>
      <w:lvlText w:val="(%2)"/>
      <w:numFmt w:val="lowerLetter"/>
      <w:start w:val="1"/>
    </w:lvl>
  </w:abstractNum>
  <w:abstractNum w:abstractNumId="402">
    <w:nsid w:val="42B8AC67"/>
    <w:multiLevelType w:val="hybridMultilevel"/>
    <w:lvl w:ilvl="0">
      <w:lvlJc w:val="left"/>
      <w:lvlText w:val="(%1)"/>
      <w:numFmt w:val="lowerLetter"/>
      <w:start w:val="35"/>
    </w:lvl>
    <w:lvl w:ilvl="1">
      <w:lvlJc w:val="left"/>
      <w:lvlText w:val="%2"/>
      <w:numFmt w:val="lowerLetter"/>
      <w:start w:val="1"/>
    </w:lvl>
  </w:abstractNum>
  <w:abstractNum w:abstractNumId="403">
    <w:nsid w:val="246348EA"/>
    <w:multiLevelType w:val="hybridMultilevel"/>
    <w:lvl w:ilvl="0">
      <w:lvlJc w:val="left"/>
      <w:lvlText w:val="(%1)"/>
      <w:numFmt w:val="lowerLetter"/>
      <w:start w:val="2"/>
    </w:lvl>
  </w:abstractNum>
  <w:abstractNum w:abstractNumId="404">
    <w:nsid w:val="170EB52B"/>
    <w:multiLevelType w:val="hybridMultilevel"/>
    <w:lvl w:ilvl="0">
      <w:lvlJc w:val="left"/>
      <w:lvlText w:val="(%1)"/>
      <w:numFmt w:val="lowerLetter"/>
      <w:start w:val="4"/>
    </w:lvl>
  </w:abstractNum>
  <w:abstractNum w:abstractNumId="405">
    <w:nsid w:val="2DFBCB8C"/>
    <w:multiLevelType w:val="hybridMultilevel"/>
    <w:lvl w:ilvl="0">
      <w:lvlJc w:val="left"/>
      <w:lvlText w:val="(%1)"/>
      <w:numFmt w:val="lowerLetter"/>
      <w:start w:val="1"/>
    </w:lvl>
  </w:abstractNum>
  <w:abstractNum w:abstractNumId="406">
    <w:nsid w:val="3830D6B6"/>
    <w:multiLevelType w:val="hybridMultilevel"/>
    <w:lvl w:ilvl="0">
      <w:lvlJc w:val="left"/>
      <w:lvlText w:val="(%1)"/>
      <w:numFmt w:val="lowerLetter"/>
      <w:start w:val="1"/>
    </w:lvl>
  </w:abstractNum>
  <w:abstractNum w:abstractNumId="407">
    <w:nsid w:val="6D48CF87"/>
    <w:multiLevelType w:val="hybridMultilevel"/>
    <w:lvl w:ilvl="0">
      <w:lvlJc w:val="left"/>
      <w:lvlText w:val="%1"/>
      <w:numFmt w:val="lowerLetter"/>
      <w:start w:val="1"/>
    </w:lvl>
    <w:lvl w:ilvl="1">
      <w:lvlJc w:val="left"/>
      <w:lvlText w:val="(%2)"/>
      <w:numFmt w:val="lowerLetter"/>
      <w:start w:val="2"/>
    </w:lvl>
  </w:abstractNum>
  <w:abstractNum w:abstractNumId="408">
    <w:nsid w:val="576FC41B"/>
    <w:multiLevelType w:val="hybridMultilevel"/>
    <w:lvl w:ilvl="0">
      <w:lvlJc w:val="left"/>
      <w:lvlText w:val="(%1)"/>
      <w:numFmt w:val="lowerLetter"/>
      <w:start w:val="9"/>
    </w:lvl>
    <w:lvl w:ilvl="1">
      <w:lvlJc w:val="left"/>
      <w:lvlText w:val="(%2)"/>
      <w:numFmt w:val="lowerLetter"/>
      <w:start w:val="9"/>
    </w:lvl>
  </w:abstractNum>
  <w:abstractNum w:abstractNumId="409">
    <w:nsid w:val="64A1C464"/>
    <w:multiLevelType w:val="hybridMultilevel"/>
    <w:lvl w:ilvl="0">
      <w:lvlJc w:val="left"/>
      <w:lvlText w:val="%1"/>
      <w:numFmt w:val="lowerLetter"/>
      <w:start w:val="1"/>
    </w:lvl>
    <w:lvl w:ilvl="1">
      <w:lvlJc w:val="left"/>
      <w:lvlText w:val="(%2)"/>
      <w:numFmt w:val="lowerLetter"/>
      <w:start w:val="1"/>
    </w:lvl>
  </w:abstractNum>
  <w:abstractNum w:abstractNumId="410">
    <w:nsid w:val="31723BF5"/>
    <w:multiLevelType w:val="hybridMultilevel"/>
    <w:lvl w:ilvl="0">
      <w:lvlJc w:val="left"/>
      <w:lvlText w:val="(%1)"/>
      <w:numFmt w:val="lowerLetter"/>
      <w:start w:val="1"/>
    </w:lvl>
    <w:lvl w:ilvl="1">
      <w:lvlJc w:val="left"/>
      <w:lvlText w:val="(%2)"/>
      <w:numFmt w:val="lowerLetter"/>
      <w:start w:val="2"/>
    </w:lvl>
  </w:abstractNum>
  <w:abstractNum w:abstractNumId="411">
    <w:nsid w:val="11F69861"/>
    <w:multiLevelType w:val="hybridMultilevel"/>
    <w:lvl w:ilvl="0">
      <w:lvlJc w:val="left"/>
      <w:lvlText w:val="(%1)"/>
      <w:numFmt w:val="lowerLetter"/>
      <w:start w:val="1"/>
    </w:lvl>
  </w:abstractNum>
  <w:abstractNum w:abstractNumId="412">
    <w:nsid w:val="369956AB"/>
    <w:multiLevelType w:val="hybridMultilevel"/>
    <w:lvl w:ilvl="0">
      <w:lvlJc w:val="left"/>
      <w:lvlText w:val="(%1)"/>
      <w:numFmt w:val="lowerLetter"/>
      <w:start w:val="1"/>
    </w:lvl>
  </w:abstractNum>
  <w:abstractNum w:abstractNumId="413">
    <w:nsid w:val="D3BE41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14">
    <w:nsid w:val="4CDA15E7"/>
    <w:multiLevelType w:val="hybridMultilevel"/>
    <w:lvl w:ilvl="0">
      <w:lvlJc w:val="left"/>
      <w:lvlText w:val="(%1)"/>
      <w:numFmt w:val="lowerLetter"/>
      <w:start w:val="61"/>
    </w:lvl>
    <w:lvl w:ilvl="1">
      <w:lvlJc w:val="left"/>
      <w:lvlText w:val="(%2)"/>
      <w:numFmt w:val="lowerLetter"/>
      <w:start w:val="5"/>
    </w:lvl>
    <w:lvl w:ilvl="2">
      <w:lvlJc w:val="left"/>
      <w:lvlText w:val="(%3)"/>
      <w:numFmt w:val="lowerRoman"/>
      <w:start w:val="1"/>
    </w:lvl>
  </w:abstractNum>
  <w:abstractNum w:abstractNumId="415">
    <w:nsid w:val="7BDD6690"/>
    <w:multiLevelType w:val="hybridMultilevel"/>
    <w:lvl w:ilvl="0">
      <w:lvlJc w:val="left"/>
      <w:lvlText w:val="(%1)"/>
      <w:numFmt w:val="lowerLetter"/>
      <w:start w:val="6"/>
    </w:lvl>
    <w:lvl w:ilvl="1">
      <w:lvlJc w:val="left"/>
      <w:lvlText w:val="(%2)"/>
      <w:numFmt w:val="lowerRoman"/>
      <w:start w:val="1"/>
    </w:lvl>
  </w:abstractNum>
  <w:abstractNum w:abstractNumId="416">
    <w:nsid w:val="DFB5C5B"/>
    <w:multiLevelType w:val="hybridMultilevel"/>
    <w:lvl w:ilvl="0">
      <w:lvlJc w:val="left"/>
      <w:lvlText w:val="(%1)"/>
      <w:numFmt w:val="lowerLetter"/>
      <w:start w:val="16"/>
    </w:lvl>
  </w:abstractNum>
  <w:abstractNum w:abstractNumId="417">
    <w:nsid w:val="6F3E5490"/>
    <w:multiLevelType w:val="hybridMultilevel"/>
    <w:lvl w:ilvl="0">
      <w:lvlJc w:val="left"/>
      <w:lvlText w:val="%1"/>
      <w:numFmt w:val="lowerLetter"/>
      <w:start w:val="1"/>
    </w:lvl>
    <w:lvl w:ilvl="1">
      <w:lvlJc w:val="left"/>
      <w:lvlText w:val="(%2)"/>
      <w:numFmt w:val="lowerLetter"/>
      <w:start w:val="1"/>
    </w:lvl>
  </w:abstractNum>
  <w:abstractNum w:abstractNumId="418">
    <w:nsid w:val="1464BE1E"/>
    <w:multiLevelType w:val="hybridMultilevel"/>
    <w:lvl w:ilvl="0">
      <w:lvlJc w:val="left"/>
      <w:lvlText w:val="(%1)"/>
      <w:numFmt w:val="lowerLetter"/>
      <w:start w:val="35"/>
    </w:lvl>
    <w:lvl w:ilvl="1">
      <w:lvlJc w:val="left"/>
      <w:lvlText w:val="%2"/>
      <w:numFmt w:val="lowerLetter"/>
      <w:start w:val="1"/>
    </w:lvl>
  </w:abstractNum>
  <w:abstractNum w:abstractNumId="419">
    <w:nsid w:val="66BBB7E5"/>
    <w:multiLevelType w:val="hybridMultilevel"/>
    <w:lvl w:ilvl="0">
      <w:lvlJc w:val="left"/>
      <w:lvlText w:val="(%1)"/>
      <w:numFmt w:val="lowerLetter"/>
      <w:start w:val="5"/>
    </w:lvl>
  </w:abstractNum>
  <w:abstractNum w:abstractNumId="420">
    <w:nsid w:val="28168302"/>
    <w:multiLevelType w:val="hybridMultilevel"/>
    <w:lvl w:ilvl="0">
      <w:lvlJc w:val="left"/>
      <w:lvlText w:val="(%1)"/>
      <w:numFmt w:val="lowerLetter"/>
      <w:start w:val="1"/>
    </w:lvl>
  </w:abstractNum>
  <w:abstractNum w:abstractNumId="421">
    <w:nsid w:val="32A5C7A8"/>
    <w:multiLevelType w:val="hybridMultilevel"/>
    <w:lvl w:ilvl="0">
      <w:lvlJc w:val="left"/>
      <w:lvlText w:val="(%1)"/>
      <w:numFmt w:val="lowerLetter"/>
      <w:start w:val="1"/>
    </w:lvl>
  </w:abstractNum>
  <w:abstractNum w:abstractNumId="422">
    <w:nsid w:val="3A541011"/>
    <w:multiLevelType w:val="hybridMultilevel"/>
    <w:lvl w:ilvl="0">
      <w:lvlJc w:val="left"/>
      <w:lvlText w:val="(%1)"/>
      <w:numFmt w:val="lowerLetter"/>
      <w:start w:val="3"/>
    </w:lvl>
  </w:abstractNum>
  <w:abstractNum w:abstractNumId="423">
    <w:nsid w:val="4423C777"/>
    <w:multiLevelType w:val="hybridMultilevel"/>
    <w:lvl w:ilvl="0">
      <w:lvlJc w:val="left"/>
      <w:lvlText w:val="(%1)"/>
      <w:numFmt w:val="lowerLetter"/>
      <w:start w:val="1"/>
    </w:lvl>
  </w:abstractNum>
  <w:abstractNum w:abstractNumId="424">
    <w:nsid w:val="5F5C6E4D"/>
    <w:multiLevelType w:val="hybridMultilevel"/>
    <w:lvl w:ilvl="0">
      <w:lvlJc w:val="left"/>
      <w:lvlText w:val="%1"/>
      <w:numFmt w:val="lowerLetter"/>
      <w:start w:val="1"/>
    </w:lvl>
    <w:lvl w:ilvl="1">
      <w:lvlJc w:val="left"/>
      <w:lvlText w:val="(%2)"/>
      <w:numFmt w:val="lowerLetter"/>
      <w:start w:val="35"/>
    </w:lvl>
  </w:abstractNum>
  <w:abstractNum w:abstractNumId="425">
    <w:nsid w:val="7C2A56CD"/>
    <w:multiLevelType w:val="hybridMultilevel"/>
    <w:lvl w:ilvl="0">
      <w:lvlJc w:val="left"/>
      <w:lvlText w:val="(%1)"/>
      <w:numFmt w:val="lowerLetter"/>
      <w:start w:val="5"/>
    </w:lvl>
    <w:lvl w:ilvl="1">
      <w:lvlJc w:val="left"/>
      <w:lvlText w:val="%2"/>
      <w:numFmt w:val="lowerLetter"/>
      <w:start w:val="1"/>
    </w:lvl>
  </w:abstractNum>
  <w:abstractNum w:abstractNumId="426">
    <w:nsid w:val="7AB86EE1"/>
    <w:multiLevelType w:val="hybridMultilevel"/>
    <w:lvl w:ilvl="0">
      <w:lvlJc w:val="left"/>
      <w:lvlText w:val="(%1)"/>
      <w:numFmt w:val="lowerLetter"/>
      <w:start w:val="1"/>
    </w:lvl>
  </w:abstractNum>
  <w:abstractNum w:abstractNumId="427">
    <w:nsid w:val="B54E53B"/>
    <w:multiLevelType w:val="hybridMultilevel"/>
    <w:lvl w:ilvl="0">
      <w:lvlJc w:val="left"/>
      <w:lvlText w:val="(%1)"/>
      <w:numFmt w:val="lowerRoman"/>
      <w:start w:val="2"/>
    </w:lvl>
  </w:abstractNum>
  <w:abstractNum w:abstractNumId="428">
    <w:nsid w:val="2A00487"/>
    <w:multiLevelType w:val="hybridMultilevel"/>
    <w:lvl w:ilvl="0">
      <w:lvlJc w:val="left"/>
      <w:lvlText w:val="(%1)"/>
      <w:numFmt w:val="lowerLetter"/>
      <w:start w:val="1"/>
    </w:lvl>
  </w:abstractNum>
  <w:abstractNum w:abstractNumId="429">
    <w:nsid w:val="6CB1B60"/>
    <w:multiLevelType w:val="hybridMultilevel"/>
    <w:lvl w:ilvl="0">
      <w:lvlJc w:val="left"/>
      <w:lvlText w:val="(%1)"/>
      <w:numFmt w:val="lowerLetter"/>
      <w:start w:val="3"/>
    </w:lvl>
  </w:abstractNum>
  <w:abstractNum w:abstractNumId="430">
    <w:nsid w:val="72EDD574"/>
    <w:multiLevelType w:val="hybridMultilevel"/>
    <w:lvl w:ilvl="0">
      <w:lvlJc w:val="left"/>
      <w:lvlText w:val="(%1)"/>
      <w:numFmt w:val="lowerLetter"/>
      <w:start w:val="4"/>
    </w:lvl>
  </w:abstractNum>
  <w:abstractNum w:abstractNumId="431">
    <w:nsid w:val="7323808A"/>
    <w:multiLevelType w:val="hybridMultilevel"/>
    <w:lvl w:ilvl="0">
      <w:lvlJc w:val="left"/>
      <w:lvlText w:val="(%1)"/>
      <w:numFmt w:val="lowerLetter"/>
      <w:start w:val="1"/>
    </w:lvl>
  </w:abstractNum>
  <w:abstractNum w:abstractNumId="432">
    <w:nsid w:val="5157276"/>
    <w:multiLevelType w:val="hybridMultilevel"/>
    <w:lvl w:ilvl="0">
      <w:lvlJc w:val="left"/>
      <w:lvlText w:val="(%1)"/>
      <w:numFmt w:val="lowerLetter"/>
      <w:start w:val="1"/>
    </w:lvl>
  </w:abstractNum>
  <w:abstractNum w:abstractNumId="433">
    <w:nsid w:val="35A681DB"/>
    <w:multiLevelType w:val="hybridMultilevel"/>
    <w:lvl w:ilvl="0">
      <w:lvlJc w:val="left"/>
      <w:lvlText w:val="(%1)"/>
      <w:numFmt w:val="lowerLetter"/>
      <w:start w:val="3"/>
    </w:lvl>
  </w:abstractNum>
  <w:abstractNum w:abstractNumId="434">
    <w:nsid w:val="1786C974"/>
    <w:multiLevelType w:val="hybridMultilevel"/>
    <w:lvl w:ilvl="0">
      <w:lvlJc w:val="left"/>
      <w:lvlText w:val="(%1)"/>
      <w:numFmt w:val="lowerLetter"/>
      <w:start w:val="11"/>
    </w:lvl>
  </w:abstractNum>
  <w:abstractNum w:abstractNumId="435">
    <w:nsid w:val="1C2427A1"/>
    <w:multiLevelType w:val="hybridMultilevel"/>
    <w:lvl w:ilvl="0">
      <w:lvlJc w:val="left"/>
      <w:lvlText w:val="(%1)"/>
      <w:numFmt w:val="lowerLetter"/>
      <w:start w:val="1"/>
    </w:lvl>
  </w:abstractNum>
  <w:abstractNum w:abstractNumId="436">
    <w:nsid w:val="63A24D68"/>
    <w:multiLevelType w:val="hybridMultilevel"/>
    <w:lvl w:ilvl="0">
      <w:lvlJc w:val="left"/>
      <w:lvlText w:val="%1"/>
      <w:numFmt w:val="lowerLetter"/>
      <w:start w:val="1"/>
    </w:lvl>
    <w:lvl w:ilvl="1">
      <w:lvlJc w:val="left"/>
      <w:lvlText w:val="(%2)"/>
      <w:numFmt w:val="lowerLetter"/>
      <w:start w:val="10"/>
    </w:lvl>
  </w:abstractNum>
  <w:abstractNum w:abstractNumId="437">
    <w:nsid w:val="4FB7A02A"/>
    <w:multiLevelType w:val="hybridMultilevel"/>
    <w:lvl w:ilvl="0">
      <w:lvlJc w:val="left"/>
      <w:lvlText w:val="(%1)"/>
      <w:numFmt w:val="lowerLetter"/>
      <w:start w:val="35"/>
    </w:lvl>
    <w:lvl w:ilvl="1">
      <w:lvlJc w:val="left"/>
      <w:lvlText w:val="(%2)"/>
      <w:numFmt w:val="lowerLetter"/>
      <w:start w:val="13"/>
    </w:lvl>
  </w:abstractNum>
  <w:abstractNum w:abstractNumId="438">
    <w:nsid w:val="96CF728"/>
    <w:multiLevelType w:val="hybridMultilevel"/>
    <w:lvl w:ilvl="0">
      <w:lvlJc w:val="left"/>
      <w:lvlText w:val="(%1)"/>
      <w:numFmt w:val="lowerLetter"/>
      <w:start w:val="17"/>
    </w:lvl>
  </w:abstractNum>
  <w:abstractNum w:abstractNumId="439">
    <w:nsid w:val="3B121183"/>
    <w:multiLevelType w:val="hybridMultilevel"/>
    <w:lvl w:ilvl="0">
      <w:lvlJc w:val="left"/>
      <w:lvlText w:val="%1"/>
      <w:numFmt w:val="upperLetter"/>
      <w:start w:val="1"/>
    </w:lvl>
    <w:lvl w:ilvl="1">
      <w:lvlJc w:val="left"/>
      <w:lvlText w:val="(%2)"/>
      <w:numFmt w:val="lowerLetter"/>
      <w:start w:val="1"/>
    </w:lvl>
  </w:abstractNum>
  <w:abstractNum w:abstractNumId="440">
    <w:nsid w:val="3459648F"/>
    <w:multiLevelType w:val="hybridMultilevel"/>
    <w:lvl w:ilvl="0">
      <w:lvlJc w:val="left"/>
      <w:lvlText w:val="(%1)"/>
      <w:numFmt w:val="upperLetter"/>
      <w:start w:val="1"/>
    </w:lvl>
    <w:lvl w:ilvl="1">
      <w:lvlJc w:val="left"/>
      <w:lvlText w:val="(%2)"/>
      <w:numFmt w:val="lowerLetter"/>
      <w:start w:val="3"/>
    </w:lvl>
  </w:abstractNum>
  <w:abstractNum w:abstractNumId="441">
    <w:nsid w:val="3ADF331D"/>
    <w:multiLevelType w:val="hybridMultilevel"/>
    <w:lvl w:ilvl="0">
      <w:lvlJc w:val="left"/>
      <w:lvlText w:val="(%1)"/>
      <w:numFmt w:val="lowerLetter"/>
      <w:start w:val="1"/>
    </w:lvl>
  </w:abstractNum>
  <w:abstractNum w:abstractNumId="442">
    <w:nsid w:val="4D08A9E4"/>
    <w:multiLevelType w:val="hybridMultilevel"/>
    <w:lvl w:ilvl="0">
      <w:lvlJc w:val="left"/>
      <w:lvlText w:val="%1"/>
      <w:numFmt w:val="lowerLetter"/>
      <w:start w:val="1"/>
    </w:lvl>
    <w:lvl w:ilvl="1">
      <w:lvlJc w:val="left"/>
      <w:lvlText w:val="(%2)"/>
      <w:numFmt w:val="lowerLetter"/>
      <w:start w:val="3"/>
    </w:lvl>
  </w:abstractNum>
  <w:abstractNum w:abstractNumId="443">
    <w:nsid w:val="6AF2BB3A"/>
    <w:multiLevelType w:val="hybridMultilevel"/>
    <w:lvl w:ilvl="0">
      <w:lvlJc w:val="left"/>
      <w:lvlText w:val="(%1)"/>
      <w:numFmt w:val="lowerLetter"/>
      <w:start w:val="35"/>
    </w:lvl>
    <w:lvl w:ilvl="1">
      <w:lvlJc w:val="left"/>
      <w:lvlText w:val="(%2)"/>
      <w:numFmt w:val="lowerLetter"/>
      <w:start w:val="5"/>
    </w:lvl>
  </w:abstractNum>
  <w:abstractNum w:abstractNumId="444">
    <w:nsid w:val="481B1739"/>
    <w:multiLevelType w:val="hybridMultilevel"/>
    <w:lvl w:ilvl="0">
      <w:lvlJc w:val="left"/>
      <w:lvlText w:val="(%1)"/>
      <w:numFmt w:val="lowerLetter"/>
      <w:start w:val="25"/>
    </w:lvl>
  </w:abstractNum>
  <w:abstractNum w:abstractNumId="445">
    <w:nsid w:val="19E2BFCC"/>
    <w:multiLevelType w:val="hybridMultilevel"/>
    <w:lvl w:ilvl="0">
      <w:lvlJc w:val="left"/>
      <w:lvlText w:val="(%1)"/>
      <w:numFmt w:val="lowerLetter"/>
      <w:start w:val="1"/>
    </w:lvl>
  </w:abstractNum>
  <w:abstractNum w:abstractNumId="446">
    <w:nsid w:val="66D021CA"/>
    <w:multiLevelType w:val="hybridMultilevel"/>
    <w:lvl w:ilvl="0">
      <w:lvlJc w:val="left"/>
      <w:lvlText w:val="(%1)"/>
      <w:numFmt w:val="lowerLetter"/>
      <w:start w:val="2"/>
    </w:lvl>
  </w:abstractNum>
  <w:abstractNum w:abstractNumId="447">
    <w:nsid w:val="56167394"/>
    <w:multiLevelType w:val="hybridMultilevel"/>
    <w:lvl w:ilvl="0">
      <w:lvlJc w:val="left"/>
      <w:lvlText w:val="(%1)"/>
      <w:numFmt w:val="lowerLetter"/>
      <w:start w:val="10"/>
    </w:lvl>
  </w:abstractNum>
  <w:abstractNum w:abstractNumId="448">
    <w:nsid w:val="921145C"/>
    <w:multiLevelType w:val="hybridMultilevel"/>
    <w:lvl w:ilvl="0">
      <w:lvlJc w:val="left"/>
      <w:lvlText w:val="%1"/>
      <w:numFmt w:val="upperLetter"/>
      <w:start w:val="1"/>
    </w:lvl>
    <w:lvl w:ilvl="1">
      <w:lvlJc w:val="left"/>
      <w:lvlText w:val="(%2)"/>
      <w:numFmt w:val="lowerLetter"/>
      <w:start w:val="1"/>
    </w:lvl>
  </w:abstractNum>
  <w:abstractNum w:abstractNumId="449">
    <w:nsid w:val="7B34DFE8"/>
    <w:multiLevelType w:val="hybridMultilevel"/>
    <w:lvl w:ilvl="0">
      <w:lvlJc w:val="left"/>
      <w:lvlText w:val="(%1)"/>
      <w:numFmt w:val="upperLetter"/>
      <w:start w:val="1"/>
    </w:lvl>
    <w:lvl w:ilvl="1">
      <w:lvlJc w:val="left"/>
      <w:lvlText w:val="%2"/>
      <w:numFmt w:val="lowerLetter"/>
      <w:start w:val="1"/>
    </w:lvl>
  </w:abstractNum>
  <w:abstractNum w:abstractNumId="450">
    <w:nsid w:val="3CD22B79"/>
    <w:multiLevelType w:val="hybridMultilevel"/>
    <w:lvl w:ilvl="0">
      <w:lvlJc w:val="left"/>
      <w:lvlText w:val="(%1)"/>
      <w:numFmt w:val="lowerLetter"/>
      <w:start w:val="7"/>
    </w:lvl>
  </w:abstractNum>
  <w:abstractNum w:abstractNumId="451">
    <w:nsid w:val="3137975E"/>
    <w:multiLevelType w:val="hybridMultilevel"/>
    <w:lvl w:ilvl="0">
      <w:lvlJc w:val="left"/>
      <w:lvlText w:val="(%1)"/>
      <w:numFmt w:val="lowerLetter"/>
      <w:start w:val="8"/>
    </w:lvl>
    <w:lvl w:ilvl="1">
      <w:lvlJc w:val="left"/>
      <w:lvlText w:val="(%2)"/>
      <w:numFmt w:val="lowerRoman"/>
      <w:start w:val="1"/>
    </w:lvl>
  </w:abstractNum>
  <w:abstractNum w:abstractNumId="452">
    <w:nsid w:val="2DDAA791"/>
    <w:multiLevelType w:val="hybridMultilevel"/>
    <w:lvl w:ilvl="0">
      <w:lvlJc w:val="left"/>
      <w:lvlText w:val="(%1)"/>
      <w:numFmt w:val="lowerRoman"/>
      <w:start w:val="3"/>
    </w:lvl>
  </w:abstractNum>
  <w:abstractNum w:abstractNumId="453">
    <w:nsid w:val="77263B8A"/>
    <w:multiLevelType w:val="hybridMultilevel"/>
    <w:lvl w:ilvl="0">
      <w:lvlJc w:val="left"/>
      <w:lvlText w:val="(%1)"/>
      <w:numFmt w:val="lowerRoman"/>
      <w:start w:val="14"/>
    </w:lvl>
  </w:abstractNum>
  <w:abstractNum w:abstractNumId="454">
    <w:nsid w:val="755B5ED6"/>
    <w:multiLevelType w:val="hybridMultilevel"/>
    <w:lvl w:ilvl="0">
      <w:lvlJc w:val="left"/>
      <w:lvlText w:val="(%1)"/>
      <w:numFmt w:val="lowerRoman"/>
      <w:start w:val="9"/>
    </w:lvl>
  </w:abstractNum>
  <w:abstractNum w:abstractNumId="455">
    <w:nsid w:val="D3715DE"/>
    <w:multiLevelType w:val="hybridMultilevel"/>
    <w:lvl w:ilvl="0">
      <w:lvlJc w:val="left"/>
      <w:lvlText w:val="(%1)"/>
      <w:numFmt w:val="lowerLetter"/>
      <w:start w:val="1"/>
    </w:lvl>
  </w:abstractNum>
  <w:abstractNum w:abstractNumId="456">
    <w:nsid w:val="73509257"/>
    <w:multiLevelType w:val="hybridMultilevel"/>
    <w:lvl w:ilvl="0">
      <w:lvlJc w:val="left"/>
      <w:lvlText w:val="(%1)"/>
      <w:numFmt w:val="lowerLetter"/>
      <w:start w:val="1"/>
    </w:lvl>
  </w:abstractNum>
  <w:abstractNum w:abstractNumId="457">
    <w:nsid w:val="7013CDB7"/>
    <w:multiLevelType w:val="hybridMultilevel"/>
    <w:lvl w:ilvl="0">
      <w:lvlJc w:val="left"/>
      <w:lvlText w:val="(%1)"/>
      <w:numFmt w:val="lowerLetter"/>
      <w:start w:val="3"/>
    </w:lvl>
  </w:abstractNum>
  <w:abstractNum w:abstractNumId="458">
    <w:nsid w:val="188BFB19"/>
    <w:multiLevelType w:val="hybridMultilevel"/>
    <w:lvl w:ilvl="0">
      <w:lvlJc w:val="left"/>
      <w:lvlText w:val="(%1)"/>
      <w:numFmt w:val="lowerLetter"/>
      <w:start w:val="7"/>
    </w:lvl>
  </w:abstractNum>
  <w:abstractNum w:abstractNumId="459">
    <w:nsid w:val="75F096DF"/>
    <w:multiLevelType w:val="hybridMultilevel"/>
    <w:lvl w:ilvl="0">
      <w:lvlJc w:val="left"/>
      <w:lvlText w:val="%1"/>
      <w:numFmt w:val="lowerLetter"/>
      <w:start w:val="1"/>
    </w:lvl>
    <w:lvl w:ilvl="1">
      <w:lvlJc w:val="left"/>
      <w:lvlText w:val="(%2)"/>
      <w:numFmt w:val="lowerLetter"/>
      <w:start w:val="35"/>
    </w:lvl>
  </w:abstractNum>
  <w:abstractNum w:abstractNumId="460">
    <w:nsid w:val="76DEE918"/>
    <w:multiLevelType w:val="hybridMultilevel"/>
    <w:lvl w:ilvl="0">
      <w:lvlJc w:val="left"/>
      <w:lvlText w:val="(%1)"/>
      <w:numFmt w:val="lowerLetter"/>
      <w:start w:val="10"/>
    </w:lvl>
    <w:lvl w:ilvl="1">
      <w:lvlJc w:val="left"/>
      <w:lvlText w:val="%2"/>
      <w:numFmt w:val="lowerLetter"/>
      <w:start w:val="1"/>
    </w:lvl>
  </w:abstractNum>
  <w:abstractNum w:abstractNumId="461">
    <w:nsid w:val="B79D08D"/>
    <w:multiLevelType w:val="hybridMultilevel"/>
    <w:lvl w:ilvl="0">
      <w:lvlJc w:val="left"/>
      <w:lvlText w:val="(%1)"/>
      <w:numFmt w:val="lowerLetter"/>
      <w:start w:val="1"/>
    </w:lvl>
  </w:abstractNum>
  <w:abstractNum w:abstractNumId="462">
    <w:nsid w:val="69141769"/>
    <w:multiLevelType w:val="hybridMultilevel"/>
    <w:lvl w:ilvl="0">
      <w:lvlJc w:val="left"/>
      <w:lvlText w:val="(%1)"/>
      <w:numFmt w:val="lowerLetter"/>
      <w:start w:val="25"/>
    </w:lvl>
    <w:lvl w:ilvl="1">
      <w:lvlJc w:val="left"/>
      <w:lvlText w:val="(%2)"/>
      <w:numFmt w:val="lowerLetter"/>
      <w:start w:val="3"/>
    </w:lvl>
  </w:abstractNum>
  <w:abstractNum w:abstractNumId="463">
    <w:nsid w:val="7BF45B8E"/>
    <w:multiLevelType w:val="hybridMultilevel"/>
    <w:lvl w:ilvl="0">
      <w:lvlJc w:val="left"/>
      <w:lvlText w:val="(%1)"/>
      <w:numFmt w:val="lowerLetter"/>
      <w:start w:val="1"/>
    </w:lvl>
  </w:abstractNum>
  <w:abstractNum w:abstractNumId="464">
    <w:nsid w:val="41205269"/>
    <w:multiLevelType w:val="hybridMultilevel"/>
    <w:lvl w:ilvl="0">
      <w:lvlJc w:val="left"/>
      <w:lvlText w:val="(%1)"/>
      <w:numFmt w:val="lowerLetter"/>
      <w:start w:val="1"/>
    </w:lvl>
  </w:abstractNum>
  <w:abstractNum w:abstractNumId="465">
    <w:nsid w:val="9AE0DD"/>
    <w:multiLevelType w:val="hybridMultilevel"/>
    <w:lvl w:ilvl="0">
      <w:lvlJc w:val="left"/>
      <w:lvlText w:val="(%1)"/>
      <w:numFmt w:val="lowerLetter"/>
      <w:start w:val="1"/>
    </w:lvl>
  </w:abstractNum>
  <w:abstractNum w:abstractNumId="466">
    <w:nsid w:val="1818832F"/>
    <w:multiLevelType w:val="hybridMultilevel"/>
    <w:lvl w:ilvl="0">
      <w:lvlJc w:val="left"/>
      <w:lvlText w:val="(%1)"/>
      <w:numFmt w:val="lowerLetter"/>
      <w:start w:val="1"/>
    </w:lvl>
    <w:lvl w:ilvl="1">
      <w:lvlJc w:val="left"/>
      <w:lvlText w:val="(%2)"/>
      <w:numFmt w:val="lowerLetter"/>
      <w:start w:val="9"/>
    </w:lvl>
  </w:abstractNum>
  <w:abstractNum w:abstractNumId="467">
    <w:nsid w:val="24C29FD1"/>
    <w:multiLevelType w:val="hybridMultilevel"/>
    <w:lvl w:ilvl="0">
      <w:lvlJc w:val="left"/>
      <w:lvlText w:val="(%1)"/>
      <w:numFmt w:val="lowerRoman"/>
      <w:start w:val="2"/>
    </w:lvl>
  </w:abstractNum>
  <w:abstractNum w:abstractNumId="468">
    <w:nsid w:val="50528108"/>
    <w:multiLevelType w:val="hybridMultilevel"/>
    <w:lvl w:ilvl="0">
      <w:lvlJc w:val="left"/>
      <w:lvlText w:val="(%1)"/>
      <w:numFmt w:val="lowerLetter"/>
      <w:start w:val="2"/>
    </w:lvl>
  </w:abstractNum>
  <w:abstractNum w:abstractNumId="469">
    <w:nsid w:val="21857A57"/>
    <w:multiLevelType w:val="hybridMultilevel"/>
    <w:lvl w:ilvl="0">
      <w:lvlJc w:val="left"/>
      <w:lvlText w:val="(%1)"/>
      <w:numFmt w:val="lowerLetter"/>
      <w:start w:val="1"/>
    </w:lvl>
  </w:abstractNum>
  <w:abstractNum w:abstractNumId="470">
    <w:nsid w:val="5FD4B154"/>
    <w:multiLevelType w:val="hybridMultilevel"/>
    <w:lvl w:ilvl="0">
      <w:lvlJc w:val="left"/>
      <w:lvlText w:val="(%1)"/>
      <w:numFmt w:val="lowerLetter"/>
      <w:start w:val="1"/>
    </w:lvl>
    <w:lvl w:ilvl="1">
      <w:lvlJc w:val="left"/>
      <w:lvlText w:val="(%2)"/>
      <w:numFmt w:val="lowerLetter"/>
      <w:start w:val="9"/>
    </w:lvl>
  </w:abstractNum>
  <w:abstractNum w:abstractNumId="471">
    <w:nsid w:val="4ABE597"/>
    <w:multiLevelType w:val="hybridMultilevel"/>
    <w:lvl w:ilvl="0">
      <w:lvlJc w:val="left"/>
      <w:lvlText w:val="(%1)"/>
      <w:numFmt w:val="lowerRoman"/>
      <w:start w:val="2"/>
    </w:lvl>
  </w:abstractNum>
  <w:abstractNum w:abstractNumId="472">
    <w:nsid w:val="5C64AD75"/>
    <w:multiLevelType w:val="hybridMultilevel"/>
    <w:lvl w:ilvl="0">
      <w:lvlJc w:val="left"/>
      <w:lvlText w:val="(%1)"/>
      <w:numFmt w:val="lowerLetter"/>
      <w:start w:val="2"/>
    </w:lvl>
  </w:abstractNum>
  <w:abstractNum w:abstractNumId="473">
    <w:nsid w:val="2CDD5B39"/>
    <w:multiLevelType w:val="hybridMultilevel"/>
    <w:lvl w:ilvl="0">
      <w:lvlJc w:val="left"/>
      <w:lvlText w:val="%1"/>
      <w:numFmt w:val="upperLetter"/>
      <w:start w:val="1"/>
    </w:lvl>
    <w:lvl w:ilvl="1">
      <w:lvlJc w:val="left"/>
      <w:lvlText w:val="(%2)"/>
      <w:numFmt w:val="lowerLetter"/>
      <w:start w:val="1"/>
    </w:lvl>
  </w:abstractNum>
  <w:abstractNum w:abstractNumId="474">
    <w:nsid w:val="6F9EA0D1"/>
    <w:multiLevelType w:val="hybridMultilevel"/>
    <w:lvl w:ilvl="0">
      <w:lvlJc w:val="left"/>
      <w:lvlText w:val="(%1)"/>
      <w:numFmt w:val="upperLetter"/>
      <w:start w:val="4"/>
    </w:lvl>
    <w:lvl w:ilvl="1">
      <w:lvlJc w:val="left"/>
      <w:lvlText w:val="%2"/>
      <w:numFmt w:val="lowerLetter"/>
      <w:start w:val="1"/>
    </w:lvl>
  </w:abstractNum>
  <w:abstractNum w:abstractNumId="475">
    <w:nsid w:val="247FC4AE"/>
    <w:multiLevelType w:val="hybridMultilevel"/>
    <w:lvl w:ilvl="0">
      <w:lvlJc w:val="left"/>
      <w:lvlText w:val="(%1)"/>
      <w:numFmt w:val="lowerLetter"/>
      <w:start w:val="2"/>
    </w:lvl>
    <w:lvl w:ilvl="1">
      <w:lvlJc w:val="left"/>
      <w:lvlText w:val="(%2)"/>
      <w:numFmt w:val="lowerRoman"/>
      <w:start w:val="1"/>
    </w:lvl>
  </w:abstractNum>
  <w:abstractNum w:abstractNumId="476">
    <w:nsid w:val="46C01B05"/>
    <w:multiLevelType w:val="hybridMultilevel"/>
    <w:lvl w:ilvl="0">
      <w:lvlJc w:val="left"/>
      <w:lvlText w:val="(%1)"/>
      <w:numFmt w:val="lowerLetter"/>
      <w:start w:val="8"/>
    </w:lvl>
  </w:abstractNum>
  <w:abstractNum w:abstractNumId="477">
    <w:nsid w:val="566EC29B"/>
    <w:multiLevelType w:val="hybridMultilevel"/>
    <w:lvl w:ilvl="0">
      <w:lvlJc w:val="left"/>
      <w:lvlText w:val="(%1)"/>
      <w:numFmt w:val="lowerLetter"/>
      <w:start w:val="1"/>
    </w:lvl>
  </w:abstractNum>
  <w:abstractNum w:abstractNumId="478">
    <w:nsid w:val="7A963843"/>
    <w:multiLevelType w:val="hybridMultilevel"/>
    <w:lvl w:ilvl="0">
      <w:lvlJc w:val="left"/>
      <w:lvlText w:val="(%1)"/>
      <w:numFmt w:val="lowerLetter"/>
      <w:start w:val="2"/>
    </w:lvl>
    <w:lvl w:ilvl="1">
      <w:lvlJc w:val="left"/>
      <w:lvlText w:val="(%2)"/>
      <w:numFmt w:val="lowerLetter"/>
      <w:start w:val="35"/>
    </w:lvl>
  </w:abstractNum>
  <w:abstractNum w:abstractNumId="479">
    <w:nsid w:val="4FE12F61"/>
    <w:multiLevelType w:val="hybridMultilevel"/>
    <w:lvl w:ilvl="0">
      <w:lvlJc w:val="left"/>
      <w:lvlText w:val="(%1)"/>
      <w:numFmt w:val="lowerLetter"/>
      <w:start w:val="1"/>
    </w:lvl>
  </w:abstractNum>
  <w:abstractNum w:abstractNumId="480">
    <w:nsid w:val="51A3A284"/>
    <w:multiLevelType w:val="hybridMultilevel"/>
    <w:lvl w:ilvl="0">
      <w:lvlJc w:val="left"/>
      <w:lvlText w:val="(%1)"/>
      <w:numFmt w:val="lowerLetter"/>
      <w:start w:val="3"/>
    </w:lvl>
  </w:abstractNum>
  <w:abstractNum w:abstractNumId="481">
    <w:nsid w:val="376863B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82">
    <w:nsid w:val="118C6C0"/>
    <w:multiLevelType w:val="hybridMultilevel"/>
    <w:lvl w:ilvl="0">
      <w:lvlJc w:val="left"/>
      <w:lvlText w:val="%1"/>
      <w:numFmt w:val="lowerRoman"/>
      <w:start w:val="1"/>
    </w:lvl>
    <w:lvl w:ilvl="1">
      <w:lvlJc w:val="left"/>
      <w:lvlText w:val="(%2)"/>
      <w:numFmt w:val="upperLetter"/>
      <w:start w:val="1"/>
    </w:lvl>
  </w:abstractNum>
  <w:abstractNum w:abstractNumId="483">
    <w:nsid w:val="7F7E4A15"/>
    <w:multiLevelType w:val="hybridMultilevel"/>
    <w:lvl w:ilvl="0">
      <w:lvlJc w:val="left"/>
      <w:lvlText w:val="(%1)"/>
      <w:numFmt w:val="lowerRoman"/>
      <w:start w:val="4"/>
    </w:lvl>
    <w:lvl w:ilvl="1">
      <w:lvlJc w:val="left"/>
      <w:lvlText w:val="%2"/>
      <w:numFmt w:val="upperLetter"/>
      <w:start w:val="1"/>
    </w:lvl>
  </w:abstractNum>
  <w:abstractNum w:abstractNumId="484">
    <w:nsid w:val="2E8E9F47"/>
    <w:multiLevelType w:val="hybridMultilevel"/>
    <w:lvl w:ilvl="0">
      <w:lvlJc w:val="left"/>
      <w:lvlText w:val="%1"/>
      <w:numFmt w:val="lowerLetter"/>
      <w:start w:val="1"/>
    </w:lvl>
    <w:lvl w:ilvl="1">
      <w:lvlJc w:val="left"/>
      <w:lvlText w:val="(%2)"/>
      <w:numFmt w:val="lowerLetter"/>
      <w:start w:val="3"/>
    </w:lvl>
  </w:abstractNum>
  <w:abstractNum w:abstractNumId="485">
    <w:nsid w:val="76742596"/>
    <w:multiLevelType w:val="hybridMultilevel"/>
    <w:lvl w:ilvl="0">
      <w:lvlJc w:val="left"/>
      <w:lvlText w:val="(%1)"/>
      <w:numFmt w:val="lowerLetter"/>
      <w:start w:val="35"/>
    </w:lvl>
    <w:lvl w:ilvl="1">
      <w:lvlJc w:val="left"/>
      <w:lvlText w:val="%2"/>
      <w:numFmt w:val="lowerLetter"/>
      <w:start w:val="1"/>
    </w:lvl>
  </w:abstractNum>
  <w:abstractNum w:abstractNumId="486">
    <w:nsid w:val="CB55FF3"/>
    <w:multiLevelType w:val="hybridMultilevel"/>
    <w:lvl w:ilvl="0">
      <w:lvlJc w:val="left"/>
      <w:lvlText w:val="(%1)"/>
      <w:numFmt w:val="lowerLetter"/>
      <w:start w:val="5"/>
    </w:lvl>
  </w:abstractNum>
  <w:abstractNum w:abstractNumId="487">
    <w:nsid w:val="21DF319E"/>
    <w:multiLevelType w:val="hybridMultilevel"/>
    <w:lvl w:ilvl="0">
      <w:lvlJc w:val="left"/>
      <w:lvlText w:val="(%1)"/>
      <w:numFmt w:val="lowerLetter"/>
      <w:start w:val="1"/>
    </w:lvl>
  </w:abstractNum>
  <w:abstractNum w:abstractNumId="488">
    <w:nsid w:val="6687F34D"/>
    <w:multiLevelType w:val="hybridMultilevel"/>
    <w:lvl w:ilvl="0">
      <w:lvlJc w:val="left"/>
      <w:lvlText w:val="(%1)"/>
      <w:numFmt w:val="lowerLetter"/>
      <w:start w:val="2"/>
    </w:lvl>
  </w:abstractNum>
  <w:abstractNum w:abstractNumId="489">
    <w:nsid w:val="25415B0C"/>
    <w:multiLevelType w:val="hybridMultilevel"/>
    <w:lvl w:ilvl="0">
      <w:lvlJc w:val="left"/>
      <w:lvlText w:val="(%1)"/>
      <w:numFmt w:val="lowerLetter"/>
      <w:start w:val="1"/>
    </w:lvl>
  </w:abstractNum>
  <w:abstractNum w:abstractNumId="490">
    <w:nsid w:val="17CFC87D"/>
    <w:multiLevelType w:val="hybridMultilevel"/>
    <w:lvl w:ilvl="0">
      <w:lvlJc w:val="left"/>
      <w:lvlText w:val="(%1)"/>
      <w:numFmt w:val="lowerLetter"/>
      <w:start w:val="1"/>
    </w:lvl>
  </w:abstractNum>
  <w:abstractNum w:abstractNumId="491">
    <w:nsid w:val="5D66DC65"/>
    <w:multiLevelType w:val="hybridMultilevel"/>
    <w:lvl w:ilvl="0">
      <w:lvlJc w:val="left"/>
      <w:lvlText w:val="(%1)"/>
      <w:numFmt w:val="lowerLetter"/>
      <w:start w:val="1"/>
    </w:lvl>
  </w:abstractNum>
  <w:abstractNum w:abstractNumId="492">
    <w:nsid w:val="30BB2B99"/>
    <w:multiLevelType w:val="hybridMultilevel"/>
    <w:lvl w:ilvl="0">
      <w:lvlJc w:val="left"/>
      <w:lvlText w:val="(%1)"/>
      <w:numFmt w:val="lowerLetter"/>
      <w:start w:val="2"/>
    </w:lvl>
  </w:abstractNum>
  <w:abstractNum w:abstractNumId="493">
    <w:nsid w:val="E3DFE6"/>
    <w:multiLevelType w:val="hybridMultilevel"/>
    <w:lvl w:ilvl="0">
      <w:lvlJc w:val="left"/>
      <w:lvlText w:val="(%1)"/>
      <w:numFmt w:val="lowerLetter"/>
      <w:start w:val="3"/>
    </w:lvl>
  </w:abstractNum>
  <w:abstractNum w:abstractNumId="494">
    <w:nsid w:val="595B37F3"/>
    <w:multiLevelType w:val="hybridMultilevel"/>
    <w:lvl w:ilvl="0">
      <w:lvlJc w:val="left"/>
      <w:lvlText w:val="(%1)"/>
      <w:numFmt w:val="lowerLetter"/>
      <w:start w:val="1"/>
    </w:lvl>
  </w:abstractNum>
  <w:abstractNum w:abstractNumId="495">
    <w:nsid w:val="71DB7E02"/>
    <w:multiLevelType w:val="hybridMultilevel"/>
    <w:lvl w:ilvl="0">
      <w:lvlJc w:val="left"/>
      <w:lvlText w:val="(%1)"/>
      <w:numFmt w:val="lowerLetter"/>
      <w:start w:val="1"/>
    </w:lvl>
    <w:lvl w:ilvl="1">
      <w:lvlJc w:val="left"/>
      <w:lvlText w:val="(%2)"/>
      <w:numFmt w:val="lowerRoman"/>
      <w:start w:val="1"/>
    </w:lvl>
  </w:abstractNum>
  <w:abstractNum w:abstractNumId="496">
    <w:nsid w:val="17EC0C4"/>
    <w:multiLevelType w:val="hybridMultilevel"/>
    <w:lvl w:ilvl="0">
      <w:lvlJc w:val="left"/>
      <w:lvlText w:val="%1"/>
      <w:numFmt w:val="lowerLetter"/>
      <w:start w:val="1"/>
    </w:lvl>
    <w:lvl w:ilvl="1">
      <w:lvlJc w:val="left"/>
      <w:lvlText w:val="(%2)"/>
      <w:numFmt w:val="lowerLetter"/>
      <w:start w:val="1"/>
    </w:lvl>
  </w:abstractNum>
  <w:abstractNum w:abstractNumId="497">
    <w:nsid w:val="7173BB22"/>
    <w:multiLevelType w:val="hybridMultilevel"/>
    <w:lvl w:ilvl="0">
      <w:lvlJc w:val="left"/>
      <w:lvlText w:val="(%1)"/>
      <w:numFmt w:val="lowerLetter"/>
      <w:start w:val="35"/>
    </w:lvl>
    <w:lvl w:ilvl="1">
      <w:lvlJc w:val="left"/>
      <w:lvlText w:val="(%2)"/>
      <w:numFmt w:val="lowerLetter"/>
      <w:start w:val="3"/>
    </w:lvl>
  </w:abstractNum>
  <w:abstractNum w:abstractNumId="498">
    <w:nsid w:val="169E1DD3"/>
    <w:multiLevelType w:val="hybridMultilevel"/>
    <w:lvl w:ilvl="0">
      <w:lvlJc w:val="left"/>
      <w:lvlText w:val="(%1)"/>
      <w:numFmt w:val="lowerLetter"/>
      <w:start w:val="1"/>
    </w:lvl>
  </w:abstractNum>
  <w:abstractNum w:abstractNumId="499">
    <w:nsid w:val="51D141CC"/>
    <w:multiLevelType w:val="hybridMultilevel"/>
    <w:lvl w:ilvl="0">
      <w:lvlJc w:val="left"/>
      <w:lvlText w:val="(%1)"/>
      <w:numFmt w:val="lowerRoman"/>
      <w:start w:val="1"/>
    </w:lvl>
  </w:abstractNum>
  <w:abstractNum w:abstractNumId="500">
    <w:nsid w:val="12F9357A"/>
    <w:multiLevelType w:val="hybridMultilevel"/>
    <w:lvl w:ilvl="0">
      <w:lvlJc w:val="left"/>
      <w:lvlText w:val="%1."/>
      <w:numFmt w:val="upperLetter"/>
      <w:start w:val="1"/>
    </w:lvl>
  </w:abstractNum>
  <w:abstractNum w:abstractNumId="501">
    <w:nsid w:val="7672CF28"/>
    <w:multiLevelType w:val="hybridMultilevel"/>
    <w:lvl w:ilvl="0">
      <w:lvlJc w:val="left"/>
      <w:lvlText w:val="%1."/>
      <w:numFmt w:val="upperLetter"/>
      <w:start w:val="2"/>
    </w:lvl>
  </w:abstractNum>
  <w:abstractNum w:abstractNumId="502">
    <w:nsid w:val="567D2763"/>
    <w:multiLevelType w:val="hybridMultilevel"/>
    <w:lvl w:ilvl="0">
      <w:lvlJc w:val="left"/>
      <w:lvlText w:val="%1."/>
      <w:numFmt w:val="decimal"/>
      <w:start w:val="1"/>
    </w:lvl>
    <w:lvl w:ilvl="1">
      <w:lvlJc w:val="left"/>
      <w:lvlText w:val="(%2)"/>
      <w:numFmt w:val="lowerLetter"/>
      <w:start w:val="1"/>
    </w:lvl>
  </w:abstractNum>
  <w:abstractNum w:abstractNumId="503">
    <w:nsid w:val="6F5DE2EF"/>
    <w:multiLevelType w:val="hybridMultilevel"/>
    <w:lvl w:ilvl="0">
      <w:lvlJc w:val="left"/>
      <w:lvlText w:val="(%1)"/>
      <w:numFmt w:val="lowerLetter"/>
      <w:start w:val="2"/>
    </w:lvl>
  </w:abstractNum>
  <w:abstractNum w:abstractNumId="504">
    <w:nsid w:val="23502A61"/>
    <w:multiLevelType w:val="hybridMultilevel"/>
    <w:lvl w:ilvl="0">
      <w:lvlJc w:val="left"/>
      <w:lvlText w:val="%1."/>
      <w:numFmt w:val="decimal"/>
      <w:start w:val="2"/>
    </w:lvl>
    <w:lvl w:ilvl="1">
      <w:lvlJc w:val="left"/>
      <w:lvlText w:val="(%2)"/>
      <w:numFmt w:val="lowerLetter"/>
      <w:start w:val="1"/>
    </w:lvl>
  </w:abstractNum>
  <w:abstractNum w:abstractNumId="505">
    <w:nsid w:val="461BC834"/>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506">
    <w:nsid w:val="13DDA79D"/>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507">
    <w:nsid w:val="6A104566"/>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508">
    <w:nsid w:val="1C8A8ACF"/>
    <w:multiLevelType w:val="hybridMultilevel"/>
    <w:lvl w:ilvl="0">
      <w:lvlJc w:val="left"/>
      <w:lvlText w:val="(%1)"/>
      <w:numFmt w:val="lowerLetter"/>
      <w:start w:val="2"/>
    </w:lvl>
    <w:lvl w:ilvl="1">
      <w:lvlJc w:val="left"/>
      <w:lvlText w:val="(%2)"/>
      <w:numFmt w:val="lowerLetter"/>
      <w:start w:val="9"/>
    </w:lvl>
    <w:lvl w:ilvl="2">
      <w:lvlJc w:val="left"/>
      <w:lvlText w:val="(%3)"/>
      <w:numFmt w:val="decimal"/>
      <w:start w:val="1"/>
    </w:lvl>
  </w:abstractNum>
  <w:abstractNum w:abstractNumId="509">
    <w:nsid w:val="E73DFE0"/>
    <w:multiLevelType w:val="hybridMultilevel"/>
    <w:lvl w:ilvl="0">
      <w:lvlJc w:val="left"/>
      <w:lvlText w:val="%1"/>
      <w:numFmt w:val="lowerRoman"/>
      <w:start w:val="1"/>
    </w:lvl>
    <w:lvl w:ilvl="1">
      <w:lvlJc w:val="left"/>
      <w:lvlText w:val="%2"/>
      <w:numFmt w:val="lowerRoman"/>
      <w:start w:val="1"/>
    </w:lvl>
    <w:lvl w:ilvl="2">
      <w:lvlJc w:val="left"/>
      <w:lvlText w:val="(%3)"/>
      <w:numFmt w:val="decimal"/>
      <w:start w:val="5"/>
    </w:lvl>
  </w:abstractNum>
  <w:abstractNum w:abstractNumId="510">
    <w:nsid w:val="39F174C7"/>
    <w:multiLevelType w:val="hybridMultilevel"/>
    <w:lvl w:ilvl="0">
      <w:lvlJc w:val="left"/>
      <w:lvlText w:val="%1"/>
      <w:numFmt w:val="lowerRoman"/>
      <w:start w:val="1"/>
    </w:lvl>
    <w:lvl w:ilvl="1">
      <w:lvlJc w:val="left"/>
      <w:lvlText w:val="(%2)"/>
      <w:numFmt w:val="lowerRoman"/>
      <w:start w:val="2"/>
    </w:lvl>
    <w:lvl w:ilvl="2">
      <w:lvlJc w:val="left"/>
      <w:lvlText w:val="%3"/>
      <w:numFmt w:val="decimal"/>
      <w:start w:val="1"/>
    </w:lvl>
  </w:abstractNum>
  <w:abstractNum w:abstractNumId="511">
    <w:nsid w:val="6E2E2D53"/>
    <w:multiLevelType w:val="hybridMultilevel"/>
    <w:lvl w:ilvl="0">
      <w:lvlJc w:val="left"/>
      <w:lvlText w:val="(%1)"/>
      <w:numFmt w:val="lowerRoman"/>
      <w:start w:val="3"/>
    </w:lvl>
    <w:lvl w:ilvl="1">
      <w:lvlJc w:val="left"/>
      <w:lvlText w:val="(%2)"/>
      <w:numFmt w:val="lowerRoman"/>
      <w:start w:val="3"/>
    </w:lvl>
    <w:lvl w:ilvl="2">
      <w:lvlJc w:val="left"/>
      <w:lvlText w:val="(%3)"/>
      <w:numFmt w:val="decimal"/>
      <w:start w:val="1"/>
    </w:lvl>
  </w:abstractNum>
  <w:abstractNum w:abstractNumId="512">
    <w:nsid w:val="45DC439D"/>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513">
    <w:nsid w:val="3B0A3B87"/>
    <w:multiLevelType w:val="hybridMultilevel"/>
    <w:lvl w:ilvl="0">
      <w:lvlJc w:val="left"/>
      <w:lvlText w:val="%1"/>
      <w:numFmt w:val="upperLetter"/>
      <w:start w:val="1"/>
    </w:lvl>
    <w:lvl w:ilvl="1">
      <w:lvlJc w:val="left"/>
      <w:lvlText w:val="(%2)"/>
      <w:numFmt w:val="decimal"/>
      <w:start w:val="2"/>
    </w:lvl>
  </w:abstractNum>
  <w:abstractNum w:abstractNumId="514">
    <w:nsid w:val="6DAC7768"/>
    <w:multiLevelType w:val="hybridMultilevel"/>
    <w:lvl w:ilvl="0">
      <w:lvlJc w:val="left"/>
      <w:lvlText w:val="(%1)"/>
      <w:numFmt w:val="upperLetter"/>
      <w:start w:val="2"/>
    </w:lvl>
    <w:lvl w:ilvl="1">
      <w:lvlJc w:val="left"/>
      <w:lvlText w:val="%2"/>
      <w:numFmt w:val="decimal"/>
      <w:start w:val="1"/>
    </w:lvl>
  </w:abstractNum>
  <w:abstractNum w:abstractNumId="515">
    <w:nsid w:val="746AE2E4"/>
    <w:multiLevelType w:val="hybridMultilevel"/>
    <w:lvl w:ilvl="0">
      <w:lvlJc w:val="left"/>
      <w:lvlText w:val="%1"/>
      <w:numFmt w:val="decimal"/>
      <w:start w:val="1"/>
    </w:lvl>
    <w:lvl w:ilvl="1">
      <w:lvlJc w:val="left"/>
      <w:lvlText w:val="(%2)"/>
      <w:numFmt w:val="lowerLetter"/>
      <w:start w:val="5"/>
    </w:lvl>
  </w:abstractNum>
  <w:abstractNum w:abstractNumId="516">
    <w:nsid w:val="317E611D"/>
    <w:multiLevelType w:val="hybridMultilevel"/>
    <w:lvl w:ilvl="0">
      <w:lvlJc w:val="left"/>
      <w:lvlText w:val="%1."/>
      <w:numFmt w:val="decimal"/>
      <w:start w:val="4"/>
    </w:lvl>
    <w:lvl w:ilvl="1">
      <w:lvlJc w:val="left"/>
      <w:lvlText w:val="(%2)"/>
      <w:numFmt w:val="lowerLetter"/>
      <w:start w:val="1"/>
    </w:lvl>
  </w:abstractNum>
  <w:abstractNum w:abstractNumId="517">
    <w:nsid w:val="7A61D75B"/>
    <w:multiLevelType w:val="hybridMultilevel"/>
    <w:lvl w:ilvl="0">
      <w:lvlJc w:val="left"/>
      <w:lvlText w:val="%1"/>
      <w:numFmt w:val="lowerLetter"/>
      <w:start w:val="1"/>
    </w:lvl>
    <w:lvl w:ilvl="1">
      <w:lvlJc w:val="left"/>
      <w:lvlText w:val="(%2)"/>
      <w:numFmt w:val="lowerLetter"/>
      <w:start w:val="3"/>
    </w:lvl>
  </w:abstractNum>
  <w:abstractNum w:abstractNumId="518">
    <w:nsid w:val="164A1482"/>
    <w:multiLevelType w:val="hybridMultilevel"/>
    <w:lvl w:ilvl="0">
      <w:lvlJc w:val="left"/>
      <w:lvlText w:val="(%1)"/>
      <w:numFmt w:val="lowerLetter"/>
      <w:start w:val="61"/>
    </w:lvl>
    <w:lvl w:ilvl="1">
      <w:lvlJc w:val="left"/>
      <w:lvlText w:val="%2"/>
      <w:numFmt w:val="lowerLetter"/>
      <w:start w:val="1"/>
    </w:lvl>
  </w:abstractNum>
  <w:abstractNum w:abstractNumId="519">
    <w:nsid w:val="1806546B"/>
    <w:multiLevelType w:val="hybridMultilevel"/>
    <w:lvl w:ilvl="0">
      <w:lvlJc w:val="left"/>
      <w:lvlText w:val="(%1)"/>
      <w:numFmt w:val="lowerLetter"/>
      <w:start w:val="5"/>
    </w:lvl>
  </w:abstractNum>
  <w:abstractNum w:abstractNumId="520">
    <w:nsid w:val="1FA3326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21">
    <w:nsid w:val="2E19DD00"/>
    <w:multiLevelType w:val="hybridMultilevel"/>
    <w:lvl w:ilvl="0">
      <w:lvlJc w:val="left"/>
      <w:lvlText w:val="(%1)"/>
      <w:numFmt w:val="lowerRoman"/>
      <w:start w:val="4"/>
    </w:lvl>
    <w:lvl w:ilvl="1">
      <w:lvlJc w:val="left"/>
      <w:lvlText w:val="(%2)"/>
      <w:numFmt w:val="lowerRoman"/>
      <w:start w:val="5"/>
    </w:lvl>
  </w:abstractNum>
  <w:abstractNum w:abstractNumId="522">
    <w:nsid w:val="756D30D0"/>
    <w:multiLevelType w:val="hybridMultilevel"/>
    <w:lvl w:ilvl="0">
      <w:lvlJc w:val="left"/>
      <w:lvlText w:val="(%1)"/>
      <w:numFmt w:val="lowerLetter"/>
      <w:start w:val="3"/>
    </w:lvl>
  </w:abstractNum>
  <w:abstractNum w:abstractNumId="523">
    <w:nsid w:val="505E5E01"/>
    <w:multiLevelType w:val="hybridMultilevel"/>
    <w:lvl w:ilvl="0">
      <w:lvlJc w:val="left"/>
      <w:lvlText w:val="(%1)"/>
      <w:numFmt w:val="lowerLetter"/>
      <w:start w:val="4"/>
    </w:lvl>
  </w:abstractNum>
  <w:abstractNum w:abstractNumId="524">
    <w:nsid w:val="2EFDBCE6"/>
    <w:multiLevelType w:val="hybridMultilevel"/>
    <w:lvl w:ilvl="0">
      <w:lvlJc w:val="left"/>
      <w:lvlText w:val="(%1)"/>
      <w:numFmt w:val="lowerLetter"/>
      <w:start w:val="5"/>
    </w:lvl>
  </w:abstractNum>
  <w:abstractNum w:abstractNumId="525">
    <w:nsid w:val="4EC868C4"/>
    <w:multiLevelType w:val="hybridMultilevel"/>
    <w:lvl w:ilvl="0">
      <w:lvlJc w:val="left"/>
      <w:lvlText w:val="%1."/>
      <w:numFmt w:val="decimal"/>
      <w:start w:val="6"/>
    </w:lvl>
    <w:lvl w:ilvl="1">
      <w:lvlJc w:val="left"/>
      <w:lvlText w:val="(%2)"/>
      <w:numFmt w:val="lowerLetter"/>
      <w:start w:val="1"/>
    </w:lvl>
  </w:abstractNum>
  <w:abstractNum w:abstractNumId="526">
    <w:nsid w:val="4239DC03"/>
    <w:multiLevelType w:val="hybridMultilevel"/>
    <w:lvl w:ilvl="0">
      <w:lvlJc w:val="left"/>
      <w:lvlText w:val="(%1)"/>
      <w:numFmt w:val="lowerLetter"/>
      <w:start w:val="3"/>
    </w:lvl>
    <w:lvl w:ilvl="1">
      <w:lvlJc w:val="left"/>
      <w:lvlText w:val="(%2)"/>
      <w:numFmt w:val="lowerRoman"/>
      <w:start w:val="1"/>
    </w:lvl>
  </w:abstractNum>
  <w:abstractNum w:abstractNumId="527">
    <w:nsid w:val="307C7DA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528">
    <w:nsid w:val="403C23E6"/>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529">
    <w:nsid w:val="58D7F9D7"/>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30">
    <w:nsid w:val="24DBF76"/>
    <w:multiLevelType w:val="hybridMultilevel"/>
    <w:lvl w:ilvl="0">
      <w:lvlJc w:val="left"/>
      <w:lvlText w:val="%1"/>
      <w:numFmt w:val="lowerRoman"/>
      <w:start w:val="1"/>
    </w:lvl>
    <w:lvl w:ilvl="1">
      <w:lvlJc w:val="left"/>
      <w:lvlText w:val="%2."/>
      <w:numFmt w:val="decimal"/>
      <w:start w:val="8"/>
    </w:lvl>
  </w:abstractNum>
  <w:abstractNum w:abstractNumId="531">
    <w:nsid w:val="53355960"/>
    <w:multiLevelType w:val="hybridMultilevel"/>
    <w:lvl w:ilvl="0">
      <w:lvlJc w:val="left"/>
      <w:lvlText w:val="(%1)"/>
      <w:numFmt w:val="lowerRoman"/>
      <w:start w:val="1"/>
    </w:lvl>
    <w:lvl w:ilvl="1">
      <w:lvlJc w:val="left"/>
      <w:lvlText w:val="%2."/>
      <w:numFmt w:val="decimal"/>
      <w:start w:val="11"/>
    </w:lvl>
  </w:abstractNum>
  <w:abstractNum w:abstractNumId="532">
    <w:nsid w:val="4F4AC8FF"/>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533">
    <w:nsid w:val="58CAE6D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534">
    <w:nsid w:val="42933C4F"/>
    <w:multiLevelType w:val="hybridMultilevel"/>
    <w:lvl w:ilvl="0">
      <w:lvlJc w:val="left"/>
      <w:lvlText w:val="%1."/>
      <w:numFmt w:val="decimal"/>
      <w:start w:val="13"/>
    </w:lvl>
    <w:lvl w:ilvl="1">
      <w:lvlJc w:val="left"/>
      <w:lvlText w:val="(%2)"/>
      <w:numFmt w:val="lowerLetter"/>
      <w:start w:val="1"/>
    </w:lvl>
  </w:abstractNum>
  <w:abstractNum w:abstractNumId="535">
    <w:nsid w:val="729AF360"/>
    <w:multiLevelType w:val="hybridMultilevel"/>
    <w:lvl w:ilvl="0">
      <w:lvlJc w:val="left"/>
      <w:lvlText w:val="(%1)"/>
      <w:numFmt w:val="lowerLetter"/>
      <w:start w:val="2"/>
    </w:lvl>
    <w:lvl w:ilvl="1">
      <w:lvlJc w:val="left"/>
      <w:lvlText w:val="(%2)"/>
      <w:numFmt w:val="lowerLetter"/>
      <w:start w:val="9"/>
    </w:lvl>
  </w:abstractNum>
  <w:abstractNum w:abstractNumId="536">
    <w:nsid w:val="1EE6AF0D"/>
    <w:multiLevelType w:val="hybridMultilevel"/>
    <w:lvl w:ilvl="0">
      <w:lvlJc w:val="left"/>
      <w:lvlText w:val="%1"/>
      <w:numFmt w:val="decimal"/>
      <w:start w:val="1"/>
    </w:lvl>
    <w:lvl w:ilvl="1">
      <w:lvlJc w:val="left"/>
      <w:lvlText w:val="(%2)"/>
      <w:numFmt w:val="lowerRoman"/>
      <w:start w:val="2"/>
    </w:lvl>
  </w:abstractNum>
  <w:abstractNum w:abstractNumId="537">
    <w:nsid w:val="5670E3ED"/>
    <w:multiLevelType w:val="hybridMultilevel"/>
    <w:lvl w:ilvl="0">
      <w:lvlJc w:val="left"/>
      <w:lvlText w:val="%1."/>
      <w:numFmt w:val="decimal"/>
      <w:start w:val="15"/>
    </w:lvl>
    <w:lvl w:ilvl="1">
      <w:lvlJc w:val="left"/>
      <w:lvlText w:val="%2"/>
      <w:numFmt w:val="lowerRoman"/>
      <w:start w:val="1"/>
    </w:lvl>
  </w:abstractNum>
  <w:abstractNum w:abstractNumId="538">
    <w:nsid w:val="5CAB38C6"/>
    <w:multiLevelType w:val="hybridMultilevel"/>
    <w:lvl w:ilvl="0">
      <w:lvlJc w:val="left"/>
      <w:lvlText w:val="%1."/>
      <w:numFmt w:val="decimal"/>
      <w:start w:val="16"/>
    </w:lvl>
  </w:abstractNum>
  <w:abstractNum w:abstractNumId="539">
    <w:nsid w:val="3B7139DD"/>
    <w:multiLevelType w:val="hybridMultilevel"/>
    <w:lvl w:ilvl="0">
      <w:lvlJc w:val="left"/>
      <w:lvlText w:val="%1."/>
      <w:numFmt w:val="decimal"/>
      <w:start w:val="17"/>
    </w:lvl>
  </w:abstractNum>
  <w:abstractNum w:abstractNumId="540">
    <w:nsid w:val="64E4C3CD"/>
    <w:multiLevelType w:val="hybridMultilevel"/>
    <w:lvl w:ilvl="0">
      <w:lvlJc w:val="left"/>
      <w:lvlText w:val="%1."/>
      <w:numFmt w:val="upperLetter"/>
      <w:start w:val="11"/>
    </w:lvl>
  </w:abstractNum>
  <w:abstractNum w:abstractNumId="541">
    <w:nsid w:val="169CAD8D"/>
    <w:multiLevelType w:val="hybridMultilevel"/>
    <w:lvl w:ilvl="0">
      <w:lvlJc w:val="left"/>
      <w:lvlText w:val="%1."/>
      <w:numFmt w:val="decimal"/>
      <w:start w:val="19"/>
    </w:lvl>
  </w:abstractNum>
  <w:abstractNum w:abstractNumId="542">
    <w:nsid w:val="299F6730"/>
    <w:multiLevelType w:val="hybridMultilevel"/>
    <w:lvl w:ilvl="0">
      <w:lvlJc w:val="left"/>
      <w:lvlText w:val="%1."/>
      <w:numFmt w:val="decimal"/>
      <w:start w:val="20"/>
    </w:lvl>
  </w:abstractNum>
  <w:abstractNum w:abstractNumId="543">
    <w:nsid w:val="2AC1076A"/>
    <w:multiLevelType w:val="hybridMultilevel"/>
    <w:lvl w:ilvl="0">
      <w:lvlJc w:val="left"/>
      <w:lvlText w:val="%1."/>
      <w:numFmt w:val="decimal"/>
      <w:start w:val="25"/>
    </w:lvl>
  </w:abstractNum>
  <w:abstractNum w:abstractNumId="544">
    <w:nsid w:val="51A6E915"/>
    <w:multiLevelType w:val="hybridMultilevel"/>
    <w:lvl w:ilvl="0">
      <w:lvlJc w:val="left"/>
      <w:lvlText w:val="%1."/>
      <w:numFmt w:val="decimal"/>
      <w:start w:val="29"/>
    </w:lvl>
    <w:lvl w:ilvl="1">
      <w:lvlJc w:val="left"/>
      <w:lvlText w:val="(%2)"/>
      <w:numFmt w:val="lowerLetter"/>
      <w:start w:val="1"/>
    </w:lvl>
    <w:lvl w:ilvl="2">
      <w:lvlJc w:val="left"/>
      <w:lvlText w:val="(%3)"/>
      <w:numFmt w:val="lowerRoman"/>
      <w:start w:val="1"/>
    </w:lvl>
  </w:abstractNum>
  <w:abstractNum w:abstractNumId="545">
    <w:nsid w:val="174BDE9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546">
    <w:nsid w:val="1F2BEA4E"/>
    <w:multiLevelType w:val="hybridMultilevel"/>
    <w:lvl w:ilvl="0">
      <w:lvlJc w:val="left"/>
      <w:lvlText w:val="%1."/>
      <w:numFmt w:val="decimal"/>
      <w:start w:val="30"/>
    </w:lvl>
    <w:lvl w:ilvl="1">
      <w:lvlJc w:val="left"/>
      <w:lvlText w:val="(%2)"/>
      <w:numFmt w:val="lowerLetter"/>
      <w:start w:val="1"/>
    </w:lvl>
    <w:lvl w:ilvl="2">
      <w:lvlJc w:val="left"/>
      <w:lvlText w:val="%3"/>
      <w:numFmt w:val="lowerRoman"/>
      <w:start w:val="1"/>
    </w:lvl>
  </w:abstractNum>
  <w:abstractNum w:abstractNumId="547">
    <w:nsid w:val="3254A32"/>
    <w:multiLevelType w:val="hybridMultilevel"/>
    <w:lvl w:ilvl="0">
      <w:lvlJc w:val="left"/>
      <w:lvlText w:val="(%1)"/>
      <w:numFmt w:val="lowerRoman"/>
      <w:start w:val="10"/>
    </w:lvl>
  </w:abstractNum>
  <w:abstractNum w:abstractNumId="548">
    <w:nsid w:val="11ADB5F4"/>
    <w:multiLevelType w:val="hybridMultilevel"/>
    <w:lvl w:ilvl="0">
      <w:lvlJc w:val="left"/>
      <w:lvlText w:val="(%1)"/>
      <w:numFmt w:val="lowerLetter"/>
      <w:start w:val="25"/>
    </w:lvl>
  </w:abstractNum>
  <w:abstractNum w:abstractNumId="549">
    <w:nsid w:val="3575FED1"/>
    <w:multiLevelType w:val="hybridMultilevel"/>
    <w:lvl w:ilvl="0">
      <w:lvlJc w:val="left"/>
      <w:lvlText w:val="%1."/>
      <w:numFmt w:val="decimal"/>
      <w:start w:val="1"/>
    </w:lvl>
  </w:abstractNum>
  <w:abstractNum w:abstractNumId="550">
    <w:nsid w:val="1B2B9E9D"/>
    <w:multiLevelType w:val="hybridMultilevel"/>
    <w:lvl w:ilvl="0">
      <w:lvlJc w:val="left"/>
      <w:lvlText w:val="%1."/>
      <w:numFmt w:val="decimal"/>
      <w:start w:val="1"/>
    </w:lvl>
  </w:abstractNum>
  <w:abstractNum w:abstractNumId="551">
    <w:nsid w:val="3150E85C"/>
    <w:multiLevelType w:val="hybridMultilevel"/>
    <w:lvl w:ilvl="0">
      <w:lvlJc w:val="left"/>
      <w:lvlText w:val="%1."/>
      <w:numFmt w:val="decimal"/>
      <w:start w:val="1"/>
    </w:lvl>
  </w:abstractNum>
  <w:abstractNum w:abstractNumId="552">
    <w:nsid w:val="638FDBD1"/>
    <w:multiLevelType w:val="hybridMultilevel"/>
    <w:lvl w:ilvl="0">
      <w:lvlJc w:val="left"/>
      <w:lvlText w:val="%1."/>
      <w:numFmt w:val="upperLetter"/>
      <w:start w:val="1"/>
    </w:lvl>
  </w:abstractNum>
  <w:abstractNum w:abstractNumId="553">
    <w:nsid w:val="1098CF6E"/>
    <w:multiLevelType w:val="hybridMultilevel"/>
    <w:lvl w:ilvl="0">
      <w:lvlJc w:val="left"/>
      <w:lvlText w:val="%1."/>
      <w:numFmt w:val="decimal"/>
      <w:start w:val="1"/>
    </w:lvl>
  </w:abstractNum>
  <w:abstractNum w:abstractNumId="554">
    <w:nsid w:val="1AF465D"/>
    <w:multiLevelType w:val="hybridMultilevel"/>
    <w:lvl w:ilvl="0">
      <w:lvlJc w:val="left"/>
      <w:lvlText w:val="%1."/>
      <w:numFmt w:val="decimal"/>
      <w:start w:val="3"/>
    </w:lvl>
  </w:abstractNum>
  <w:abstractNum w:abstractNumId="555">
    <w:nsid w:val="128D98B7"/>
    <w:multiLevelType w:val="hybridMultilevel"/>
    <w:lvl w:ilvl="0">
      <w:lvlJc w:val="left"/>
      <w:lvlText w:val="%1."/>
      <w:numFmt w:val="decimal"/>
      <w:start w:val="9"/>
    </w:lvl>
    <w:lvl w:ilvl="1">
      <w:lvlJc w:val="left"/>
      <w:lvlText w:val="(%2)"/>
      <w:numFmt w:val="lowerLetter"/>
      <w:start w:val="1"/>
    </w:lvl>
  </w:abstractNum>
  <w:abstractNum w:abstractNumId="556">
    <w:nsid w:val="5F613832"/>
    <w:multiLevelType w:val="hybridMultilevel"/>
    <w:lvl w:ilvl="0">
      <w:lvlJc w:val="left"/>
      <w:lvlText w:val="(%1)"/>
      <w:numFmt w:val="lowerLetter"/>
      <w:start w:val="4"/>
    </w:lvl>
  </w:abstractNum>
  <w:abstractNum w:abstractNumId="557">
    <w:nsid w:val="43E92260"/>
    <w:multiLevelType w:val="hybridMultilevel"/>
    <w:lvl w:ilvl="0">
      <w:lvlJc w:val="left"/>
      <w:lvlText w:val="•"/>
      <w:numFmt w:val="bullet"/>
      <w:start w:val="1"/>
    </w:lvl>
  </w:abstractNum>
  <w:abstractNum w:abstractNumId="558">
    <w:nsid w:val="430A166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559">
    <w:nsid w:val="1F9D5C18"/>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560">
    <w:nsid w:val="1CC11C3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561">
    <w:nsid w:val="4557D5D8"/>
    <w:multiLevelType w:val="hybridMultilevel"/>
    <w:lvl w:ilvl="0">
      <w:lvlJc w:val="left"/>
      <w:lvlText w:val="(%1)"/>
      <w:numFmt w:val="lowerLetter"/>
      <w:start w:val="9"/>
    </w:lvl>
    <w:lvl w:ilvl="1">
      <w:lvlJc w:val="left"/>
      <w:lvlText w:val="%2."/>
      <w:numFmt w:val="decimal"/>
      <w:start w:val="4"/>
    </w:lvl>
    <w:lvl w:ilvl="2">
      <w:lvlJc w:val="left"/>
      <w:lvlText w:val="(%3)"/>
      <w:numFmt w:val="lowerLetter"/>
      <w:start w:val="1"/>
    </w:lvl>
  </w:abstractNum>
  <w:abstractNum w:abstractNumId="562">
    <w:nsid w:val="72D2B579"/>
    <w:multiLevelType w:val="hybridMultilevel"/>
    <w:lvl w:ilvl="0">
      <w:lvlJc w:val="left"/>
      <w:lvlText w:val="(%1)"/>
      <w:numFmt w:val="lowerLetter"/>
      <w:start w:val="2"/>
    </w:lvl>
  </w:abstractNum>
  <w:abstractNum w:abstractNumId="563">
    <w:nsid w:val="6C0BE536"/>
    <w:multiLevelType w:val="hybridMultilevel"/>
    <w:lvl w:ilvl="0">
      <w:lvlJc w:val="left"/>
      <w:lvlText w:val="%1"/>
      <w:numFmt w:val="decimal"/>
      <w:start w:val="1"/>
    </w:lvl>
    <w:lvl w:ilvl="1">
      <w:lvlJc w:val="left"/>
      <w:lvlText w:val="(%2)"/>
      <w:numFmt w:val="lowerLetter"/>
      <w:start w:val="1"/>
    </w:lvl>
  </w:abstractNum>
  <w:abstractNum w:abstractNumId="564">
    <w:nsid w:val="1E22BCB2"/>
    <w:multiLevelType w:val="hybridMultilevel"/>
    <w:lvl w:ilvl="0">
      <w:lvlJc w:val="left"/>
      <w:lvlText w:val="(%1)"/>
      <w:numFmt w:val="decimal"/>
      <w:start w:val="12"/>
    </w:lvl>
    <w:lvl w:ilvl="1">
      <w:lvlJc w:val="left"/>
      <w:lvlText w:val="%2"/>
      <w:numFmt w:val="lowerLetter"/>
      <w:start w:val="1"/>
    </w:lvl>
  </w:abstractNum>
  <w:abstractNum w:abstractNumId="565">
    <w:nsid w:val="3565F1C8"/>
    <w:multiLevelType w:val="hybridMultilevel"/>
    <w:lvl w:ilvl="0">
      <w:lvlJc w:val="left"/>
      <w:lvlText w:val="%1."/>
      <w:numFmt w:val="decimal"/>
      <w:start w:val="1"/>
    </w:lvl>
  </w:abstractNum>
  <w:abstractNum w:abstractNumId="566">
    <w:nsid w:val="5EA6D896"/>
    <w:multiLevelType w:val="hybridMultilevel"/>
    <w:lvl w:ilvl="0">
      <w:lvlJc w:val="left"/>
      <w:lvlText w:val="%1."/>
      <w:numFmt w:val="decimal"/>
      <w:start w:val="3"/>
    </w:lvl>
  </w:abstractNum>
  <w:abstractNum w:abstractNumId="567">
    <w:nsid w:val="3D096BBF"/>
    <w:multiLevelType w:val="hybridMultilevel"/>
    <w:lvl w:ilvl="0">
      <w:lvlJc w:val="left"/>
      <w:lvlText w:val="%1."/>
      <w:numFmt w:val="decimal"/>
      <w:start w:val="1"/>
    </w:lvl>
  </w:abstractNum>
  <w:abstractNum w:abstractNumId="568">
    <w:nsid w:val="BD6D5B5"/>
    <w:multiLevelType w:val="hybridMultilevel"/>
    <w:lvl w:ilvl="0">
      <w:lvlJc w:val="left"/>
      <w:lvlText w:val="%1."/>
      <w:numFmt w:val="decimal"/>
      <w:start w:val="5"/>
    </w:lvl>
  </w:abstractNum>
  <w:abstractNum w:abstractNumId="569">
    <w:nsid w:val="3B52115C"/>
    <w:multiLevelType w:val="hybridMultilevel"/>
    <w:lvl w:ilvl="0">
      <w:lvlJc w:val="left"/>
      <w:lvlText w:val="%1."/>
      <w:numFmt w:val="decimal"/>
      <w:start w:val="8"/>
    </w:lvl>
  </w:abstractNum>
  <w:abstractNum w:abstractNumId="570">
    <w:nsid w:val="787AA59C"/>
    <w:multiLevelType w:val="hybridMultilevel"/>
    <w:lvl w:ilvl="0">
      <w:lvlJc w:val="left"/>
      <w:lvlText w:val="%1."/>
      <w:numFmt w:val="decimal"/>
      <w:start w:val="12"/>
    </w:lvl>
  </w:abstractNum>
  <w:abstractNum w:abstractNumId="571">
    <w:nsid w:val="70BB9983"/>
    <w:multiLevelType w:val="hybridMultilevel"/>
    <w:lvl w:ilvl="0">
      <w:lvlJc w:val="left"/>
      <w:lvlText w:val="%1"/>
      <w:numFmt w:val="lowerRoman"/>
      <w:start w:val="1"/>
    </w:lvl>
    <w:lvl w:ilvl="1">
      <w:lvlJc w:val="left"/>
      <w:lvlText w:val="%2."/>
      <w:numFmt w:val="decimal"/>
      <w:start w:val="15"/>
    </w:lvl>
  </w:abstractNum>
  <w:abstractNum w:abstractNumId="572">
    <w:nsid w:val="51EEBEEA"/>
    <w:multiLevelType w:val="hybridMultilevel"/>
    <w:lvl w:ilvl="0">
      <w:lvlJc w:val="left"/>
      <w:lvlText w:val="(%1)"/>
      <w:numFmt w:val="lowerRoman"/>
      <w:start w:val="3"/>
    </w:lvl>
    <w:lvl w:ilvl="1">
      <w:lvlJc w:val="left"/>
      <w:lvlText w:val="%2."/>
      <w:numFmt w:val="decimal"/>
      <w:start w:val="17"/>
    </w:lvl>
  </w:abstractNum>
  <w:abstractNum w:abstractNumId="573">
    <w:nsid w:val="221A0CCD"/>
    <w:multiLevelType w:val="hybridMultilevel"/>
    <w:lvl w:ilvl="0">
      <w:lvlJc w:val="left"/>
      <w:lvlText w:val="%1."/>
      <w:numFmt w:val="decimal"/>
      <w:start w:val="19"/>
    </w:lvl>
  </w:abstractNum>
  <w:abstractNum w:abstractNumId="574">
    <w:nsid w:val="1B7CA0ED"/>
    <w:multiLevelType w:val="hybridMultilevel"/>
    <w:lvl w:ilvl="0">
      <w:lvlJc w:val="left"/>
      <w:lvlText w:val="%1."/>
      <w:numFmt w:val="decimal"/>
      <w:start w:val="24"/>
    </w:lvl>
  </w:abstractNum>
  <w:abstractNum w:abstractNumId="575">
    <w:nsid w:val="2395A7FF"/>
    <w:multiLevelType w:val="hybridMultilevel"/>
    <w:lvl w:ilvl="0">
      <w:lvlJc w:val="left"/>
      <w:lvlText w:val="%1."/>
      <w:numFmt w:val="decimal"/>
      <w:start w:val="1"/>
    </w:lvl>
    <w:lvl w:ilvl="1">
      <w:lvlJc w:val="left"/>
      <w:lvlText w:val="(%2)"/>
      <w:numFmt w:val="lowerLetter"/>
      <w:start w:val="1"/>
    </w:lvl>
  </w:abstractNum>
  <w:abstractNum w:abstractNumId="576">
    <w:nsid w:val="3965EB66"/>
    <w:multiLevelType w:val="hybridMultilevel"/>
    <w:lvl w:ilvl="0">
      <w:lvlJc w:val="left"/>
      <w:lvlText w:val="%1."/>
      <w:numFmt w:val="decimal"/>
      <w:start w:val="2"/>
    </w:lvl>
    <w:lvl w:ilvl="1">
      <w:lvlJc w:val="left"/>
      <w:lvlText w:val="(%2)"/>
      <w:numFmt w:val="lowerLetter"/>
      <w:start w:val="1"/>
    </w:lvl>
  </w:abstractNum>
  <w:abstractNum w:abstractNumId="577">
    <w:nsid w:val="3AA88B3C"/>
    <w:multiLevelType w:val="hybridMultilevel"/>
    <w:lvl w:ilvl="0">
      <w:lvlJc w:val="left"/>
      <w:lvlText w:val="%1."/>
      <w:numFmt w:val="decimal"/>
      <w:start w:val="1"/>
    </w:lvl>
    <w:lvl w:ilvl="1">
      <w:lvlJc w:val="left"/>
      <w:lvlText w:val="(%2)"/>
      <w:numFmt w:val="lowerLetter"/>
      <w:start w:val="1"/>
    </w:lvl>
  </w:abstractNum>
  <w:abstractNum w:abstractNumId="578">
    <w:nsid w:val="26BAF231"/>
    <w:multiLevelType w:val="hybridMultilevel"/>
    <w:lvl w:ilvl="0">
      <w:lvlJc w:val="left"/>
      <w:lvlText w:val="(%1)"/>
      <w:numFmt w:val="lowerLetter"/>
      <w:start w:val="6"/>
    </w:lvl>
  </w:abstractNum>
  <w:abstractNum w:abstractNumId="579">
    <w:nsid w:val="4B13A15A"/>
    <w:multiLevelType w:val="hybridMultilevel"/>
    <w:lvl w:ilvl="0">
      <w:lvlJc w:val="left"/>
      <w:lvlText w:val="%1."/>
      <w:numFmt w:val="decimal"/>
      <w:start w:val="1"/>
    </w:lvl>
    <w:lvl w:ilvl="1">
      <w:lvlJc w:val="left"/>
      <w:lvlText w:val="(%2)"/>
      <w:numFmt w:val="lowerLetter"/>
      <w:start w:val="1"/>
    </w:lvl>
  </w:abstractNum>
  <w:abstractNum w:abstractNumId="580">
    <w:nsid w:val="701E8A0D"/>
    <w:multiLevelType w:val="hybridMultilevel"/>
    <w:lvl w:ilvl="0">
      <w:lvlJc w:val="left"/>
      <w:lvlText w:val="%1."/>
      <w:numFmt w:val="decimal"/>
      <w:start w:val="2"/>
    </w:lvl>
    <w:lvl w:ilvl="1">
      <w:lvlJc w:val="left"/>
      <w:lvlText w:val="(%2)"/>
      <w:numFmt w:val="lowerLetter"/>
      <w:start w:val="1"/>
    </w:lvl>
  </w:abstractNum>
  <w:abstractNum w:abstractNumId="581">
    <w:nsid w:val="41E690CF"/>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582">
    <w:nsid w:val="7C6489B6"/>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6"/>
    </w:lvl>
  </w:abstractNum>
  <w:abstractNum w:abstractNumId="583">
    <w:nsid w:val="53AE65DE"/>
    <w:multiLevelType w:val="hybridMultilevel"/>
    <w:lvl w:ilvl="0">
      <w:lvlJc w:val="left"/>
      <w:lvlText w:val="%1"/>
      <w:numFmt w:val="lowerLetter"/>
      <w:start w:val="1"/>
    </w:lvl>
    <w:lvl w:ilvl="1">
      <w:lvlJc w:val="left"/>
      <w:lvlText w:val="(%2)"/>
      <w:numFmt w:val="lowerRoman"/>
      <w:start w:val="7"/>
    </w:lvl>
  </w:abstractNum>
  <w:abstractNum w:abstractNumId="584">
    <w:nsid w:val="527F603D"/>
    <w:multiLevelType w:val="hybridMultilevel"/>
    <w:lvl w:ilvl="0">
      <w:lvlJc w:val="left"/>
      <w:lvlText w:val="(%1)"/>
      <w:numFmt w:val="lowerLetter"/>
      <w:start w:val="5"/>
    </w:lvl>
    <w:lvl w:ilvl="1">
      <w:lvlJc w:val="left"/>
      <w:lvlText w:val="%2"/>
      <w:numFmt w:val="lowerRoman"/>
      <w:start w:val="1"/>
    </w:lvl>
  </w:abstractNum>
  <w:abstractNum w:abstractNumId="585">
    <w:nsid w:val="7E13D013"/>
    <w:multiLevelType w:val="hybridMultilevel"/>
    <w:lvl w:ilvl="0">
      <w:lvlJc w:val="left"/>
      <w:lvlText w:val="(%1)"/>
      <w:numFmt w:val="lowerLetter"/>
      <w:start w:val="7"/>
    </w:lvl>
    <w:lvl w:ilvl="1">
      <w:lvlJc w:val="left"/>
      <w:lvlText w:val="(%2)"/>
      <w:numFmt w:val="lowerRoman"/>
      <w:start w:val="1"/>
    </w:lvl>
    <w:lvl w:ilvl="2">
      <w:lvlJc w:val="left"/>
      <w:lvlText w:val="(%3)"/>
      <w:numFmt w:val="decimal"/>
      <w:start w:val="1"/>
    </w:lvl>
  </w:abstractNum>
  <w:abstractNum w:abstractNumId="586">
    <w:nsid w:val="663BFE9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587">
    <w:nsid w:val="31E0986F"/>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88">
    <w:nsid w:val="41FCF274"/>
    <w:multiLevelType w:val="hybridMultilevel"/>
    <w:lvl w:ilvl="0">
      <w:lvlJc w:val="left"/>
      <w:lvlText w:val="%1"/>
      <w:numFmt w:val="decimal"/>
      <w:start w:val="1"/>
    </w:lvl>
    <w:lvl w:ilvl="1">
      <w:lvlJc w:val="left"/>
      <w:lvlText w:val="(%2)"/>
      <w:numFmt w:val="lowerLetter"/>
      <w:start w:val="4"/>
    </w:lvl>
  </w:abstractNum>
  <w:abstractNum w:abstractNumId="589">
    <w:nsid w:val="294614F7"/>
    <w:multiLevelType w:val="hybridMultilevel"/>
    <w:lvl w:ilvl="0">
      <w:lvlJc w:val="left"/>
      <w:lvlText w:val="%1."/>
      <w:numFmt w:val="decimal"/>
      <w:start w:val="4"/>
    </w:lvl>
    <w:lvl w:ilvl="1">
      <w:lvlJc w:val="left"/>
      <w:lvlText w:val="(%2)"/>
      <w:numFmt w:val="lowerLetter"/>
      <w:start w:val="1"/>
    </w:lvl>
  </w:abstractNum>
  <w:abstractNum w:abstractNumId="590">
    <w:nsid w:val="517DF487"/>
    <w:multiLevelType w:val="hybridMultilevel"/>
    <w:lvl w:ilvl="0">
      <w:lvlJc w:val="left"/>
      <w:lvlText w:val="(%1)"/>
      <w:numFmt w:val="lowerLetter"/>
      <w:start w:val="2"/>
    </w:lvl>
    <w:lvl w:ilvl="1">
      <w:lvlJc w:val="left"/>
      <w:lvlText w:val="(%2)"/>
      <w:numFmt w:val="lowerRoman"/>
      <w:start w:val="1"/>
    </w:lvl>
  </w:abstractNum>
  <w:abstractNum w:abstractNumId="591">
    <w:nsid w:val="5EBE0EAB"/>
    <w:multiLevelType w:val="hybridMultilevel"/>
    <w:lvl w:ilvl="0">
      <w:lvlJc w:val="left"/>
      <w:lvlText w:val="(%1)"/>
      <w:numFmt w:val="lowerLetter"/>
      <w:start w:val="8"/>
    </w:lvl>
  </w:abstractNum>
  <w:abstractNum w:abstractNumId="592">
    <w:nsid w:val="6E9DEAD0"/>
    <w:multiLevelType w:val="hybridMultilevel"/>
    <w:lvl w:ilvl="0">
      <w:lvlJc w:val="left"/>
      <w:lvlText w:val="%1."/>
      <w:numFmt w:val="decimal"/>
      <w:start w:val="1"/>
    </w:lvl>
  </w:abstractNum>
  <w:abstractNum w:abstractNumId="593">
    <w:nsid w:val="4450AA0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94">
    <w:nsid w:val="4AC9F3E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595">
    <w:nsid w:val="CC0A782"/>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96">
    <w:nsid w:val="79B69BC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97">
    <w:nsid w:val="2970CC7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98">
    <w:nsid w:val="49CA134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99">
    <w:nsid w:val="58D717E"/>
    <w:multiLevelType w:val="hybridMultilevel"/>
    <w:lvl w:ilvl="0">
      <w:lvlJc w:val="left"/>
      <w:lvlText w:val="%1."/>
      <w:numFmt w:val="decimal"/>
      <w:start w:val="5"/>
    </w:lvl>
    <w:lvl w:ilvl="1">
      <w:lvlJc w:val="left"/>
      <w:lvlText w:val="(%2)"/>
      <w:numFmt w:val="lowerLetter"/>
      <w:start w:val="1"/>
    </w:lvl>
  </w:abstractNum>
  <w:abstractNum w:abstractNumId="600">
    <w:nsid w:val="64C2DDD5"/>
    <w:multiLevelType w:val="hybridMultilevel"/>
    <w:lvl w:ilvl="0">
      <w:lvlJc w:val="left"/>
      <w:lvlText w:val="%1"/>
      <w:numFmt w:val="decimal"/>
      <w:start w:val="1"/>
    </w:lvl>
    <w:lvl w:ilvl="1">
      <w:lvlJc w:val="left"/>
      <w:lvlText w:val="(%2)"/>
      <w:numFmt w:val="lowerLetter"/>
      <w:start w:val="6"/>
    </w:lvl>
  </w:abstractNum>
  <w:abstractNum w:abstractNumId="601">
    <w:nsid w:val="4244B8DE"/>
    <w:multiLevelType w:val="hybridMultilevel"/>
    <w:lvl w:ilvl="0">
      <w:lvlJc w:val="left"/>
      <w:lvlText w:val="%1."/>
      <w:numFmt w:val="decimal"/>
      <w:start w:val="7"/>
    </w:lvl>
    <w:lvl w:ilvl="1">
      <w:lvlJc w:val="left"/>
      <w:lvlText w:val="(%2)"/>
      <w:numFmt w:val="lowerLetter"/>
      <w:start w:val="1"/>
    </w:lvl>
  </w:abstractNum>
  <w:abstractNum w:abstractNumId="602">
    <w:nsid w:val="76490B01"/>
    <w:multiLevelType w:val="hybridMultilevel"/>
    <w:lvl w:ilvl="0">
      <w:lvlJc w:val="left"/>
      <w:lvlText w:val="%1"/>
      <w:numFmt w:val="decimal"/>
      <w:start w:val="1"/>
    </w:lvl>
    <w:lvl w:ilvl="1">
      <w:lvlJc w:val="left"/>
      <w:lvlText w:val="(%2)"/>
      <w:numFmt w:val="lowerLetter"/>
      <w:start w:val="2"/>
    </w:lvl>
  </w:abstractNum>
  <w:abstractNum w:abstractNumId="603">
    <w:nsid w:val="36B19CBF"/>
    <w:multiLevelType w:val="hybridMultilevel"/>
    <w:lvl w:ilvl="0">
      <w:lvlJc w:val="left"/>
      <w:lvlText w:val="%1."/>
      <w:numFmt w:val="decimal"/>
      <w:start w:val="8"/>
    </w:lvl>
    <w:lvl w:ilvl="1">
      <w:lvlJc w:val="left"/>
      <w:lvlText w:val="(%2)"/>
      <w:numFmt w:val="lowerLetter"/>
      <w:start w:val="1"/>
    </w:lvl>
  </w:abstractNum>
  <w:abstractNum w:abstractNumId="604">
    <w:nsid w:val="645EC5AB"/>
    <w:multiLevelType w:val="hybridMultilevel"/>
    <w:lvl w:ilvl="0">
      <w:lvlJc w:val="left"/>
      <w:lvlText w:val="%1"/>
      <w:numFmt w:val="decimal"/>
      <w:start w:val="1"/>
    </w:lvl>
    <w:lvl w:ilvl="1">
      <w:lvlJc w:val="left"/>
      <w:lvlText w:val="(%2)"/>
      <w:numFmt w:val="lowerLetter"/>
      <w:start w:val="2"/>
    </w:lvl>
  </w:abstractNum>
  <w:abstractNum w:abstractNumId="605">
    <w:nsid w:val="11C5ABEF"/>
    <w:multiLevelType w:val="hybridMultilevel"/>
    <w:lvl w:ilvl="0">
      <w:lvlJc w:val="left"/>
      <w:lvlText w:val="%1."/>
      <w:numFmt w:val="decimal"/>
      <w:start w:val="9"/>
    </w:lvl>
    <w:lvl w:ilvl="1">
      <w:lvlJc w:val="left"/>
      <w:lvlText w:val="(%2)"/>
      <w:numFmt w:val="lowerLetter"/>
      <w:start w:val="1"/>
    </w:lvl>
  </w:abstractNum>
  <w:abstractNum w:abstractNumId="606">
    <w:nsid w:val="5A4744BE"/>
    <w:multiLevelType w:val="hybridMultilevel"/>
    <w:lvl w:ilvl="0">
      <w:lvlJc w:val="left"/>
      <w:lvlText w:val="(%1)"/>
      <w:numFmt w:val="lowerLetter"/>
      <w:start w:val="4"/>
    </w:lvl>
  </w:abstractNum>
  <w:abstractNum w:abstractNumId="607">
    <w:nsid w:val="1DC4B111"/>
    <w:multiLevelType w:val="hybridMultilevel"/>
    <w:lvl w:ilvl="0">
      <w:lvlJc w:val="left"/>
      <w:lvlText w:val="%1."/>
      <w:numFmt w:val="decimal"/>
      <w:start w:val="10"/>
    </w:lvl>
  </w:abstractNum>
  <w:abstractNum w:abstractNumId="608">
    <w:nsid w:val="4C6E372B"/>
    <w:multiLevelType w:val="hybridMultilevel"/>
    <w:lvl w:ilvl="0">
      <w:lvlJc w:val="left"/>
      <w:lvlText w:val="%1."/>
      <w:numFmt w:val="decimal"/>
      <w:start w:val="11"/>
    </w:lvl>
    <w:lvl w:ilvl="1">
      <w:lvlJc w:val="left"/>
      <w:lvlText w:val="(%2)"/>
      <w:numFmt w:val="lowerLetter"/>
      <w:start w:val="1"/>
    </w:lvl>
  </w:abstractNum>
  <w:abstractNum w:abstractNumId="609">
    <w:nsid w:val="10236EF"/>
    <w:multiLevelType w:val="hybridMultilevel"/>
    <w:lvl w:ilvl="0">
      <w:lvlJc w:val="left"/>
      <w:lvlText w:val="(%1)"/>
      <w:numFmt w:val="lowerLetter"/>
      <w:start w:val="2"/>
    </w:lvl>
    <w:lvl w:ilvl="1">
      <w:lvlJc w:val="left"/>
      <w:lvlText w:val="(%2)"/>
      <w:numFmt w:val="decimal"/>
      <w:start w:val="1"/>
    </w:lvl>
  </w:abstractNum>
  <w:abstractNum w:abstractNumId="610">
    <w:nsid w:val="68D8526B"/>
    <w:multiLevelType w:val="hybridMultilevel"/>
    <w:lvl w:ilvl="0">
      <w:lvlJc w:val="left"/>
      <w:lvlText w:val="(%1)"/>
      <w:numFmt w:val="lowerLetter"/>
      <w:start w:val="3"/>
    </w:lvl>
  </w:abstractNum>
  <w:abstractNum w:abstractNumId="611">
    <w:nsid w:val="3C8CC138"/>
    <w:multiLevelType w:val="hybridMultilevel"/>
    <w:lvl w:ilvl="0">
      <w:lvlJc w:val="left"/>
      <w:lvlText w:val="(%1)"/>
      <w:numFmt w:val="lowerLetter"/>
      <w:start w:val="4"/>
    </w:lvl>
    <w:lvl w:ilvl="1">
      <w:lvlJc w:val="left"/>
      <w:lvlText w:val="(%2)"/>
      <w:numFmt w:val="decimal"/>
      <w:start w:val="1"/>
    </w:lvl>
  </w:abstractNum>
  <w:abstractNum w:abstractNumId="612">
    <w:nsid w:val="42E8C7BE"/>
    <w:multiLevelType w:val="hybridMultilevel"/>
    <w:lvl w:ilvl="0">
      <w:lvlJc w:val="left"/>
      <w:lvlText w:val="%1."/>
      <w:numFmt w:val="decimal"/>
      <w:start w:val="12"/>
    </w:lvl>
    <w:lvl w:ilvl="1">
      <w:lvlJc w:val="left"/>
      <w:lvlText w:val="(%2)"/>
      <w:numFmt w:val="lowerLetter"/>
      <w:start w:val="1"/>
    </w:lvl>
  </w:abstractNum>
  <w:abstractNum w:abstractNumId="613">
    <w:nsid w:val="653CDC22"/>
    <w:multiLevelType w:val="hybridMultilevel"/>
    <w:lvl w:ilvl="0">
      <w:lvlJc w:val="left"/>
      <w:lvlText w:val="(%1)"/>
      <w:numFmt w:val="lowerLetter"/>
      <w:start w:val="4"/>
    </w:lvl>
  </w:abstractNum>
  <w:abstractNum w:abstractNumId="614">
    <w:nsid w:val="103B2716"/>
    <w:multiLevelType w:val="hybridMultilevel"/>
    <w:lvl w:ilvl="0">
      <w:lvlJc w:val="left"/>
      <w:lvlText w:val="%1"/>
      <w:numFmt w:val="lowerLetter"/>
      <w:start w:val="1"/>
    </w:lvl>
    <w:lvl w:ilvl="1">
      <w:lvlJc w:val="left"/>
      <w:lvlText w:val="(%2)"/>
      <w:numFmt w:val="decimal"/>
      <w:start w:val="415"/>
    </w:lvl>
  </w:abstractNum>
  <w:abstractNum w:abstractNumId="615">
    <w:nsid w:val="156827FB"/>
    <w:multiLevelType w:val="hybridMultilevel"/>
    <w:lvl w:ilvl="0">
      <w:lvlJc w:val="left"/>
      <w:lvlText w:val="(%1)"/>
      <w:numFmt w:val="lowerLetter"/>
      <w:start w:val="5"/>
    </w:lvl>
    <w:lvl w:ilvl="1">
      <w:lvlJc w:val="left"/>
      <w:lvlText w:val="%2"/>
      <w:numFmt w:val="decimal"/>
      <w:start w:val="1"/>
    </w:lvl>
  </w:abstractNum>
  <w:abstractNum w:abstractNumId="616">
    <w:nsid w:val="6350AC35"/>
    <w:multiLevelType w:val="hybridMultilevel"/>
    <w:lvl w:ilvl="0">
      <w:lvlJc w:val="left"/>
      <w:lvlText w:val="%1."/>
      <w:numFmt w:val="decimal"/>
      <w:start w:val="14"/>
    </w:lvl>
  </w:abstractNum>
  <w:abstractNum w:abstractNumId="617">
    <w:nsid w:val="767725AB"/>
    <w:multiLevelType w:val="hybridMultilevel"/>
    <w:lvl w:ilvl="0">
      <w:lvlJc w:val="left"/>
      <w:lvlText w:val="(%1)"/>
      <w:numFmt w:val="lowerLetter"/>
      <w:start w:val="1"/>
    </w:lvl>
    <w:lvl w:ilvl="1">
      <w:lvlJc w:val="left"/>
      <w:lvlText w:val="(%2)"/>
      <w:numFmt w:val="decimal"/>
      <w:start w:val="1"/>
    </w:lvl>
  </w:abstractNum>
  <w:abstractNum w:abstractNumId="618">
    <w:nsid w:val="4748C06A"/>
    <w:multiLevelType w:val="hybridMultilevel"/>
    <w:lvl w:ilvl="0">
      <w:lvlJc w:val="left"/>
      <w:lvlText w:val="(%1)"/>
      <w:numFmt w:val="lowerLetter"/>
      <w:start w:val="4"/>
    </w:lvl>
  </w:abstractNum>
  <w:abstractNum w:abstractNumId="619">
    <w:nsid w:val="254D9EA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2021-10-08T11:04:26Z</dcterms:created>
  <dcterms:modified xsi:type="dcterms:W3CDTF">2021-10-08T11:04:26Z</dcterms:modified>
</cp:coreProperties>
</file>